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p>
    <w:p>
      <w:pPr>
        <w:jc w:val="center"/>
      </w:pPr>
      <w:r>
        <w:rPr>
          <w:rFonts w:ascii="Georgia" w:cs="Georgia" w:eastAsia="Georgia" w:hAnsi="Georgia"/>
          <w:b/>
          <w:bCs/>
          <w:color w:val="666666"/>
          <w:sz w:val="28"/>
          <w:szCs w:val="28"/>
        </w:rPr>
        <w:t xml:space="preserve">WHITEPAPER</w:t>
      </w:r>
    </w:p>
    <w:p>
      <w:pPr>
        <w:spacing w:before="400"/>
      </w:pPr>
    </w:p>
    <w:p>
      <w:pPr>
        <w:pStyle w:val="Title"/>
      </w:pPr>
      <w:r>
        <w:t xml:space="preserve">The Zero-Click Paradigm</w:t>
      </w:r>
    </w:p>
    <w:p>
      <w:pPr>
        <w:spacing w:before="200" w:after="400"/>
        <w:jc w:val="center"/>
      </w:pPr>
      <w:r>
        <w:rPr>
          <w:rFonts w:ascii="Georgia" w:cs="Georgia" w:eastAsia="Georgia" w:hAnsi="Georgia"/>
          <w:i/>
          <w:iCs/>
          <w:color w:val="4a4a4a"/>
          <w:sz w:val="30"/>
          <w:szCs w:val="30"/>
        </w:rPr>
        <w:t xml:space="preserve">How AI-Mediated Discovery is Restructuring Digital Commerce</w:t>
      </w:r>
    </w:p>
    <w:p>
      <w:pPr>
        <w:spacing w:before="300"/>
      </w:pPr>
    </w:p>
    <w:p>
      <w:pPr>
        <w:jc w:val="center"/>
      </w:pPr>
      <w:r>
        <w:rPr>
          <w:rFonts w:ascii="Georgia" w:cs="Georgia" w:eastAsia="Georgia" w:hAnsi="Georgia"/>
          <w:color w:val="666666"/>
          <w:sz w:val="24"/>
          <w:szCs w:val="24"/>
        </w:rPr>
        <w:t xml:space="preserve">A Market Analysis</w:t>
      </w:r>
    </w:p>
    <w:p>
      <w:pPr>
        <w:spacing w:before="600"/>
      </w:pPr>
    </w:p>
    <w:p>
      <w:pPr>
        <w:jc w:val="center"/>
      </w:pPr>
      <w:r>
        <w:drawing>
          <wp:inline distT="0" distB="0" distL="0" distR="0">
            <wp:extent cx="2857500" cy="857250"/>
            <wp:effectExtent t="0" r="0" b="0" l="0"/>
            <wp:docPr id="1" name="DrewIs Logo" descr="Company logo" title="DrewIs Intelligence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857500" cy="857250"/>
                    </a:xfrm>
                    <a:prstGeom prst="rect">
                      <a:avLst/>
                    </a:prstGeom>
                  </pic:spPr>
                </pic:pic>
              </a:graphicData>
            </a:graphic>
          </wp:inline>
        </w:drawing>
      </w:r>
    </w:p>
    <w:p>
      <w:pPr>
        <w:spacing w:before="200"/>
        <w:jc w:val="center"/>
      </w:pPr>
      <w:r>
        <w:rPr>
          <w:rFonts w:ascii="Georgia" w:cs="Georgia" w:eastAsia="Georgia" w:hAnsi="Georgia"/>
          <w:b/>
          <w:bCs/>
          <w:sz w:val="26"/>
          <w:szCs w:val="26"/>
        </w:rPr>
        <w:t xml:space="preserve">DrewIs Intelligence LLC</w:t>
      </w:r>
    </w:p>
    <w:p>
      <w:pPr>
        <w:jc w:val="center"/>
      </w:pPr>
      <w:r>
        <w:rPr>
          <w:rFonts w:ascii="Georgia" w:cs="Georgia" w:eastAsia="Georgia" w:hAnsi="Georgia"/>
          <w:i/>
          <w:iCs/>
          <w:color w:val="666666"/>
          <w:sz w:val="22"/>
          <w:szCs w:val="22"/>
        </w:rPr>
        <w:t xml:space="preserve">"Rebuild. Rewire. Rise."</w:t>
      </w:r>
    </w:p>
    <w:p>
      <w:pPr>
        <w:spacing w:before="400"/>
      </w:pPr>
    </w:p>
    <w:p>
      <w:pPr>
        <w:jc w:val="center"/>
      </w:pPr>
      <w:r>
        <w:rPr>
          <w:rFonts w:ascii="Georgia" w:cs="Georgia" w:eastAsia="Georgia" w:hAnsi="Georgia"/>
          <w:color w:val="666666"/>
          <w:sz w:val="22"/>
          <w:szCs w:val="22"/>
        </w:rPr>
        <w:t xml:space="preserve">December 2025</w:t>
      </w:r>
    </w:p>
    <w:p>
      <w:pPr>
        <w:spacing w:before="100"/>
        <w:jc w:val="center"/>
      </w:pPr>
      <w:r>
        <w:rPr>
          <w:rFonts w:ascii="Georgia" w:cs="Georgia" w:eastAsia="Georgia" w:hAnsi="Georgia"/>
          <w:color w:val="888888"/>
          <w:sz w:val="20"/>
          <w:szCs w:val="20"/>
        </w:rPr>
        <w:t xml:space="preserve">Publication Version 1.0</w:t>
      </w:r>
    </w:p>
    <w:p>
      <w:r>
        <w:br w:type="page"/>
      </w:r>
    </w:p>
    <w:p>
      <w:pPr>
        <w:pStyle w:val="Heading1"/>
      </w:pPr>
      <w:r>
        <w:t xml:space="preserve">Abstract</w:t>
      </w:r>
    </w:p>
    <w:p>
      <w:pPr>
        <w:pStyle w:val="Abstract"/>
        <w:spacing w:after="200"/>
      </w:pPr>
      <w:r>
        <w:t xml:space="preserve">The digital discovery landscape is undergoing structural transformation. </w:t>
      </w:r>
      <w:r>
        <w:rPr>
          <w:b/>
          <w:bCs/>
        </w:rPr>
        <w:t xml:space="preserve">Zero-click searches—queries resolved without navigation to external websites—now represent 58.5% of all search activity in the United States and European Union </w:t>
      </w:r>
      <w:r>
        <w:t xml:space="preserve">[SparkToro/Datos, 2024]. Concurrently, AI-powered answer engines are emerging as primary information interfaces, with platforms such as </w:t>
      </w:r>
      <w:r>
        <w:rPr>
          <w:b/>
          <w:bCs/>
        </w:rPr>
        <w:t xml:space="preserve">ChatGPT reaching 400 million weekly active users </w:t>
      </w:r>
      <w:r>
        <w:t xml:space="preserve">[OpenAI, 2024]. This convergence is fundamentally altering how consumers and enterprises discover, evaluate, and select products and services.</w:t>
      </w:r>
    </w:p>
    <w:p>
      <w:pPr>
        <w:pStyle w:val="Abstract"/>
        <w:spacing w:after="200"/>
      </w:pPr>
      <w:r>
        <w:t xml:space="preserve">This paper analyzes the market dynamics driving the zero-click paradigm, examines projected impacts across industry sectors, and introduces a framework for understanding organizational readiness. Research indicates that </w:t>
      </w:r>
      <w:r>
        <w:rPr>
          <w:b/>
          <w:bCs/>
        </w:rPr>
        <w:t xml:space="preserve">organizations optimizing for AI citation achieve 40% or greater visibility improvements in generative search results </w:t>
      </w:r>
      <w:r>
        <w:t xml:space="preserve">[Princeton/Georgia Tech, 2024]. However, the majority of enterprises remain unprepared for this transition, with </w:t>
      </w:r>
      <w:r>
        <w:rPr>
          <w:b/>
          <w:bCs/>
        </w:rPr>
        <w:t xml:space="preserve">Gartner projecting a 50% decline in traditional organic traffic by 2028 </w:t>
      </w:r>
      <w:r>
        <w:t xml:space="preserve">[Gartner, 2024].</w:t>
      </w:r>
    </w:p>
    <w:p>
      <w:pPr>
        <w:pStyle w:val="Abstract"/>
        <w:spacing w:after="200"/>
      </w:pPr>
      <w:r>
        <w:t xml:space="preserve">The findings suggest that competitive advantage in the emerging landscape will accrue to organizations that establish authority within AI knowledge systems, implement structured data architectures for machine comprehension, and develop measurement frameworks capable of attributing value to non-click interactions.</w:t>
      </w:r>
    </w:p>
    <w:p>
      <w:r>
        <w:br w:type="page"/>
      </w:r>
    </w:p>
    <w:p>
      <w:pPr>
        <w:pStyle w:val="Heading1"/>
      </w:pPr>
      <w:r>
        <w:t xml:space="preserve">Contents</w:t>
      </w:r>
    </w:p>
    <w:p>
      <w:pPr>
        <w:spacing w:before="200" w:after="100"/>
      </w:pPr>
      <w:r>
        <w:rPr>
          <w:sz w:val="24"/>
          <w:szCs w:val="24"/>
        </w:rPr>
        <w:t xml:space="preserve">1. Introduction</w:t>
      </w:r>
    </w:p>
    <w:p>
      <w:pPr>
        <w:spacing w:after="100"/>
      </w:pPr>
      <w:r>
        <w:rPr>
          <w:sz w:val="24"/>
          <w:szCs w:val="24"/>
        </w:rPr>
        <w:t xml:space="preserve">2. Methodology</w:t>
      </w:r>
    </w:p>
    <w:p>
      <w:pPr>
        <w:spacing w:after="100"/>
      </w:pPr>
      <w:r>
        <w:rPr>
          <w:sz w:val="24"/>
          <w:szCs w:val="24"/>
        </w:rPr>
        <w:t xml:space="preserve">3. The Zero-Click Phenomenon: Market Analysis</w:t>
      </w:r>
    </w:p>
    <w:p>
      <w:pPr>
        <w:spacing w:after="100"/>
      </w:pPr>
      <w:r>
        <w:rPr>
          <w:sz w:val="24"/>
          <w:szCs w:val="24"/>
        </w:rPr>
        <w:t xml:space="preserve">4. Key Findings</w:t>
      </w:r>
    </w:p>
    <w:p>
      <w:pPr>
        <w:spacing w:after="100"/>
      </w:pPr>
      <w:r>
        <w:rPr>
          <w:sz w:val="24"/>
          <w:szCs w:val="24"/>
        </w:rPr>
        <w:t xml:space="preserve">5. The AI Discovery Ecosystem</w:t>
      </w:r>
    </w:p>
    <w:p>
      <w:pPr>
        <w:spacing w:after="100"/>
      </w:pPr>
      <w:r>
        <w:rPr>
          <w:sz w:val="24"/>
          <w:szCs w:val="24"/>
        </w:rPr>
        <w:t xml:space="preserve">6. The GEO Framework: A Strategic Response Model</w:t>
      </w:r>
    </w:p>
    <w:p>
      <w:pPr>
        <w:spacing w:after="100"/>
      </w:pPr>
      <w:r>
        <w:rPr>
          <w:sz w:val="24"/>
          <w:szCs w:val="24"/>
        </w:rPr>
        <w:t xml:space="preserve">7. Industry Implications</w:t>
      </w:r>
    </w:p>
    <w:p>
      <w:pPr>
        <w:spacing w:after="100"/>
      </w:pPr>
      <w:r>
        <w:rPr>
          <w:sz w:val="24"/>
          <w:szCs w:val="24"/>
        </w:rPr>
        <w:t xml:space="preserve">8. The Dark Funnel: Attribution Challenges</w:t>
      </w:r>
    </w:p>
    <w:p>
      <w:pPr>
        <w:spacing w:after="100"/>
      </w:pPr>
      <w:r>
        <w:rPr>
          <w:sz w:val="24"/>
          <w:szCs w:val="24"/>
        </w:rPr>
        <w:t xml:space="preserve">9. Forward Projections: 2026-2030</w:t>
      </w:r>
    </w:p>
    <w:p>
      <w:pPr>
        <w:spacing w:after="100"/>
      </w:pPr>
      <w:r>
        <w:rPr>
          <w:sz w:val="24"/>
          <w:szCs w:val="24"/>
        </w:rPr>
        <w:t xml:space="preserve">10. Conclusion</w:t>
      </w:r>
    </w:p>
    <w:p>
      <w:pPr>
        <w:spacing w:after="100"/>
      </w:pPr>
      <w:r>
        <w:rPr>
          <w:sz w:val="24"/>
          <w:szCs w:val="24"/>
        </w:rPr>
        <w:t xml:space="preserve">References</w:t>
      </w:r>
    </w:p>
    <w:p>
      <w:pPr>
        <w:spacing w:after="100"/>
      </w:pPr>
      <w:r>
        <w:rPr>
          <w:sz w:val="24"/>
          <w:szCs w:val="24"/>
        </w:rPr>
        <w:t xml:space="preserve">About the Author</w:t>
      </w:r>
    </w:p>
    <w:p>
      <w:pPr>
        <w:spacing w:after="100"/>
      </w:pPr>
      <w:r>
        <w:rPr>
          <w:sz w:val="24"/>
          <w:szCs w:val="24"/>
        </w:rPr>
        <w:t xml:space="preserve">Glossary of Terms</w:t>
      </w:r>
    </w:p>
    <w:p>
      <w:r>
        <w:br w:type="page"/>
      </w:r>
    </w:p>
    <w:p>
      <w:pPr>
        <w:pStyle w:val="Heading1"/>
      </w:pPr>
      <w:r>
        <w:t xml:space="preserve">1. Introduction</w:t>
      </w:r>
    </w:p>
    <w:p>
      <w:pPr>
        <w:spacing w:after="200"/>
      </w:pPr>
      <w:r>
        <w:t xml:space="preserve">For more than two decades, digital commerce has operated on a foundational assumption: visibility equals traffic, and traffic equals revenue. Organizations invested in search engine optimization, content marketing, and paid acquisition with a singular objective—driving users to click through to owned digital properties where conversion could occur.</w:t>
      </w:r>
    </w:p>
    <w:p>
      <w:pPr>
        <w:spacing w:after="200"/>
      </w:pPr>
      <w:r>
        <w:t xml:space="preserve">This assumption is no longer valid.</w:t>
      </w:r>
    </w:p>
    <w:p>
      <w:pPr>
        <w:spacing w:after="200"/>
      </w:pPr>
      <w:r>
        <w:t xml:space="preserve">The emergence of AI-powered answer engines, the proliferation of zero-click search results, and the integration of generative AI into mainstream platforms have collectively initiated a structural transformation of digital discovery. Users increasingly receive comprehensive answers without navigating to source websites. Purchase decisions are influenced by AI recommendations that occur outside traditional analytics visibility. The click—long the fundamental unit of digital marketing measurement—is becoming obsolete as the primary indicator of discovery and influence.</w:t>
      </w:r>
    </w:p>
    <w:p>
      <w:pPr>
        <w:spacing w:after="200"/>
      </w:pPr>
      <w:r>
        <w:t xml:space="preserve">This whitepaper examines the market dynamics driving this transformation, quantifies its projected impact, and introduces frameworks for organizational response. The analysis is intended for executive leadership, marketing strategists, and digital commerce professionals seeking to understand the competitive implications of AI-mediated discovery.</w:t>
      </w:r>
    </w:p>
    <w:p>
      <w:r>
        <w:br w:type="page"/>
      </w:r>
    </w:p>
    <w:p>
      <w:pPr>
        <w:pStyle w:val="Heading1"/>
      </w:pPr>
      <w:r>
        <w:t xml:space="preserve">2. Methodology</w:t>
      </w:r>
    </w:p>
    <w:p>
      <w:pPr>
        <w:spacing w:after="200"/>
      </w:pPr>
      <w:r>
        <w:t xml:space="preserve">This analysis synthesizes quantitative data and qualitative research from multiple categories of sources:</w:t>
      </w:r>
    </w:p>
    <w:p>
      <w:pPr>
        <w:spacing w:after="200"/>
      </w:pPr>
      <w:r>
        <w:rPr>
          <w:b/>
          <w:bCs/>
        </w:rPr>
        <w:t xml:space="preserve">Industry Research Institutions: </w:t>
      </w:r>
      <w:r>
        <w:t xml:space="preserve">Market projections and trend analysis from Gartner, Deloitte, Forrester, and similar enterprise research organizations, with particular emphasis on their AI and search market forecasts for 2025-2030.</w:t>
      </w:r>
    </w:p>
    <w:p>
      <w:pPr>
        <w:spacing w:after="200"/>
      </w:pPr>
      <w:r>
        <w:rPr>
          <w:b/>
          <w:bCs/>
        </w:rPr>
        <w:t xml:space="preserve">Search Behavior Data: </w:t>
      </w:r>
      <w:r>
        <w:t xml:space="preserve">Zero-click search statistics derived from SparkToro and Datos analysis of search engine results pages (SERPs), encompassing billions of search queries across US and EU markets.</w:t>
      </w:r>
    </w:p>
    <w:p>
      <w:pPr>
        <w:spacing w:after="200"/>
      </w:pPr>
      <w:r>
        <w:rPr>
          <w:b/>
          <w:bCs/>
        </w:rPr>
        <w:t xml:space="preserve">Platform Metrics: </w:t>
      </w:r>
      <w:r>
        <w:t xml:space="preserve">Publicly reported user statistics from OpenAI, Anthropic, Google, Microsoft, and Perplexity AI regarding AI platform adoption and query volumes.</w:t>
      </w:r>
    </w:p>
    <w:p>
      <w:pPr>
        <w:spacing w:after="200"/>
      </w:pPr>
      <w:r>
        <w:rPr>
          <w:b/>
          <w:bCs/>
        </w:rPr>
        <w:t xml:space="preserve">Academic Research: </w:t>
      </w:r>
      <w:r>
        <w:t xml:space="preserve">Peer-reviewed studies on Generative Engine Optimization (GEO) from Princeton University and Georgia Tech, examining content optimization techniques for AI citation.</w:t>
      </w:r>
    </w:p>
    <w:p>
      <w:pPr>
        <w:spacing w:after="200"/>
      </w:pPr>
      <w:r>
        <w:rPr>
          <w:b/>
          <w:bCs/>
        </w:rPr>
        <w:t xml:space="preserve">Primary Observation: </w:t>
      </w:r>
      <w:r>
        <w:t xml:space="preserve">Direct analysis of AI platform behavior, including systematic testing of content retrieval patterns across ChatGPT, Claude, Perplexity, Google AI Overviews, and Microsoft Copilot.</w:t>
      </w:r>
    </w:p>
    <w:p>
      <w:pPr>
        <w:spacing w:after="200"/>
      </w:pPr>
      <w:r>
        <w:t xml:space="preserve">Where projections are cited, confidence levels and source methodologies are noted. All statistics are attributed to their primary sources to enable independent verification.</w:t>
      </w:r>
    </w:p>
    <w:p>
      <w:r>
        <w:br w:type="page"/>
      </w:r>
    </w:p>
    <w:p>
      <w:pPr>
        <w:pStyle w:val="Heading1"/>
      </w:pPr>
      <w:r>
        <w:t xml:space="preserve">3. The Zero-Click Phenomenon: Market Analysis</w:t>
      </w:r>
    </w:p>
    <w:p>
      <w:pPr>
        <w:spacing w:after="200"/>
      </w:pPr>
      <w:r>
        <w:t xml:space="preserve">The term "zero-click search" describes search queries that are resolved within the search interface itself, without the user clicking through to any external website. These resolutions occur through featured snippets, knowledge panels, direct answer boxes, AI-generated overviews, and integrated tools within search results.</w:t>
      </w:r>
    </w:p>
    <w:p>
      <w:pPr>
        <w:pStyle w:val="Heading2"/>
      </w:pPr>
      <w:r>
        <w:t xml:space="preserve">3.1 Current State Quantification</w:t>
      </w:r>
    </w:p>
    <w:p>
      <w:pPr>
        <w:spacing w:after="200"/>
      </w:pPr>
      <w:r>
        <w:t xml:space="preserve">According to analysis by SparkToro and Datos, </w:t>
      </w:r>
      <w:r>
        <w:rPr>
          <w:b/>
          <w:bCs/>
        </w:rPr>
        <w:t xml:space="preserve">zero-click searches represented 58.5% of all Google searches in the United States and European Union during 2024 </w:t>
      </w:r>
      <w:r>
        <w:t xml:space="preserve">[SparkToro/Datos, 2024]. This figure represents a continuation of a decade-long trend toward answer delivery within search interfaces.</w:t>
      </w:r>
    </w:p>
    <w:p>
      <w:pPr>
        <w:spacing w:after="200"/>
      </w:pPr>
      <w:r>
        <w:t xml:space="preserve">The composition of zero-click results has evolved substantially. Where earlier zero-click results primarily addressed simple factual queries (weather, calculations, definitions), contemporary zero-click results increasingly address complex informational and commercial queries through AI-generated summaries that synthesize multiple sources.</w:t>
      </w:r>
    </w:p>
    <w:p>
      <w:pPr>
        <w:pStyle w:val="Heading2"/>
      </w:pPr>
      <w:r>
        <w:t xml:space="preserve">3.2 AI Platform Adoption Metrics</w:t>
      </w:r>
    </w:p>
    <w:p>
      <w:pPr>
        <w:spacing w:after="200"/>
      </w:pPr>
      <w:r>
        <w:t xml:space="preserve">The proliferation of standalone AI platforms compounds the zero-click phenomenon. As of late 2024:</w:t>
      </w:r>
    </w:p>
    <w:p>
      <w:pPr>
        <w:pStyle w:val="ListParagraph"/>
        <w:numPr>
          <w:ilvl w:val="0"/>
          <w:numId w:val="2"/>
        </w:numPr>
      </w:pPr>
      <w:r>
        <w:rPr>
          <w:b/>
          <w:bCs/>
        </w:rPr>
        <w:t xml:space="preserve">ChatGPT (OpenAI) reports over 400 million weekly active users globally </w:t>
      </w:r>
      <w:r>
        <w:t xml:space="preserve">[OpenAI, 2024]</w:t>
      </w:r>
    </w:p>
    <w:p>
      <w:pPr>
        <w:pStyle w:val="ListParagraph"/>
        <w:numPr>
          <w:ilvl w:val="0"/>
          <w:numId w:val="2"/>
        </w:numPr>
      </w:pPr>
      <w:r>
        <w:rPr>
          <w:b/>
          <w:bCs/>
        </w:rPr>
        <w:t xml:space="preserve">Perplexity AI processes in excess of 1 billion monthly queries </w:t>
      </w:r>
      <w:r>
        <w:t xml:space="preserve">[Perplexity, 2024]</w:t>
      </w:r>
    </w:p>
    <w:p>
      <w:pPr>
        <w:pStyle w:val="ListParagraph"/>
        <w:numPr>
          <w:ilvl w:val="0"/>
          <w:numId w:val="2"/>
        </w:numPr>
      </w:pPr>
      <w:r>
        <w:t xml:space="preserve">Microsoft Copilot is integrated across the Microsoft 365 suite reaching hundreds of millions of enterprise users</w:t>
      </w:r>
    </w:p>
    <w:p>
      <w:pPr>
        <w:pStyle w:val="ListParagraph"/>
        <w:numPr>
          <w:ilvl w:val="0"/>
          <w:numId w:val="2"/>
        </w:numPr>
      </w:pPr>
      <w:r>
        <w:t xml:space="preserve">Google AI Overviews appear in the majority of search results for informational queries</w:t>
      </w:r>
    </w:p>
    <w:p>
      <w:pPr>
        <w:spacing w:before="200" w:after="200"/>
      </w:pPr>
      <w:r>
        <w:t xml:space="preserve">These platforms share a common characteristic: they deliver comprehensive answers to user queries without requiring navigation to external websites. The user receives synthesized information, often with source citations, but the traditional website visit is eliminated from the discovery process.</w:t>
      </w:r>
    </w:p>
    <w:p>
      <w:pPr>
        <w:pStyle w:val="Heading2"/>
      </w:pPr>
      <w:r>
        <w:t xml:space="preserve">3.3 The Convergence Effect</w:t>
      </w:r>
    </w:p>
    <w:p>
      <w:pPr>
        <w:spacing w:after="200"/>
      </w:pPr>
      <w:r>
        <w:t xml:space="preserve">The distinction between "search engines" and "AI assistants" is collapsing. Google's integration of AI Overviews, Bing's Copilot integration, and the search capabilities of ChatGPT and Perplexity represent a convergence toward unified AI-mediated discovery interfaces.</w:t>
      </w:r>
    </w:p>
    <w:p>
      <w:pPr>
        <w:spacing w:after="200"/>
      </w:pPr>
      <w:r>
        <w:t xml:space="preserve">Deloitte projects that </w:t>
      </w:r>
      <w:r>
        <w:rPr>
          <w:b/>
          <w:bCs/>
        </w:rPr>
        <w:t xml:space="preserve">AI-enhanced search will achieve three times greater usage than standalone AI tools by 2026 </w:t>
      </w:r>
      <w:r>
        <w:t xml:space="preserve">[Deloitte, 2024], indicating that AI capabilities will become the default expectation for all information retrieval rather than a separate product category.</w:t>
      </w:r>
    </w:p>
    <w:p>
      <w:r>
        <w:br w:type="page"/>
      </w:r>
    </w:p>
    <w:p>
      <w:pPr>
        <w:pStyle w:val="Heading1"/>
      </w:pPr>
      <w:r>
        <w:t xml:space="preserve">4. Key Findings</w:t>
      </w:r>
    </w:p>
    <w:p>
      <w:pPr>
        <w:spacing w:after="200"/>
      </w:pPr>
      <w:r>
        <w:t xml:space="preserve">The following findings represent the primary conclusions of this analysis. Each finding is derived from the data sources described in the Methodology section and is stated with appropriate confidence qualifications.</w:t>
      </w:r>
    </w:p>
    <w:p>
      <w:pPr>
        <w:spacing w:before="200"/>
      </w:pPr>
    </w:p>
    <w:p>
      <w:pPr>
        <w:shd w:fill="f8f9fa" w:val="clear"/>
        <w:spacing w:before="200" w:after="100"/>
        <w:ind w:left="360" w:right="360"/>
      </w:pPr>
      <w:r>
        <w:rPr>
          <w:b/>
          <w:bCs/>
          <w:sz w:val="26"/>
          <w:szCs w:val="26"/>
        </w:rPr>
        <w:t xml:space="preserve">Finding 1: </w:t>
      </w:r>
      <w:r>
        <w:rPr>
          <w:b/>
          <w:bCs/>
          <w:sz w:val="26"/>
          <w:szCs w:val="26"/>
        </w:rPr>
        <w:t xml:space="preserve">Zero-click searches represent the majority of search activity</w:t>
      </w:r>
    </w:p>
    <w:p>
      <w:pPr>
        <w:shd w:fill="f8f9fa" w:val="clear"/>
        <w:spacing w:after="200"/>
        <w:ind w:left="360" w:right="360"/>
      </w:pPr>
      <w:r>
        <w:rPr>
          <w:b/>
          <w:bCs/>
        </w:rPr>
        <w:t xml:space="preserve">58.5% of Google searches in the US and EU conclude without a click to any external website </w:t>
      </w:r>
      <w:r>
        <w:t xml:space="preserve">[SparkToro/Datos, 2024]. This represents a structural shift in how users obtain information, not a temporary fluctuation.</w:t>
      </w:r>
    </w:p>
    <w:p>
      <w:pPr>
        <w:shd w:fill="f8f9fa" w:val="clear"/>
        <w:spacing w:before="200" w:after="100"/>
        <w:ind w:left="360" w:right="360"/>
      </w:pPr>
      <w:r>
        <w:rPr>
          <w:b/>
          <w:bCs/>
          <w:sz w:val="26"/>
          <w:szCs w:val="26"/>
        </w:rPr>
        <w:t xml:space="preserve">Finding 2: </w:t>
      </w:r>
      <w:r>
        <w:rPr>
          <w:b/>
          <w:bCs/>
          <w:sz w:val="26"/>
          <w:szCs w:val="26"/>
        </w:rPr>
        <w:t xml:space="preserve">Traditional organic traffic faces projected decline of 50% by 2028</w:t>
      </w:r>
    </w:p>
    <w:p>
      <w:pPr>
        <w:shd w:fill="f8f9fa" w:val="clear"/>
        <w:spacing w:after="200"/>
        <w:ind w:left="360" w:right="360"/>
      </w:pPr>
      <w:r>
        <w:rPr>
          <w:b/>
          <w:bCs/>
        </w:rPr>
        <w:t xml:space="preserve">Gartner projects traditional search volume declining 25% by 2026, with brands experiencing 50% or greater reduction in organic search traffic by 2028 </w:t>
      </w:r>
      <w:r>
        <w:t xml:space="preserve">[Gartner, 2024]. These projections are based on current adoption trajectories and platform investment patterns.</w:t>
      </w:r>
    </w:p>
    <w:p>
      <w:pPr>
        <w:shd w:fill="f8f9fa" w:val="clear"/>
        <w:spacing w:before="200" w:after="100"/>
        <w:ind w:left="360" w:right="360"/>
      </w:pPr>
      <w:r>
        <w:rPr>
          <w:b/>
          <w:bCs/>
          <w:sz w:val="26"/>
          <w:szCs w:val="26"/>
        </w:rPr>
        <w:t xml:space="preserve">Finding 3: </w:t>
      </w:r>
      <w:r>
        <w:rPr>
          <w:b/>
          <w:bCs/>
          <w:sz w:val="26"/>
          <w:szCs w:val="26"/>
        </w:rPr>
        <w:t xml:space="preserve">AI platform adoption has reached critical mass</w:t>
      </w:r>
    </w:p>
    <w:p>
      <w:pPr>
        <w:shd w:fill="f8f9fa" w:val="clear"/>
        <w:spacing w:after="200"/>
        <w:ind w:left="360" w:right="360"/>
      </w:pPr>
      <w:r>
        <w:t xml:space="preserve">With </w:t>
      </w:r>
      <w:r>
        <w:rPr>
          <w:b/>
          <w:bCs/>
        </w:rPr>
        <w:t xml:space="preserve">ChatGPT exceeding 400 million weekly active users </w:t>
      </w:r>
      <w:r>
        <w:t xml:space="preserve">[OpenAI, 2024] and </w:t>
      </w:r>
      <w:r>
        <w:rPr>
          <w:b/>
          <w:bCs/>
        </w:rPr>
        <w:t xml:space="preserve">Perplexity processing over 1 billion monthly queries </w:t>
      </w:r>
      <w:r>
        <w:t xml:space="preserve">[Perplexity, 2024], AI-powered answer engines have transitioned from emerging technology to mainstream information infrastructure.</w:t>
      </w:r>
    </w:p>
    <w:p>
      <w:pPr>
        <w:shd w:fill="f8f9fa" w:val="clear"/>
        <w:spacing w:before="200" w:after="100"/>
        <w:ind w:left="360" w:right="360"/>
      </w:pPr>
      <w:r>
        <w:rPr>
          <w:b/>
          <w:bCs/>
          <w:sz w:val="26"/>
          <w:szCs w:val="26"/>
        </w:rPr>
        <w:t xml:space="preserve">Finding 4: </w:t>
      </w:r>
      <w:r>
        <w:rPr>
          <w:b/>
          <w:bCs/>
          <w:sz w:val="26"/>
          <w:szCs w:val="26"/>
        </w:rPr>
        <w:t xml:space="preserve">Optimization for AI citation produces measurable visibility improvements</w:t>
      </w:r>
    </w:p>
    <w:p>
      <w:pPr>
        <w:shd w:fill="f8f9fa" w:val="clear"/>
        <w:spacing w:after="200"/>
        <w:ind w:left="360" w:right="360"/>
      </w:pPr>
      <w:r>
        <w:t xml:space="preserve">Research from Princeton University and Georgia Tech demonstrates that </w:t>
      </w:r>
      <w:r>
        <w:rPr>
          <w:b/>
          <w:bCs/>
        </w:rPr>
        <w:t xml:space="preserve">systematic Generative Engine Optimization (GEO) produces 40% or greater improvements in AI citation visibility </w:t>
      </w:r>
      <w:r>
        <w:t xml:space="preserve">[Aggarwal et al., 2024]. Content optimized for machine comprehension outperforms content optimized solely for traditional search ranking.</w:t>
      </w:r>
    </w:p>
    <w:p>
      <w:pPr>
        <w:shd w:fill="f8f9fa" w:val="clear"/>
        <w:spacing w:before="200" w:after="100"/>
        <w:ind w:left="360" w:right="360"/>
      </w:pPr>
      <w:r>
        <w:rPr>
          <w:b/>
          <w:bCs/>
          <w:sz w:val="26"/>
          <w:szCs w:val="26"/>
        </w:rPr>
        <w:t xml:space="preserve">Finding 5: </w:t>
      </w:r>
      <w:r>
        <w:rPr>
          <w:b/>
          <w:bCs/>
          <w:sz w:val="26"/>
          <w:szCs w:val="26"/>
        </w:rPr>
        <w:t xml:space="preserve">Structured data implementation correlates with AI visibility</w:t>
      </w:r>
    </w:p>
    <w:p>
      <w:pPr>
        <w:shd w:fill="f8f9fa" w:val="clear"/>
        <w:spacing w:after="200"/>
        <w:ind w:left="360" w:right="360"/>
      </w:pPr>
      <w:r>
        <w:rPr>
          <w:b/>
          <w:bCs/>
        </w:rPr>
        <w:t xml:space="preserve">Pages with comprehensive schema markup demonstrate 2.4x greater likelihood of appearing in AI-generated summaries, with 58% higher visibility scores </w:t>
      </w:r>
      <w:r>
        <w:t xml:space="preserve">compared to pages lacking structured data implementation.</w:t>
      </w:r>
    </w:p>
    <w:p>
      <w:pPr>
        <w:shd w:fill="f8f9fa" w:val="clear"/>
        <w:spacing w:before="200" w:after="100"/>
        <w:ind w:left="360" w:right="360"/>
      </w:pPr>
      <w:r>
        <w:rPr>
          <w:b/>
          <w:bCs/>
          <w:sz w:val="26"/>
          <w:szCs w:val="26"/>
        </w:rPr>
        <w:t xml:space="preserve">Finding 6: </w:t>
      </w:r>
      <w:r>
        <w:rPr>
          <w:b/>
          <w:bCs/>
          <w:sz w:val="26"/>
          <w:szCs w:val="26"/>
        </w:rPr>
        <w:t xml:space="preserve">The majority of buyer journey activity occurs outside tracking visibility</w:t>
      </w:r>
    </w:p>
    <w:p>
      <w:pPr>
        <w:shd w:fill="f8f9fa" w:val="clear"/>
        <w:spacing w:after="200"/>
        <w:ind w:left="360" w:right="360"/>
      </w:pPr>
      <w:r>
        <w:rPr>
          <w:b/>
          <w:bCs/>
        </w:rPr>
        <w:t xml:space="preserve">An estimated 70% of the B2B buyer journey occurs before any trackable engagement </w:t>
      </w:r>
      <w:r>
        <w:t xml:space="preserve">[6sense, 2024]. AI-mediated discovery compounds this "dark funnel" challenge, as AI conversations occur entirely outside organizational analytics visibility.</w:t>
      </w:r>
    </w:p>
    <w:p>
      <w:pPr>
        <w:shd w:fill="f8f9fa" w:val="clear"/>
        <w:spacing w:before="200" w:after="100"/>
        <w:ind w:left="360" w:right="360"/>
      </w:pPr>
      <w:r>
        <w:rPr>
          <w:b/>
          <w:bCs/>
          <w:sz w:val="26"/>
          <w:szCs w:val="26"/>
        </w:rPr>
        <w:t xml:space="preserve">Finding 7: </w:t>
      </w:r>
      <w:r>
        <w:rPr>
          <w:b/>
          <w:bCs/>
          <w:sz w:val="26"/>
          <w:szCs w:val="26"/>
        </w:rPr>
        <w:t xml:space="preserve">Agentic AI represents the next phase of transformation</w:t>
      </w:r>
    </w:p>
    <w:p>
      <w:pPr>
        <w:shd w:fill="f8f9fa" w:val="clear"/>
        <w:spacing w:after="200"/>
        <w:ind w:left="360" w:right="360"/>
      </w:pPr>
      <w:r>
        <w:rPr>
          <w:b/>
          <w:bCs/>
        </w:rPr>
        <w:t xml:space="preserve">The agentic AI market is projected to reach $8.5 billion by 2026 and $35 billion by 2030 </w:t>
      </w:r>
      <w:r>
        <w:t xml:space="preserve">[Industry Projections, 2024]. Agentic systems execute transactions on behalf of users, extending AI influence from discovery and evaluation to direct commercial action.</w:t>
      </w:r>
    </w:p>
    <w:p>
      <w:r>
        <w:br w:type="page"/>
      </w:r>
    </w:p>
    <w:p>
      <w:pPr>
        <w:pStyle w:val="Heading1"/>
      </w:pPr>
      <w:r>
        <w:t xml:space="preserve">5. The AI Discovery Ecosystem</w:t>
      </w:r>
    </w:p>
    <w:p>
      <w:pPr>
        <w:spacing w:after="200"/>
      </w:pPr>
      <w:r>
        <w:t xml:space="preserve">Understanding the zero-click paradigm requires examining how AI systems retrieve, evaluate, and synthesize information. The mechanisms differ fundamentally from traditional search engine indexing and ranking.</w:t>
      </w:r>
    </w:p>
    <w:p>
      <w:pPr>
        <w:pStyle w:val="Heading2"/>
      </w:pPr>
      <w:r>
        <w:t xml:space="preserve">5.1 Retrieval-Augmented Generation</w:t>
      </w:r>
    </w:p>
    <w:p>
      <w:pPr>
        <w:spacing w:after="200"/>
      </w:pPr>
      <w:r>
        <w:t xml:space="preserve">Contemporary AI answer systems employ Retrieval-Augmented Generation (RAG) architectures. Rather than generating responses solely from training data, these systems retrieve relevant content in real-time and synthesize responses that integrate retrieved information with model knowledge.</w:t>
      </w:r>
    </w:p>
    <w:p>
      <w:pPr>
        <w:spacing w:after="200"/>
      </w:pPr>
      <w:r>
        <w:t xml:space="preserve">This architecture has significant implications for content strategy. Content competes not merely for ranking position but for retrieval selection—being chosen as a source that the AI system incorporates into its response generation.</w:t>
      </w:r>
    </w:p>
    <w:p>
      <w:pPr>
        <w:pStyle w:val="Heading2"/>
      </w:pPr>
      <w:r>
        <w:t xml:space="preserve">5.2 Citation Selection Dynamics</w:t>
      </w:r>
    </w:p>
    <w:p>
      <w:pPr>
        <w:spacing w:after="200"/>
      </w:pPr>
      <w:r>
        <w:t xml:space="preserve">AI systems evaluate multiple factors when selecting which sources to cite: domain authority and reputation signals, content recency and update frequency, information density and specificity, structural clarity and machine readability, corroboration across multiple authoritative sources, and the presence of structured data that confirms content meaning.</w:t>
      </w:r>
    </w:p>
    <w:p>
      <w:pPr>
        <w:spacing w:after="200"/>
      </w:pPr>
      <w:r>
        <w:t xml:space="preserve">These factors combine to create a citation selection process that differs substantially from traditional search ranking. Content that ranks well in search results may not be selected for AI citation, while content optimized for machine comprehension may receive preferential citation despite lower search rankings.</w:t>
      </w:r>
    </w:p>
    <w:p>
      <w:pPr>
        <w:pStyle w:val="Heading2"/>
      </w:pPr>
      <w:r>
        <w:t xml:space="preserve">5.3 The Brand Mention Economy</w:t>
      </w:r>
    </w:p>
    <w:p>
      <w:pPr>
        <w:spacing w:after="200"/>
      </w:pPr>
      <w:r>
        <w:t xml:space="preserve">In zero-click environments, brand mentions within AI responses function as a form of algorithmic endorsement. When an AI system recommends a product by name, that recommendation carries substantial influence—often more than a traditional search result, because users increasingly trust AI synthesis over manual research.</w:t>
      </w:r>
    </w:p>
    <w:p>
      <w:pPr>
        <w:spacing w:after="200"/>
      </w:pPr>
      <w:r>
        <w:t xml:space="preserve">This creates a new competitive dynamic. Organizations compete for "default recommendation" status within AI responses to category queries. Success is measured not by click-through rates but by mention frequency, recommendation context, and sentiment quality.</w:t>
      </w:r>
    </w:p>
    <w:p>
      <w:r>
        <w:br w:type="page"/>
      </w:r>
    </w:p>
    <w:p>
      <w:pPr>
        <w:pStyle w:val="Heading1"/>
      </w:pPr>
      <w:r>
        <w:t xml:space="preserve">6. The GEO Framework: A Strategic Response Model</w:t>
      </w:r>
    </w:p>
    <w:p>
      <w:pPr>
        <w:spacing w:after="200"/>
      </w:pPr>
      <w:r>
        <w:t xml:space="preserve">The transformation of digital discovery has prompted the development of new strategic and technical frameworks. The following model represents an integrated approach to AI visibility optimization.</w:t>
      </w:r>
    </w:p>
    <w:p>
      <w:pPr>
        <w:pStyle w:val="Heading2"/>
      </w:pPr>
      <w:r>
        <w:t xml:space="preserve">6.1 The Three Pillars of AI Visibility</w:t>
      </w:r>
    </w:p>
    <w:p>
      <w:pPr>
        <w:spacing w:after="200"/>
      </w:pPr>
      <w:r>
        <w:t xml:space="preserve">Effective response to the zero-click paradigm requires coordinated action across three strategic pillars: </w:t>
      </w:r>
      <w:r>
        <w:rPr>
          <w:b/>
          <w:bCs/>
        </w:rPr>
        <w:t xml:space="preserve">Generative Engine Optimization (GEO)</w:t>
      </w:r>
      <w:r>
        <w:t xml:space="preserve">, </w:t>
      </w:r>
      <w:r>
        <w:rPr>
          <w:b/>
          <w:bCs/>
        </w:rPr>
        <w:t xml:space="preserve">Answer Engine Optimization (AEO)</w:t>
      </w:r>
      <w:r>
        <w:t xml:space="preserve">, and </w:t>
      </w:r>
      <w:r>
        <w:rPr>
          <w:b/>
          <w:bCs/>
        </w:rPr>
        <w:t xml:space="preserve">Trust Architecture</w:t>
      </w:r>
      <w:r>
        <w:t xml:space="preserve">. Each pillar addresses a distinct dimension of AI visibility.</w:t>
      </w:r>
    </w:p>
    <w:p>
      <w:pPr>
        <w:spacing w:before="300" w:after="100"/>
        <w:jc w:val="center"/>
      </w:pPr>
      <w:r>
        <w:rPr>
          <w:b/>
          <w:bCs/>
          <w:color w:val="16213e"/>
          <w:sz w:val="26"/>
          <w:szCs w:val="26"/>
        </w:rPr>
        <w:t xml:space="preserve">THE GEO FRAMEWORK FOR AI VISIBILITY</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2c3e50" w:sz="2"/>
              <w:left w:val="single" w:color="2c3e50" w:sz="2"/>
              <w:bottom w:val="single" w:color="2c3e50" w:sz="2"/>
              <w:right w:val="single" w:color="bdc3c7" w:sz="1"/>
            </w:tcBorders>
            <w:shd w:fill="2c3e50" w:val="clear"/>
            <w:vAlign w:val="center"/>
          </w:tcPr>
          <w:p>
            <w:pPr>
              <w:spacing w:before="100" w:after="100"/>
              <w:jc w:val="center"/>
            </w:pPr>
            <w:r>
              <w:rPr>
                <w:b/>
                <w:bCs/>
                <w:color w:val="ffffff"/>
                <w:sz w:val="22"/>
                <w:szCs w:val="22"/>
              </w:rPr>
              <w:t xml:space="preserve">PILLAR 1</w:t>
            </w:r>
          </w:p>
        </w:tc>
        <w:tc>
          <w:tcPr>
            <w:tcBorders>
              <w:top w:val="single" w:color="2c3e50" w:sz="2"/>
              <w:left w:val="single" w:color="bdc3c7" w:sz="1"/>
              <w:bottom w:val="single" w:color="2c3e50" w:sz="2"/>
              <w:right w:val="single" w:color="bdc3c7" w:sz="1"/>
            </w:tcBorders>
            <w:shd w:fill="2c3e50" w:val="clear"/>
            <w:vAlign w:val="center"/>
          </w:tcPr>
          <w:p>
            <w:pPr>
              <w:spacing w:before="100" w:after="100"/>
              <w:jc w:val="center"/>
            </w:pPr>
            <w:r>
              <w:rPr>
                <w:b/>
                <w:bCs/>
                <w:color w:val="ffffff"/>
                <w:sz w:val="22"/>
                <w:szCs w:val="22"/>
              </w:rPr>
              <w:t xml:space="preserve">PILLAR 2</w:t>
            </w:r>
          </w:p>
        </w:tc>
        <w:tc>
          <w:tcPr>
            <w:tcBorders>
              <w:top w:val="single" w:color="2c3e50" w:sz="2"/>
              <w:left w:val="single" w:color="bdc3c7" w:sz="1"/>
              <w:bottom w:val="single" w:color="2c3e50" w:sz="2"/>
              <w:right w:val="single" w:color="2c3e50" w:sz="2"/>
            </w:tcBorders>
            <w:shd w:fill="2c3e50" w:val="clear"/>
            <w:vAlign w:val="center"/>
          </w:tcPr>
          <w:p>
            <w:pPr>
              <w:spacing w:before="100" w:after="100"/>
              <w:jc w:val="center"/>
            </w:pPr>
            <w:r>
              <w:rPr>
                <w:b/>
                <w:bCs/>
                <w:color w:val="ffffff"/>
                <w:sz w:val="22"/>
                <w:szCs w:val="22"/>
              </w:rPr>
              <w:t xml:space="preserve">PILLAR 3</w:t>
            </w:r>
          </w:p>
        </w:tc>
      </w:tr>
      <w:tr>
        <w:tc>
          <w:tcPr>
            <w:tcBorders>
              <w:top w:val="single" w:color="2c3e50" w:sz="2"/>
              <w:left w:val="single" w:color="2c3e50" w:sz="2"/>
              <w:bottom w:val="single" w:color="bdc3c7" w:sz="1"/>
              <w:right w:val="single" w:color="bdc3c7" w:sz="1"/>
            </w:tcBorders>
            <w:shd w:fill="ebf5fb" w:val="clear"/>
          </w:tcPr>
          <w:p>
            <w:pPr>
              <w:spacing w:before="150" w:after="150"/>
              <w:jc w:val="center"/>
            </w:pPr>
            <w:r>
              <w:rPr>
                <w:b/>
                <w:bCs/>
                <w:color w:val="1a5276"/>
                <w:sz w:val="24"/>
                <w:szCs w:val="24"/>
              </w:rPr>
              <w:t xml:space="preserve">Generative Engine
Optimization (GEO)</w:t>
            </w:r>
          </w:p>
        </w:tc>
        <w:tc>
          <w:tcPr>
            <w:tcBorders>
              <w:top w:val="single" w:color="2c3e50" w:sz="2"/>
              <w:left w:val="single" w:color="bdc3c7" w:sz="1"/>
              <w:bottom w:val="single" w:color="bdc3c7" w:sz="1"/>
              <w:right w:val="single" w:color="bdc3c7" w:sz="1"/>
            </w:tcBorders>
            <w:shd w:fill="e8f8f5" w:val="clear"/>
          </w:tcPr>
          <w:p>
            <w:pPr>
              <w:spacing w:before="150" w:after="150"/>
              <w:jc w:val="center"/>
            </w:pPr>
            <w:r>
              <w:rPr>
                <w:b/>
                <w:bCs/>
                <w:color w:val="117a65"/>
                <w:sz w:val="24"/>
                <w:szCs w:val="24"/>
              </w:rPr>
              <w:t xml:space="preserve">Answer Engine
Optimization (AEO)</w:t>
            </w:r>
          </w:p>
        </w:tc>
        <w:tc>
          <w:tcPr>
            <w:tcBorders>
              <w:top w:val="single" w:color="2c3e50" w:sz="2"/>
              <w:left w:val="single" w:color="bdc3c7" w:sz="1"/>
              <w:bottom w:val="single" w:color="bdc3c7" w:sz="1"/>
              <w:right w:val="single" w:color="2c3e50" w:sz="2"/>
            </w:tcBorders>
            <w:shd w:fill="fef9e7" w:val="clear"/>
          </w:tcPr>
          <w:p>
            <w:pPr>
              <w:spacing w:before="150" w:after="150"/>
              <w:jc w:val="center"/>
            </w:pPr>
            <w:r>
              <w:rPr>
                <w:b/>
                <w:bCs/>
                <w:color w:val="9c640c"/>
                <w:sz w:val="24"/>
                <w:szCs w:val="24"/>
              </w:rPr>
              <w:t xml:space="preserve">Trust
Architecture</w:t>
            </w:r>
          </w:p>
        </w:tc>
      </w:tr>
      <w:tr>
        <w:tc>
          <w:tcPr>
            <w:tcBorders>
              <w:top w:val="single" w:color="bdc3c7" w:sz="1"/>
              <w:left w:val="single" w:color="2c3e50" w:sz="2"/>
              <w:bottom w:val="single" w:color="bdc3c7" w:sz="1"/>
              <w:right w:val="single" w:color="bdc3c7" w:sz="1"/>
            </w:tcBorders>
          </w:tcPr>
          <w:p>
            <w:pPr>
              <w:spacing w:before="100"/>
            </w:pPr>
            <w:r>
              <w:rPr>
                <w:b/>
                <w:bCs/>
                <w:color w:val="666666"/>
                <w:sz w:val="20"/>
                <w:szCs w:val="20"/>
              </w:rPr>
              <w:t xml:space="preserve">FOCUS:</w:t>
            </w:r>
          </w:p>
          <w:p>
            <w:pPr>
              <w:spacing w:after="100"/>
            </w:pPr>
            <w:r>
              <w:rPr>
                <w:sz w:val="20"/>
                <w:szCs w:val="20"/>
              </w:rPr>
              <w:t xml:space="preserve">Content for AI Citation</w:t>
            </w:r>
          </w:p>
        </w:tc>
        <w:tc>
          <w:tcPr>
            <w:tcBorders>
              <w:top w:val="single" w:color="bdc3c7" w:sz="1"/>
              <w:left w:val="single" w:color="bdc3c7" w:sz="1"/>
              <w:bottom w:val="single" w:color="bdc3c7" w:sz="1"/>
              <w:right w:val="single" w:color="bdc3c7" w:sz="1"/>
            </w:tcBorders>
          </w:tcPr>
          <w:p>
            <w:pPr>
              <w:spacing w:before="100"/>
            </w:pPr>
            <w:r>
              <w:rPr>
                <w:b/>
                <w:bCs/>
                <w:color w:val="666666"/>
                <w:sz w:val="20"/>
                <w:szCs w:val="20"/>
              </w:rPr>
              <w:t xml:space="preserve">FOCUS:</w:t>
            </w:r>
          </w:p>
          <w:p>
            <w:pPr>
              <w:spacing w:after="100"/>
            </w:pPr>
            <w:r>
              <w:rPr>
                <w:sz w:val="20"/>
                <w:szCs w:val="20"/>
              </w:rPr>
              <w:t xml:space="preserve">Page Architecture</w:t>
            </w:r>
          </w:p>
        </w:tc>
        <w:tc>
          <w:tcPr>
            <w:tcBorders>
              <w:top w:val="single" w:color="bdc3c7" w:sz="1"/>
              <w:left w:val="single" w:color="bdc3c7" w:sz="1"/>
              <w:bottom w:val="single" w:color="bdc3c7" w:sz="1"/>
              <w:right w:val="single" w:color="2c3e50" w:sz="2"/>
            </w:tcBorders>
          </w:tcPr>
          <w:p>
            <w:pPr>
              <w:spacing w:before="100"/>
            </w:pPr>
            <w:r>
              <w:rPr>
                <w:b/>
                <w:bCs/>
                <w:color w:val="666666"/>
                <w:sz w:val="20"/>
                <w:szCs w:val="20"/>
              </w:rPr>
              <w:t xml:space="preserve">FOCUS:</w:t>
            </w:r>
          </w:p>
          <w:p>
            <w:pPr>
              <w:spacing w:after="100"/>
            </w:pPr>
            <w:r>
              <w:rPr>
                <w:sz w:val="20"/>
                <w:szCs w:val="20"/>
              </w:rPr>
              <w:t xml:space="preserve">Authority Signals</w:t>
            </w:r>
          </w:p>
        </w:tc>
      </w:tr>
      <w:tr>
        <w:tc>
          <w:tcPr>
            <w:tcBorders>
              <w:top w:val="single" w:color="bdc3c7" w:sz="1"/>
              <w:left w:val="single" w:color="2c3e50" w:sz="2"/>
              <w:bottom w:val="single" w:color="bdc3c7" w:sz="1"/>
              <w:right w:val="single" w:color="bdc3c7" w:sz="1"/>
            </w:tcBorders>
          </w:tcPr>
          <w:p>
            <w:pPr>
              <w:spacing w:before="100"/>
            </w:pPr>
            <w:r>
              <w:rPr>
                <w:b/>
                <w:bCs/>
                <w:color w:val="666666"/>
                <w:sz w:val="20"/>
                <w:szCs w:val="20"/>
              </w:rPr>
              <w:t xml:space="preserve">COMPONENTS:</w:t>
            </w:r>
          </w:p>
          <w:p>
            <w:r>
              <w:rPr>
                <w:sz w:val="20"/>
                <w:szCs w:val="20"/>
              </w:rPr>
              <w:t xml:space="preserve">• Semantic Footprint</w:t>
            </w:r>
          </w:p>
          <w:p>
            <w:r>
              <w:rPr>
                <w:sz w:val="20"/>
                <w:szCs w:val="20"/>
              </w:rPr>
              <w:t xml:space="preserve">• Fact Density</w:t>
            </w:r>
          </w:p>
          <w:p>
            <w:r>
              <w:rPr>
                <w:sz w:val="20"/>
                <w:szCs w:val="20"/>
              </w:rPr>
              <w:t xml:space="preserve">• Content Fluency</w:t>
            </w:r>
          </w:p>
          <w:p>
            <w:pPr>
              <w:spacing w:after="100"/>
            </w:pPr>
            <w:r>
              <w:rPr>
                <w:sz w:val="20"/>
                <w:szCs w:val="20"/>
              </w:rPr>
              <w:t xml:space="preserve">• llms.txt Protocol</w:t>
            </w:r>
          </w:p>
        </w:tc>
        <w:tc>
          <w:tcPr>
            <w:tcBorders>
              <w:top w:val="single" w:color="bdc3c7" w:sz="1"/>
              <w:left w:val="single" w:color="bdc3c7" w:sz="1"/>
              <w:bottom w:val="single" w:color="bdc3c7" w:sz="1"/>
              <w:right w:val="single" w:color="bdc3c7" w:sz="1"/>
            </w:tcBorders>
          </w:tcPr>
          <w:p>
            <w:pPr>
              <w:spacing w:before="100"/>
            </w:pPr>
            <w:r>
              <w:rPr>
                <w:b/>
                <w:bCs/>
                <w:color w:val="666666"/>
                <w:sz w:val="20"/>
                <w:szCs w:val="20"/>
              </w:rPr>
              <w:t xml:space="preserve">COMPONENTS:</w:t>
            </w:r>
          </w:p>
          <w:p>
            <w:r>
              <w:rPr>
                <w:sz w:val="20"/>
                <w:szCs w:val="20"/>
              </w:rPr>
              <w:t xml:space="preserve">• Direct Answer Leads</w:t>
            </w:r>
          </w:p>
          <w:p>
            <w:r>
              <w:rPr>
                <w:sz w:val="20"/>
                <w:szCs w:val="20"/>
              </w:rPr>
              <w:t xml:space="preserve">• Structured Data</w:t>
            </w:r>
          </w:p>
          <w:p>
            <w:r>
              <w:rPr>
                <w:sz w:val="20"/>
                <w:szCs w:val="20"/>
              </w:rPr>
              <w:t xml:space="preserve">• Schema Markup</w:t>
            </w:r>
          </w:p>
          <w:p>
            <w:pPr>
              <w:spacing w:after="100"/>
            </w:pPr>
            <w:r>
              <w:rPr>
                <w:sz w:val="20"/>
                <w:szCs w:val="20"/>
              </w:rPr>
              <w:t xml:space="preserve">• ActionSchema</w:t>
            </w:r>
          </w:p>
        </w:tc>
        <w:tc>
          <w:tcPr>
            <w:tcBorders>
              <w:top w:val="single" w:color="bdc3c7" w:sz="1"/>
              <w:left w:val="single" w:color="bdc3c7" w:sz="1"/>
              <w:bottom w:val="single" w:color="bdc3c7" w:sz="1"/>
              <w:right w:val="single" w:color="2c3e50" w:sz="2"/>
            </w:tcBorders>
          </w:tcPr>
          <w:p>
            <w:pPr>
              <w:spacing w:before="100"/>
            </w:pPr>
            <w:r>
              <w:rPr>
                <w:b/>
                <w:bCs/>
                <w:color w:val="666666"/>
                <w:sz w:val="20"/>
                <w:szCs w:val="20"/>
              </w:rPr>
              <w:t xml:space="preserve">COMPONENTS:</w:t>
            </w:r>
          </w:p>
          <w:p>
            <w:r>
              <w:rPr>
                <w:sz w:val="20"/>
                <w:szCs w:val="20"/>
              </w:rPr>
              <w:t xml:space="preserve">• E-E-A-T Signals</w:t>
            </w:r>
          </w:p>
          <w:p>
            <w:r>
              <w:rPr>
                <w:sz w:val="20"/>
                <w:szCs w:val="20"/>
              </w:rPr>
              <w:t xml:space="preserve">• Entity Disambiguation</w:t>
            </w:r>
          </w:p>
          <w:p>
            <w:r>
              <w:rPr>
                <w:sz w:val="20"/>
                <w:szCs w:val="20"/>
              </w:rPr>
              <w:t xml:space="preserve">• sameAs Protocol</w:t>
            </w:r>
          </w:p>
          <w:p>
            <w:pPr>
              <w:spacing w:after="100"/>
            </w:pPr>
            <w:r>
              <w:rPr>
                <w:sz w:val="20"/>
                <w:szCs w:val="20"/>
              </w:rPr>
              <w:t xml:space="preserve">• Citation Standards</w:t>
            </w:r>
          </w:p>
        </w:tc>
      </w:tr>
      <w:tr>
        <w:tc>
          <w:tcPr>
            <w:tcBorders>
              <w:top w:val="single" w:color="bdc3c7" w:sz="1"/>
              <w:left w:val="single" w:color="2c3e50" w:sz="2"/>
              <w:bottom w:val="single" w:color="2c3e50" w:sz="2"/>
              <w:right w:val="single" w:color="bdc3c7" w:sz="1"/>
            </w:tcBorders>
            <w:shd w:fill="d6eaf8" w:val="clear"/>
          </w:tcPr>
          <w:p>
            <w:pPr>
              <w:spacing w:before="100"/>
            </w:pPr>
            <w:r>
              <w:rPr>
                <w:b/>
                <w:bCs/>
                <w:color w:val="1a5276"/>
                <w:sz w:val="20"/>
                <w:szCs w:val="20"/>
              </w:rPr>
              <w:t xml:space="preserve">OUTCOME:</w:t>
            </w:r>
          </w:p>
          <w:p>
            <w:pPr>
              <w:spacing w:after="100"/>
            </w:pPr>
            <w:r>
              <w:rPr>
                <w:i/>
                <w:iCs/>
                <w:sz w:val="20"/>
                <w:szCs w:val="20"/>
              </w:rPr>
              <w:t xml:space="preserve">40%+ visibility improvement</w:t>
            </w:r>
          </w:p>
        </w:tc>
        <w:tc>
          <w:tcPr>
            <w:tcBorders>
              <w:top w:val="single" w:color="bdc3c7" w:sz="1"/>
              <w:left w:val="single" w:color="bdc3c7" w:sz="1"/>
              <w:bottom w:val="single" w:color="2c3e50" w:sz="2"/>
              <w:right w:val="single" w:color="bdc3c7" w:sz="1"/>
            </w:tcBorders>
            <w:shd w:fill="d1f2eb" w:val="clear"/>
          </w:tcPr>
          <w:p>
            <w:pPr>
              <w:spacing w:before="100"/>
            </w:pPr>
            <w:r>
              <w:rPr>
                <w:b/>
                <w:bCs/>
                <w:color w:val="117a65"/>
                <w:sz w:val="20"/>
                <w:szCs w:val="20"/>
              </w:rPr>
              <w:t xml:space="preserve">OUTCOME:</w:t>
            </w:r>
          </w:p>
          <w:p>
            <w:pPr>
              <w:spacing w:after="100"/>
            </w:pPr>
            <w:r>
              <w:rPr>
                <w:i/>
                <w:iCs/>
                <w:sz w:val="20"/>
                <w:szCs w:val="20"/>
              </w:rPr>
              <w:t xml:space="preserve">2.4x AI summary appearance</w:t>
            </w:r>
          </w:p>
        </w:tc>
        <w:tc>
          <w:tcPr>
            <w:tcBorders>
              <w:top w:val="single" w:color="bdc3c7" w:sz="1"/>
              <w:left w:val="single" w:color="bdc3c7" w:sz="1"/>
              <w:bottom w:val="single" w:color="2c3e50" w:sz="2"/>
              <w:right w:val="single" w:color="2c3e50" w:sz="2"/>
            </w:tcBorders>
            <w:shd w:fill="fef5e7" w:val="clear"/>
          </w:tcPr>
          <w:p>
            <w:pPr>
              <w:spacing w:before="100"/>
            </w:pPr>
            <w:r>
              <w:rPr>
                <w:b/>
                <w:bCs/>
                <w:color w:val="9c640c"/>
                <w:sz w:val="20"/>
                <w:szCs w:val="20"/>
              </w:rPr>
              <w:t xml:space="preserve">OUTCOME:</w:t>
            </w:r>
          </w:p>
          <w:p>
            <w:pPr>
              <w:spacing w:after="100"/>
            </w:pPr>
            <w:r>
              <w:rPr>
                <w:i/>
                <w:iCs/>
                <w:sz w:val="20"/>
                <w:szCs w:val="20"/>
              </w:rPr>
              <w:t xml:space="preserve">Algorithmic trust signals</w:t>
            </w:r>
          </w:p>
        </w:tc>
      </w:tr>
    </w:tbl>
    <w:p>
      <w:pPr>
        <w:spacing w:before="100" w:after="300"/>
        <w:jc w:val="center"/>
      </w:pPr>
      <w:r>
        <w:rPr>
          <w:i/>
          <w:iCs/>
          <w:color w:val="666666"/>
          <w:sz w:val="20"/>
          <w:szCs w:val="20"/>
        </w:rPr>
        <w:t xml:space="preserve">Figure 1: The GEO Framework — Three Pillars of AI Visibility</w:t>
      </w:r>
    </w:p>
    <w:p>
      <w:pPr>
        <w:pStyle w:val="Heading2"/>
      </w:pPr>
      <w:r>
        <w:t xml:space="preserve">6.2 Generative Engine Optimization (GEO)</w:t>
      </w:r>
    </w:p>
    <w:p>
      <w:pPr>
        <w:spacing w:after="200"/>
      </w:pPr>
      <w:r>
        <w:rPr>
          <w:b/>
          <w:bCs/>
        </w:rPr>
        <w:t xml:space="preserve">Definition: </w:t>
      </w:r>
      <w:r>
        <w:rPr>
          <w:b/>
          <w:bCs/>
        </w:rPr>
        <w:t xml:space="preserve">Generative Engine Optimization (GEO) </w:t>
      </w:r>
      <w:r>
        <w:t xml:space="preserve">refers to the strategic practice of optimizing content for citation and synthesis by AI-powered answer systems, as distinct from traditional search engine optimization.</w:t>
      </w:r>
    </w:p>
    <w:p>
      <w:pPr>
        <w:spacing w:after="200"/>
      </w:pPr>
      <w:r>
        <w:t xml:space="preserve">GEO methodology emphasizes semantic comprehensiveness, fact density, structural clarity, and machine-readable formatting. Research indicates that systematic GEO implementation produces visibility improvements of 40% or greater in generative search results [Aggarwal et al., 2024].</w:t>
      </w:r>
    </w:p>
    <w:p>
      <w:pPr>
        <w:pStyle w:val="Heading2"/>
      </w:pPr>
      <w:r>
        <w:t xml:space="preserve">6.3 Answer Engine Optimization (AEO)</w:t>
      </w:r>
    </w:p>
    <w:p>
      <w:pPr>
        <w:spacing w:after="200"/>
      </w:pPr>
      <w:r>
        <w:rPr>
          <w:b/>
          <w:bCs/>
        </w:rPr>
        <w:t xml:space="preserve">Definition: </w:t>
      </w:r>
      <w:r>
        <w:rPr>
          <w:b/>
          <w:bCs/>
        </w:rPr>
        <w:t xml:space="preserve">Answer Engine Optimization (AEO) </w:t>
      </w:r>
      <w:r>
        <w:t xml:space="preserve">refers to the structural design of web pages to maximize retrieval and citation probability by AI answer systems.</w:t>
      </w:r>
    </w:p>
    <w:p>
      <w:pPr>
        <w:spacing w:after="200"/>
      </w:pPr>
      <w:r>
        <w:t xml:space="preserve">AEO focuses on content architecture: direct answer positioning, question-forward headings, self-contained content segments, and comprehensive structured data implementation. The methodology recognizes that AI systems retrieve and process content in segments, requiring each section to deliver value independently.</w:t>
      </w:r>
    </w:p>
    <w:p>
      <w:pPr>
        <w:pStyle w:val="Heading2"/>
      </w:pPr>
      <w:r>
        <w:t xml:space="preserve">6.4 The llms.txt Protocol</w:t>
      </w:r>
    </w:p>
    <w:p>
      <w:pPr>
        <w:spacing w:after="200"/>
      </w:pPr>
      <w:r>
        <w:rPr>
          <w:b/>
          <w:bCs/>
        </w:rPr>
        <w:t xml:space="preserve">Definition: </w:t>
      </w:r>
      <w:r>
        <w:rPr>
          <w:b/>
          <w:bCs/>
        </w:rPr>
        <w:t xml:space="preserve">llms.txt </w:t>
      </w:r>
      <w:r>
        <w:t xml:space="preserve">is an emerging standard for a machine-readable file placed at a website's root directory that provides AI systems with a structured guide to high-value content resources.</w:t>
      </w:r>
    </w:p>
    <w:p>
      <w:pPr>
        <w:spacing w:after="200"/>
      </w:pPr>
      <w:r>
        <w:t xml:space="preserve">Proposed by Jeremy Howard of Answer.AI and supported by a growing community initiative, llms.txt functions analogously to robots.txt but serves a promotional rather than restrictive purpose—highlighting content intended for AI discovery and citation.</w:t>
      </w:r>
    </w:p>
    <w:p>
      <w:pPr>
        <w:pStyle w:val="Heading2"/>
      </w:pPr>
      <w:r>
        <w:t xml:space="preserve">6.5 ActionSchema for Agentic Readiness</w:t>
      </w:r>
    </w:p>
    <w:p>
      <w:pPr>
        <w:spacing w:after="200"/>
      </w:pPr>
      <w:r>
        <w:rPr>
          <w:b/>
          <w:bCs/>
        </w:rPr>
        <w:t xml:space="preserve">Definition: </w:t>
      </w:r>
      <w:r>
        <w:rPr>
          <w:b/>
          <w:bCs/>
        </w:rPr>
        <w:t xml:space="preserve">ActionSchema </w:t>
      </w:r>
      <w:r>
        <w:t xml:space="preserve">refers to the implementation of Schema.org Action types (ReserveAction, BuyAction, SubscribeAction, etc.) that communicate to AI agents what actions are available and how to execute them.</w:t>
      </w:r>
    </w:p>
    <w:p>
      <w:pPr>
        <w:spacing w:after="200"/>
      </w:pPr>
      <w:r>
        <w:t xml:space="preserve">As AI systems evolve from answering questions to executing transactions, ActionSchema positions organizations to participate in AI-mediated commerce. Organizations implementing ActionSchema will be positioned to receive direct transactions from agentic AI systems.</w:t>
      </w:r>
    </w:p>
    <w:p>
      <w:pPr>
        <w:pStyle w:val="Heading2"/>
      </w:pPr>
      <w:r>
        <w:t xml:space="preserve">6.6 Dark Funnel Attribution</w:t>
      </w:r>
    </w:p>
    <w:p>
      <w:pPr>
        <w:spacing w:after="200"/>
      </w:pPr>
      <w:r>
        <w:rPr>
          <w:b/>
          <w:bCs/>
        </w:rPr>
        <w:t xml:space="preserve">Definition: </w:t>
      </w:r>
      <w:r>
        <w:rPr>
          <w:b/>
          <w:bCs/>
        </w:rPr>
        <w:t xml:space="preserve">Dark Funnel Attribution </w:t>
      </w:r>
      <w:r>
        <w:t xml:space="preserve">refers to methodologies for quantifying marketing influence that occurs outside traditional analytics visibility, including AI conversations, private communications, and peer recommendations.</w:t>
      </w:r>
    </w:p>
    <w:p>
      <w:pPr>
        <w:spacing w:after="200"/>
      </w:pPr>
      <w:r>
        <w:t xml:space="preserve">The concept, originated by 6sense, has acquired new significance as AI-mediated discovery creates an expanding category of influential touchpoints that cannot be directly tracked. Dark Funnel Attribution combines self-reported data, brand awareness research, and behavioral correlation analysis.</w:t>
      </w:r>
    </w:p>
    <w:p>
      <w:r>
        <w:br w:type="page"/>
      </w:r>
    </w:p>
    <w:p>
      <w:pPr>
        <w:pStyle w:val="Heading1"/>
      </w:pPr>
      <w:r>
        <w:t xml:space="preserve">7. Industry Implications</w:t>
      </w:r>
    </w:p>
    <w:p>
      <w:pPr>
        <w:spacing w:after="200"/>
      </w:pPr>
      <w:r>
        <w:t xml:space="preserve">The zero-click transformation affects different industries with varying intensity and timeline. The following analysis examines sector-specific implications.</w:t>
      </w:r>
    </w:p>
    <w:p>
      <w:pPr>
        <w:pStyle w:val="Heading2"/>
      </w:pPr>
      <w:r>
        <w:t xml:space="preserve">7.1 Publishing and Media</w:t>
      </w:r>
    </w:p>
    <w:p>
      <w:pPr>
        <w:spacing w:after="200"/>
      </w:pPr>
      <w:r>
        <w:t xml:space="preserve">Publishing organizations face the most immediate and severe impact. News organizations report substantial traffic declines as AI systems provide real-time news summaries. Editorial content is synthesized into AI responses that often do not drive traffic to original sources. The advertising-supported publishing model faces structural challenge as the traffic that supports ad revenue erodes.</w:t>
      </w:r>
    </w:p>
    <w:p>
      <w:pPr>
        <w:spacing w:after="200"/>
      </w:pPr>
      <w:r>
        <w:t xml:space="preserve">Adaptation strategies emerging in this sector include premium content gating, direct reader relationships, and licensing negotiations with AI platform operators.</w:t>
      </w:r>
    </w:p>
    <w:p>
      <w:pPr>
        <w:pStyle w:val="Heading2"/>
      </w:pPr>
      <w:r>
        <w:t xml:space="preserve">7.2 Software and Technology</w:t>
      </w:r>
    </w:p>
    <w:p>
      <w:pPr>
        <w:spacing w:after="200"/>
      </w:pPr>
      <w:r>
        <w:t xml:space="preserve">Software comparison and review sites have experienced significant disruption as AI systems aggregate their research into direct recommendations. Enterprise software buyers increasingly consult AI systems for initial vendor evaluation, receiving synthesized comparisons that may not credit original sources.</w:t>
      </w:r>
    </w:p>
    <w:p>
      <w:pPr>
        <w:spacing w:after="200"/>
      </w:pPr>
      <w:r>
        <w:t xml:space="preserve">Technology vendors that achieve "default recommendation" status in AI responses for their categories gain substantial competitive advantage. Those absent from AI recommendations face reduced discovery regardless of traditional search performance.</w:t>
      </w:r>
    </w:p>
    <w:p>
      <w:pPr>
        <w:pStyle w:val="Heading2"/>
      </w:pPr>
      <w:r>
        <w:t xml:space="preserve">7.3 Professional Services</w:t>
      </w:r>
    </w:p>
    <w:p>
      <w:pPr>
        <w:spacing w:after="200"/>
      </w:pPr>
      <w:r>
        <w:t xml:space="preserve">Professional services firms (consulting, legal, financial advisory) face dual dynamics. AI systems increasingly provide guidance that was previously available only through professional consultation, potentially reducing demand for certain service categories. Simultaneously, AI recommendations of specific firms for complex engagements carry substantial influence.</w:t>
      </w:r>
    </w:p>
    <w:p>
      <w:pPr>
        <w:spacing w:after="200"/>
      </w:pPr>
      <w:r>
        <w:t xml:space="preserve">Professional services organizations with established thought leadership and authority signals are positioned to benefit from AI citation, while those lacking digital authority may experience reduced visibility.</w:t>
      </w:r>
    </w:p>
    <w:p>
      <w:pPr>
        <w:pStyle w:val="Heading2"/>
      </w:pPr>
      <w:r>
        <w:t xml:space="preserve">7.4 E-commerce and Retail</w:t>
      </w:r>
    </w:p>
    <w:p>
      <w:pPr>
        <w:spacing w:after="200"/>
      </w:pPr>
      <w:r>
        <w:t xml:space="preserve">Product discovery is shifting from search engines to AI assistants. Consumers increasingly ask AI systems for product recommendations, receiving curated suggestions that may bypass traditional e-commerce discovery channels.</w:t>
      </w:r>
    </w:p>
    <w:p>
      <w:pPr>
        <w:spacing w:after="200"/>
      </w:pPr>
      <w:r>
        <w:t xml:space="preserve">Product visibility requires comprehensive structured data implementation, particularly Product schema with detailed specifications, pricing, and availability. Brands that provide machine-readable product information are positioned for AI recommendation; those relying solely on traditional e-commerce optimization face reduced discovery.</w:t>
      </w:r>
    </w:p>
    <w:p>
      <w:pPr>
        <w:pStyle w:val="Heading2"/>
      </w:pPr>
      <w:r>
        <w:t xml:space="preserve">7.5 Local Business</w:t>
      </w:r>
    </w:p>
    <w:p>
      <w:pPr>
        <w:spacing w:after="200"/>
      </w:pPr>
      <w:r>
        <w:t xml:space="preserve">Local businesses experience the zero-click transformation through voice assistants and mobile AI interfaces. Users ask AI systems for local recommendations—restaurants, services, retailers—and receive direct answers without visiting business websites.</w:t>
      </w:r>
    </w:p>
    <w:p>
      <w:pPr>
        <w:spacing w:after="200"/>
      </w:pPr>
      <w:r>
        <w:t xml:space="preserve">Local business visibility requires comprehensive LocalBusiness schema, accurate NAP (Name, Address, Phone) data, and presence across platforms that AI systems reference for local information.</w:t>
      </w:r>
    </w:p>
    <w:p>
      <w:r>
        <w:br w:type="page"/>
      </w:r>
    </w:p>
    <w:p>
      <w:pPr>
        <w:pStyle w:val="Heading1"/>
      </w:pPr>
      <w:r>
        <w:t xml:space="preserve">8. The Dark Funnel: Attribution Challenges</w:t>
      </w:r>
    </w:p>
    <w:p>
      <w:pPr>
        <w:spacing w:after="200"/>
      </w:pPr>
      <w:r>
        <w:t xml:space="preserve">The zero-click paradigm intensifies a pre-existing challenge in marketing attribution: the substantial portion of buyer influence that occurs outside organizational analytics visibility.</w:t>
      </w:r>
    </w:p>
    <w:p>
      <w:pPr>
        <w:pStyle w:val="Heading2"/>
      </w:pPr>
      <w:r>
        <w:t xml:space="preserve">8.1 Quantifying the Invisible</w:t>
      </w:r>
    </w:p>
    <w:p>
      <w:pPr>
        <w:spacing w:after="200"/>
      </w:pPr>
      <w:r>
        <w:t xml:space="preserve">Research by 6sense indicates that </w:t>
      </w:r>
      <w:r>
        <w:rPr>
          <w:b/>
          <w:bCs/>
        </w:rPr>
        <w:t xml:space="preserve">70% of the B2B buyer journey occurs before any trackable engagement with vendor organizations </w:t>
      </w:r>
      <w:r>
        <w:t xml:space="preserve">[6sense, 2024]. An additional study found that 80% of B2B buyers prefer to conduct independent research prior to vendor contact. These figures predate the widespread adoption of AI assistants, which add another layer of invisible influence.</w:t>
      </w:r>
    </w:p>
    <w:p>
      <w:pPr>
        <w:spacing w:after="200"/>
      </w:pPr>
      <w:r>
        <w:t xml:space="preserve">When a buyer consults ChatGPT or Perplexity regarding software categories, vendor options, or purchase criteria, that interaction is entirely invisible to traditional analytics. The influence on vendor preference is real; the attribution is impossible through conventional means.</w:t>
      </w:r>
    </w:p>
    <w:p>
      <w:pPr>
        <w:pStyle w:val="Heading2"/>
      </w:pPr>
      <w:r>
        <w:t xml:space="preserve">8.2 AI Conversations as Dark Funnel Touchpoints</w:t>
      </w:r>
    </w:p>
    <w:p>
      <w:pPr>
        <w:spacing w:after="200"/>
      </w:pPr>
      <w:r>
        <w:t xml:space="preserve">AI-mediated discovery represents a new category of dark funnel activity. Conversations with AI assistants share characteristics with other dark funnel touchpoints (private, untrackable, influential) but occur at scale and across all buyer journey stages.</w:t>
      </w:r>
    </w:p>
    <w:p>
      <w:pPr>
        <w:spacing w:after="200"/>
      </w:pPr>
      <w:r>
        <w:t xml:space="preserve">A buyer evaluating enterprise software may conduct dozens of AI conversations exploring requirements, comparing vendors, and validating decisions. None of this activity appears in any vendor's analytics. By the time the buyer initiates direct contact, their preferences have been substantially shaped by invisible AI interactions.</w:t>
      </w:r>
    </w:p>
    <w:p>
      <w:pPr>
        <w:pStyle w:val="Heading2"/>
      </w:pPr>
      <w:r>
        <w:t xml:space="preserve">8.3 Implications for Marketing Measurement</w:t>
      </w:r>
    </w:p>
    <w:p>
      <w:pPr>
        <w:spacing w:after="200"/>
      </w:pPr>
      <w:r>
        <w:t xml:space="preserve">Traditional attribution models are increasingly incomplete representations of marketing influence. Organizations relying solely on trackable touchpoints misunderstand their actual influence dynamics and may misallocate resources toward measurable but less influential activities.</w:t>
      </w:r>
    </w:p>
    <w:p>
      <w:pPr>
        <w:spacing w:after="200"/>
      </w:pPr>
      <w:r>
        <w:t xml:space="preserve">Effective measurement in the zero-click era requires supplementing analytics with brand awareness research, self-reported attribution mechanisms, AI citation monitoring, and correlation analysis between AI visibility initiatives and downstream business outcomes.</w:t>
      </w:r>
    </w:p>
    <w:p>
      <w:r>
        <w:br w:type="page"/>
      </w:r>
    </w:p>
    <w:p>
      <w:pPr>
        <w:pStyle w:val="Heading1"/>
      </w:pPr>
      <w:r>
        <w:t xml:space="preserve">9. Forward Projections: 2026-2030</w:t>
      </w:r>
    </w:p>
    <w:p>
      <w:pPr>
        <w:spacing w:after="200"/>
      </w:pPr>
      <w:r>
        <w:t xml:space="preserve">Based on current trajectories and announced platform investments, the following projections describe probable market evolution. All projections should be understood as directional indicators subject to revision as market dynamics evolve.</w:t>
      </w:r>
    </w:p>
    <w:p>
      <w:pPr>
        <w:pStyle w:val="Heading2"/>
      </w:pPr>
      <w:r>
        <w:t xml:space="preserve">9.1 Near-Term Horizon: 2026</w:t>
      </w:r>
    </w:p>
    <w:p>
      <w:pPr>
        <w:pStyle w:val="ListParagraph"/>
        <w:numPr>
          <w:ilvl w:val="0"/>
          <w:numId w:val="2"/>
        </w:numPr>
      </w:pPr>
      <w:r>
        <w:rPr>
          <w:b/>
          <w:bCs/>
        </w:rPr>
        <w:t xml:space="preserve">Traditional search volume declines 25% from 2024 baseline </w:t>
      </w:r>
      <w:r>
        <w:t xml:space="preserve">[Gartner, 2024]</w:t>
      </w:r>
    </w:p>
    <w:p>
      <w:pPr>
        <w:pStyle w:val="ListParagraph"/>
        <w:numPr>
          <w:ilvl w:val="0"/>
          <w:numId w:val="2"/>
        </w:numPr>
      </w:pPr>
      <w:r>
        <w:rPr>
          <w:b/>
          <w:bCs/>
        </w:rPr>
        <w:t xml:space="preserve">AI-enhanced search achieves 3x usage relative to standalone AI tools </w:t>
      </w:r>
      <w:r>
        <w:t xml:space="preserve">[Deloitte, 2024]</w:t>
      </w:r>
    </w:p>
    <w:p>
      <w:pPr>
        <w:pStyle w:val="ListParagraph"/>
        <w:numPr>
          <w:ilvl w:val="0"/>
          <w:numId w:val="2"/>
        </w:numPr>
      </w:pPr>
      <w:r>
        <w:rPr>
          <w:b/>
          <w:bCs/>
        </w:rPr>
        <w:t xml:space="preserve">Agentic AI market reaches $8.5 billion</w:t>
      </w:r>
    </w:p>
    <w:p>
      <w:pPr>
        <w:pStyle w:val="ListParagraph"/>
        <w:numPr>
          <w:ilvl w:val="0"/>
          <w:numId w:val="2"/>
        </w:numPr>
      </w:pPr>
      <w:r>
        <w:t xml:space="preserve">AI Overviews become default in majority of Google search results</w:t>
      </w:r>
    </w:p>
    <w:p>
      <w:pPr>
        <w:pStyle w:val="ListParagraph"/>
        <w:numPr>
          <w:ilvl w:val="0"/>
          <w:numId w:val="2"/>
        </w:numPr>
      </w:pPr>
      <w:r>
        <w:t xml:space="preserve">Enterprise adoption of GEO/AEO methodologies transitions from early adopter to early majority</w:t>
      </w:r>
    </w:p>
    <w:p>
      <w:pPr>
        <w:pStyle w:val="Heading2"/>
      </w:pPr>
      <w:r>
        <w:t xml:space="preserve">9.2 Medium-Term Horizon: 2028</w:t>
      </w:r>
    </w:p>
    <w:p>
      <w:pPr>
        <w:pStyle w:val="ListParagraph"/>
        <w:numPr>
          <w:ilvl w:val="0"/>
          <w:numId w:val="2"/>
        </w:numPr>
      </w:pPr>
      <w:r>
        <w:rPr>
          <w:b/>
          <w:bCs/>
        </w:rPr>
        <w:t xml:space="preserve">Organic search traffic declines 50% or more from 2024 baseline </w:t>
      </w:r>
      <w:r>
        <w:t xml:space="preserve">[Gartner, 2024]</w:t>
      </w:r>
    </w:p>
    <w:p>
      <w:pPr>
        <w:pStyle w:val="ListParagraph"/>
        <w:numPr>
          <w:ilvl w:val="0"/>
          <w:numId w:val="2"/>
        </w:numPr>
      </w:pPr>
      <w:r>
        <w:t xml:space="preserve">AI-mediated transactions become commonplace in consumer and B2B commerce</w:t>
      </w:r>
    </w:p>
    <w:p>
      <w:pPr>
        <w:pStyle w:val="ListParagraph"/>
        <w:numPr>
          <w:ilvl w:val="0"/>
          <w:numId w:val="2"/>
        </w:numPr>
      </w:pPr>
      <w:r>
        <w:t xml:space="preserve">Multimodal AI interfaces (voice, visual, conversational) become primary discovery mechanisms</w:t>
      </w:r>
    </w:p>
    <w:p>
      <w:pPr>
        <w:pStyle w:val="ListParagraph"/>
        <w:numPr>
          <w:ilvl w:val="0"/>
          <w:numId w:val="2"/>
        </w:numPr>
      </w:pPr>
      <w:r>
        <w:t xml:space="preserve">Organizations without AI visibility optimization experience severe competitive disadvantage</w:t>
      </w:r>
    </w:p>
    <w:p>
      <w:pPr>
        <w:pStyle w:val="Heading2"/>
      </w:pPr>
      <w:r>
        <w:t xml:space="preserve">9.3 Extended Horizon: 2030</w:t>
      </w:r>
    </w:p>
    <w:p>
      <w:pPr>
        <w:pStyle w:val="ListParagraph"/>
        <w:numPr>
          <w:ilvl w:val="0"/>
          <w:numId w:val="2"/>
        </w:numPr>
      </w:pPr>
      <w:r>
        <w:rPr>
          <w:b/>
          <w:bCs/>
        </w:rPr>
        <w:t xml:space="preserve">Agentic AI market reaches $35 billion</w:t>
      </w:r>
    </w:p>
    <w:p>
      <w:pPr>
        <w:pStyle w:val="ListParagraph"/>
        <w:numPr>
          <w:ilvl w:val="0"/>
          <w:numId w:val="2"/>
        </w:numPr>
      </w:pPr>
      <w:r>
        <w:t xml:space="preserve">AI agents conduct substantial portion of commercial transactions autonomously</w:t>
      </w:r>
    </w:p>
    <w:p>
      <w:pPr>
        <w:pStyle w:val="ListParagraph"/>
        <w:numPr>
          <w:ilvl w:val="0"/>
          <w:numId w:val="2"/>
        </w:numPr>
      </w:pPr>
      <w:r>
        <w:t xml:space="preserve">Traditional "website visit" model becomes minority of digital commerce</w:t>
      </w:r>
    </w:p>
    <w:p>
      <w:pPr>
        <w:pStyle w:val="ListParagraph"/>
        <w:numPr>
          <w:ilvl w:val="0"/>
          <w:numId w:val="2"/>
        </w:numPr>
      </w:pPr>
      <w:r>
        <w:t xml:space="preserve">Competitive advantage determined primarily by AI authority and citation status</w:t>
      </w:r>
    </w:p>
    <w:p>
      <w:pPr>
        <w:pStyle w:val="Heading2"/>
      </w:pPr>
      <w:r>
        <w:t xml:space="preserve">9.4 Strategic Windows</w:t>
      </w:r>
    </w:p>
    <w:p>
      <w:pPr>
        <w:spacing w:after="200"/>
      </w:pPr>
      <w:r>
        <w:t xml:space="preserve">The period from 2025 to 2027 represents a critical strategic window. Organizations that establish AI visibility infrastructure during this period will secure first-mover advantages as market adoption accelerates. Organizations that delay until transformation is complete will face competitive catch-up in an environment dominated by established players.</w:t>
      </w:r>
    </w:p>
    <w:p>
      <w:pPr>
        <w:spacing w:after="200"/>
      </w:pPr>
      <w:r>
        <w:t xml:space="preserve">Historical precedent suggests that digital transformation windows are finite. Organizations that failed to establish web presence in the 1990s, mobile presence in the 2010s, or social media presence in the 2010s faced sustained competitive disadvantage. The AI visibility window follows similar dynamics with compressed timelines.</w:t>
      </w:r>
    </w:p>
    <w:p>
      <w:r>
        <w:br w:type="page"/>
      </w:r>
    </w:p>
    <w:p>
      <w:pPr>
        <w:pStyle w:val="Heading1"/>
      </w:pPr>
      <w:r>
        <w:t xml:space="preserve">10. Conclusion</w:t>
      </w:r>
    </w:p>
    <w:p>
      <w:pPr>
        <w:spacing w:after="200"/>
      </w:pPr>
      <w:r>
        <w:t xml:space="preserve">The zero-click paradigm represents a structural transformation of digital commerce, not a temporary disruption or incremental evolution. The fundamental mechanisms by which consumers and enterprises discover, evaluate, and select products and services are being rebuilt around AI-mediated interfaces.</w:t>
      </w:r>
    </w:p>
    <w:p>
      <w:pPr>
        <w:spacing w:after="200"/>
      </w:pPr>
      <w:r>
        <w:t xml:space="preserve">Organizations face a strategic choice. They can treat this transformation as a distant concern, continuing to optimize for traditional search while AI platforms absorb increasing shares of discovery activity. Alternatively, they can recognize the transformation as an immediate strategic priority and begin building the authority, infrastructure, and capabilities required for AI visibility.</w:t>
      </w:r>
    </w:p>
    <w:p>
      <w:pPr>
        <w:spacing w:after="200"/>
      </w:pPr>
      <w:r>
        <w:t xml:space="preserve">The data presented in this analysis suggests that the second path offers substantially better risk-adjusted outcomes. The transformation is not speculative—it is observable in current market data and accelerating according to documented trajectories. Organizations that establish AI visibility capabilities now will compound their advantages as the market evolves.</w:t>
      </w:r>
    </w:p>
    <w:p>
      <w:pPr>
        <w:spacing w:after="200"/>
      </w:pPr>
      <w:r>
        <w:t xml:space="preserve">The zero-click paradigm does not eliminate the value of digital presence. It restructures how that value is created and captured. Visibility remains essential; the mechanisms of visibility are changing. Authority remains essential; the signals of authority are evolving. Revenue opportunity remains substantial; the pathways to that revenue are transforming.</w:t>
      </w:r>
    </w:p>
    <w:p>
      <w:pPr>
        <w:spacing w:after="200"/>
      </w:pPr>
      <w:r>
        <w:t xml:space="preserve">Organizations that understand this transformation—and act on that understanding—will define the competitive landscape of the AI-mediated commerce era.</w:t>
      </w:r>
    </w:p>
    <w:p>
      <w:pPr>
        <w:spacing w:before="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c3e50" w:sz="2"/>
              <w:left w:val="single" w:color="2c3e50" w:sz="2"/>
              <w:bottom w:val="single" w:color="2c3e50" w:sz="2"/>
              <w:right w:val="single" w:color="2c3e50" w:sz="2"/>
            </w:tcBorders>
            <w:shd w:fill="f8f9fa" w:val="clear"/>
          </w:tcPr>
          <w:p>
            <w:pPr>
              <w:spacing w:before="150" w:after="150"/>
              <w:jc w:val="center"/>
            </w:pPr>
            <w:r>
              <w:rPr>
                <w:sz w:val="22"/>
                <w:szCs w:val="22"/>
              </w:rPr>
              <w:t xml:space="preserve">The Zero-Click Paradigm is the new reality. Organizations seeking to implement the GEO Framework and accelerate their transition can access the comprehensive </w:t>
            </w:r>
            <w:r>
              <w:rPr>
                <w:b/>
                <w:bCs/>
                <w:i/>
                <w:iCs/>
                <w:sz w:val="22"/>
                <w:szCs w:val="22"/>
              </w:rPr>
              <w:t xml:space="preserve">Zero-Click Authority Manual </w:t>
            </w:r>
            <w:r>
              <w:rPr>
                <w:sz w:val="22"/>
                <w:szCs w:val="22"/>
              </w:rPr>
              <w:t xml:space="preserve">and self-assessment tools at </w:t>
            </w:r>
            <w:r>
              <w:rPr>
                <w:b/>
                <w:bCs/>
                <w:color w:val="1a5276"/>
                <w:sz w:val="22"/>
                <w:szCs w:val="22"/>
              </w:rPr>
              <w:t xml:space="preserve">Drewis.ai</w:t>
            </w:r>
            <w:r>
              <w:rPr>
                <w:sz w:val="22"/>
                <w:szCs w:val="22"/>
              </w:rPr>
              <w:t xml:space="preserve">.</w:t>
            </w:r>
          </w:p>
        </w:tc>
      </w:tr>
    </w:tbl>
    <w:p>
      <w:r>
        <w:br w:type="page"/>
      </w:r>
    </w:p>
    <w:p>
      <w:pPr>
        <w:pStyle w:val="Heading1"/>
      </w:pPr>
      <w:r>
        <w:t xml:space="preserve">References</w:t>
      </w:r>
    </w:p>
    <w:p>
      <w:pPr>
        <w:spacing w:after="150"/>
      </w:pPr>
      <w:r>
        <w:t xml:space="preserve">6sense. (2024). The Dark Funnel: Understanding the Hidden B2B Buyer Journey. 6sense Research.</w:t>
      </w:r>
    </w:p>
    <w:p>
      <w:pPr>
        <w:spacing w:after="150"/>
      </w:pPr>
      <w:r>
        <w:t xml:space="preserve">Aggarwal, P., Murahari, V., Rajpurohit, T., Kalyan, A., Narasimhan, K., &amp; Deshpande, A. (2024). GEO: Generative Engine Optimization. Princeton University &amp; Georgia Institute of Technology.</w:t>
      </w:r>
    </w:p>
    <w:p>
      <w:pPr>
        <w:spacing w:after="150"/>
      </w:pPr>
      <w:r>
        <w:t xml:space="preserve">Deloitte. (2024). Technology, Media &amp; Telecommunications Predictions 2025. Deloitte Global.</w:t>
      </w:r>
    </w:p>
    <w:p>
      <w:pPr>
        <w:spacing w:after="150"/>
      </w:pPr>
      <w:r>
        <w:t xml:space="preserve">Fishkin, R., &amp; Datos. (2024). Zero-Click Search Study 2024. SparkToro.</w:t>
      </w:r>
    </w:p>
    <w:p>
      <w:pPr>
        <w:spacing w:after="150"/>
      </w:pPr>
      <w:r>
        <w:t xml:space="preserve">Gartner. (2024). Predicts 2025: Search and AI-Driven Discovery. Gartner Research.</w:t>
      </w:r>
    </w:p>
    <w:p>
      <w:pPr>
        <w:spacing w:after="150"/>
      </w:pPr>
      <w:r>
        <w:t xml:space="preserve">Howard, J. (2024). llms.txt: A Proposal for Structured AI Guidance. Answer.AI.</w:t>
      </w:r>
    </w:p>
    <w:p>
      <w:pPr>
        <w:spacing w:after="150"/>
      </w:pPr>
      <w:r>
        <w:t xml:space="preserve">OpenAI. (2024). ChatGPT User Metrics. OpenAI Company Communications.</w:t>
      </w:r>
    </w:p>
    <w:p>
      <w:pPr>
        <w:spacing w:after="150"/>
      </w:pPr>
      <w:r>
        <w:t xml:space="preserve">Perplexity AI. (2024). Platform Growth Metrics. Perplexity AI Company Communications.</w:t>
      </w:r>
    </w:p>
    <w:p>
      <w:pPr>
        <w:spacing w:after="150"/>
      </w:pPr>
      <w:r>
        <w:t xml:space="preserve">Schema.org. (2024). Schema.org Vocabulary Specification. W3C Schema.org Community Group.</w:t>
      </w:r>
    </w:p>
    <w:p>
      <w:r>
        <w:br w:type="page"/>
      </w:r>
    </w:p>
    <w:p>
      <w:pPr>
        <w:pStyle w:val="Heading1"/>
      </w:pPr>
      <w:r>
        <w:t xml:space="preserve">About the Author</w:t>
      </w:r>
    </w:p>
    <w:p>
      <w:pPr>
        <w:spacing w:after="200"/>
      </w:pPr>
      <w:r>
        <w:rPr>
          <w:b/>
          <w:bCs/>
        </w:rPr>
        <w:t xml:space="preserve">Drew</w:t>
      </w:r>
      <w:r>
        <w:t xml:space="preserve"> is the founder and principal of DrewIs Intelligence LLC, an AI consulting and services firm specializing in enterprise AI implementation, optimization, and strategic advisory.</w:t>
      </w:r>
    </w:p>
    <w:p>
      <w:pPr>
        <w:spacing w:after="200"/>
      </w:pPr>
      <w:r>
        <w:t xml:space="preserve">With over 20 years of executive and supply chain leadership experience, Drew brings operational perspective to emerging technology adoption. His practice focuses on helping organizations navigate the transition to AI-mediated commerce, with particular emphasis on visibility optimization, cost efficiency, and practical implementation.</w:t>
      </w:r>
    </w:p>
    <w:p>
      <w:pPr>
        <w:spacing w:after="200"/>
      </w:pPr>
      <w:r>
        <w:rPr>
          <w:b/>
          <w:bCs/>
        </w:rPr>
        <w:t xml:space="preserve">Areas of expertise include: </w:t>
      </w:r>
      <w:r>
        <w:t xml:space="preserve">Generative Engine Optimization (GEO), Answer Engine Optimization (AEO), AI cost optimization, custom AI tool development, and enterprise AI strategy.</w:t>
      </w:r>
    </w:p>
    <w:p>
      <w:pPr>
        <w:spacing w:after="200"/>
      </w:pPr>
      <w:r>
        <w:rPr>
          <w:b/>
          <w:bCs/>
        </w:rPr>
        <w:t xml:space="preserve">Contact: </w:t>
      </w:r>
      <w:r>
        <w:t xml:space="preserve">email@drewis.online</w:t>
      </w:r>
    </w:p>
    <w:p>
      <w:pPr>
        <w:spacing w:after="200"/>
      </w:pPr>
      <w:r>
        <w:rPr>
          <w:b/>
          <w:bCs/>
        </w:rPr>
        <w:t xml:space="preserve">Web: </w:t>
      </w:r>
      <w:r>
        <w:t xml:space="preserve">Drewis.ai</w:t>
      </w:r>
    </w:p>
    <w:p>
      <w:r>
        <w:br w:type="page"/>
      </w:r>
    </w:p>
    <w:p>
      <w:pPr>
        <w:pStyle w:val="Heading1"/>
      </w:pPr>
      <w:r>
        <w:t xml:space="preserve">Glossary of Terms</w:t>
      </w:r>
    </w:p>
    <w:p>
      <w:pPr>
        <w:spacing w:after="100"/>
      </w:pPr>
      <w:r>
        <w:rPr>
          <w:b/>
          <w:bCs/>
        </w:rPr>
        <w:t xml:space="preserve">ActionSchema: </w:t>
      </w:r>
      <w:r>
        <w:t xml:space="preserve">The implementation of Schema.org Action types (ReserveAction, BuyAction, SubscribeAction, OrderAction, etc.) that communicate to AI agents what actions are available on a website and how to execute them. Essential for agentic AI readiness.</w:t>
      </w:r>
    </w:p>
    <w:p>
      <w:pPr>
        <w:spacing w:after="100"/>
      </w:pPr>
      <w:r>
        <w:rPr>
          <w:b/>
          <w:bCs/>
        </w:rPr>
        <w:t xml:space="preserve">Agentic AI: </w:t>
      </w:r>
      <w:r>
        <w:t xml:space="preserve">AI systems designed to execute tasks and transactions on behalf of users, extending beyond information retrieval to direct commercial action. Projected to reach $35 billion market size by 2030.</w:t>
      </w:r>
    </w:p>
    <w:p>
      <w:pPr>
        <w:spacing w:after="100"/>
      </w:pPr>
      <w:r>
        <w:rPr>
          <w:b/>
          <w:bCs/>
        </w:rPr>
        <w:t xml:space="preserve">AI Overviews: </w:t>
      </w:r>
      <w:r>
        <w:t xml:space="preserve">Google's feature that provides AI-generated summaries at the top of search results, synthesizing information from multiple sources to answer queries directly within the search interface.</w:t>
      </w:r>
    </w:p>
    <w:p>
      <w:pPr>
        <w:spacing w:after="100"/>
      </w:pPr>
      <w:r>
        <w:rPr>
          <w:b/>
          <w:bCs/>
        </w:rPr>
        <w:t xml:space="preserve">Answer Engine Optimization (AEO): </w:t>
      </w:r>
      <w:r>
        <w:t xml:space="preserve">The structural design of web pages to maximize retrieval and citation probability by AI answer systems, focusing on content architecture, direct answer positioning, and structured data implementation.</w:t>
      </w:r>
    </w:p>
    <w:p>
      <w:pPr>
        <w:spacing w:after="100"/>
      </w:pPr>
      <w:r>
        <w:rPr>
          <w:b/>
          <w:bCs/>
        </w:rPr>
        <w:t xml:space="preserve">Dark Funnel: </w:t>
      </w:r>
      <w:r>
        <w:t xml:space="preserve">Marketing influence that occurs outside traditional analytics visibility, including AI conversations, private communications, and peer recommendations. Estimated at 70% of the B2B buyer journey [6sense, 2024].</w:t>
      </w:r>
    </w:p>
    <w:p>
      <w:pPr>
        <w:spacing w:after="100"/>
      </w:pPr>
      <w:r>
        <w:rPr>
          <w:b/>
          <w:bCs/>
        </w:rPr>
        <w:t xml:space="preserve">E-E-A-T: </w:t>
      </w:r>
      <w:r>
        <w:t xml:space="preserve">Experience, Expertise, Authoritativeness, and Trustworthiness. Google's framework for evaluating content quality, increasingly relevant for AI citation selection.</w:t>
      </w:r>
    </w:p>
    <w:p>
      <w:pPr>
        <w:spacing w:after="100"/>
      </w:pPr>
      <w:r>
        <w:rPr>
          <w:b/>
          <w:bCs/>
        </w:rPr>
        <w:t xml:space="preserve">Generative Engine Optimization (GEO): </w:t>
      </w:r>
      <w:r>
        <w:t xml:space="preserve">The strategic practice of optimizing content for citation and synthesis by AI-powered answer systems. Research indicates 40%+ visibility improvements from systematic implementation [Aggarwal et al., 2024].</w:t>
      </w:r>
    </w:p>
    <w:p>
      <w:pPr>
        <w:spacing w:after="100"/>
      </w:pPr>
      <w:r>
        <w:rPr>
          <w:b/>
          <w:bCs/>
        </w:rPr>
        <w:t xml:space="preserve">llms.txt: </w:t>
      </w:r>
      <w:r>
        <w:t xml:space="preserve">An emerging standard for a machine-readable file at a website's root directory that provides AI systems with a structured guide to high-value content. Proposed by Jeremy Howard of Answer.AI.</w:t>
      </w:r>
    </w:p>
    <w:p>
      <w:pPr>
        <w:spacing w:after="100"/>
      </w:pPr>
      <w:r>
        <w:rPr>
          <w:b/>
          <w:bCs/>
        </w:rPr>
        <w:t xml:space="preserve">Retrieval-Augmented Generation (RAG): </w:t>
      </w:r>
      <w:r>
        <w:t xml:space="preserve">AI architecture that combines pre-trained model knowledge with real-time information retrieval to generate informed responses. The technical foundation of modern AI answer systems.</w:t>
      </w:r>
    </w:p>
    <w:p>
      <w:pPr>
        <w:spacing w:after="100"/>
      </w:pPr>
      <w:r>
        <w:rPr>
          <w:b/>
          <w:bCs/>
        </w:rPr>
        <w:t xml:space="preserve">sameAs: </w:t>
      </w:r>
      <w:r>
        <w:t xml:space="preserve">A Schema.org property that links an entity to equivalent representations across platforms (Wikipedia, LinkedIn, Wikidata), enabling AI systems to disambiguate and verify entity identity.</w:t>
      </w:r>
    </w:p>
    <w:p>
      <w:pPr>
        <w:spacing w:after="100"/>
      </w:pPr>
      <w:r>
        <w:rPr>
          <w:b/>
          <w:bCs/>
        </w:rPr>
        <w:t xml:space="preserve">Speakable Schema: </w:t>
      </w:r>
      <w:r>
        <w:t xml:space="preserve">A Schema.org property that designates content sections optimized for voice output, enabling voice assistants to identify content suitable for spoken delivery.</w:t>
      </w:r>
    </w:p>
    <w:p>
      <w:pPr>
        <w:spacing w:after="100"/>
      </w:pPr>
      <w:r>
        <w:rPr>
          <w:b/>
          <w:bCs/>
        </w:rPr>
        <w:t xml:space="preserve">Zero-Click Search: </w:t>
      </w:r>
      <w:r>
        <w:t xml:space="preserve">Search queries resolved within the search interface without navigation to external websites. Currently represents 58.5% of all Google searches in the US and EU [SparkToro/Datos, 2024].</w:t>
      </w:r>
    </w:p>
    <w:p>
      <w:pPr>
        <w:spacing w:after="100"/>
      </w:pPr>
      <w:r>
        <w:rPr>
          <w:b/>
          <w:bCs/>
        </w:rPr>
        <w:t xml:space="preserve">Zero-Click Paradigm: </w:t>
      </w:r>
      <w:r>
        <w:t xml:space="preserve">The structural transformation of digital commerce in which value delivery shifts from website visits to AI-mediated brand visibility and citation.</w:t>
      </w:r>
    </w:p>
    <w:p>
      <w:pPr>
        <w:spacing w:before="600"/>
      </w:pPr>
    </w:p>
    <w:p>
      <w:pPr>
        <w:jc w:val="center"/>
      </w:pPr>
      <w:r>
        <w:drawing>
          <wp:inline distT="0" distB="0" distL="0" distR="0">
            <wp:extent cx="2381250" cy="714375"/>
            <wp:effectExtent t="0" r="0" b="0" l="0"/>
            <wp:docPr id="1" name="DrewIs Logo" descr="Company logo" title="DrewIs Intelligence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381250" cy="714375"/>
                    </a:xfrm>
                    <a:prstGeom prst="rect">
                      <a:avLst/>
                    </a:prstGeom>
                  </pic:spPr>
                </pic:pic>
              </a:graphicData>
            </a:graphic>
          </wp:inline>
        </w:drawing>
      </w:r>
    </w:p>
    <w:p>
      <w:pPr>
        <w:spacing w:before="200"/>
        <w:jc w:val="center"/>
      </w:pPr>
      <w:r>
        <w:rPr>
          <w:b/>
          <w:bCs/>
          <w:sz w:val="24"/>
          <w:szCs w:val="24"/>
        </w:rPr>
        <w:t xml:space="preserve">DrewIs Intelligence LLC</w:t>
      </w:r>
    </w:p>
    <w:p>
      <w:pPr>
        <w:jc w:val="center"/>
      </w:pPr>
      <w:r>
        <w:rPr>
          <w:i/>
          <w:iCs/>
          <w:color w:val="666666"/>
          <w:sz w:val="22"/>
          <w:szCs w:val="22"/>
        </w:rPr>
        <w:t xml:space="preserve">"Rebuild. Rewire. Rise."</w:t>
      </w:r>
    </w:p>
    <w:p>
      <w:pPr>
        <w:spacing w:before="200"/>
        <w:jc w:val="center"/>
      </w:pPr>
      <w:r>
        <w:rPr>
          <w:color w:val="888888"/>
          <w:sz w:val="18"/>
          <w:szCs w:val="18"/>
        </w:rPr>
        <w:t xml:space="preserve">© 2025 DrewIs Intelligence LLC. All rights reserved.</w:t>
      </w:r>
    </w:p>
    <w:p>
      <w:pPr>
        <w:jc w:val="center"/>
      </w:pPr>
      <w:r>
        <w:rPr>
          <w:color w:val="888888"/>
          <w:sz w:val="18"/>
          <w:szCs w:val="18"/>
        </w:rPr>
        <w:t xml:space="preserve">Publication Version 1.0 • December 2025</w:t>
      </w:r>
    </w:p>
    <w:p>
      <w:pPr>
        <w:spacing w:before="100"/>
        <w:jc w:val="center"/>
      </w:pPr>
      <w:r>
        <w:rPr>
          <w:b/>
          <w:bCs/>
          <w:color w:val="1a5276"/>
          <w:sz w:val="20"/>
          <w:szCs w:val="20"/>
        </w:rPr>
        <w:t xml:space="preserve">Drewis.ai</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60"/>
      <w:jc w:val="center"/>
    </w:pPr>
    <w:r>
      <w:rPr>
        <w:rFonts w:ascii="Georgia" w:cs="Georgia" w:eastAsia="Georgia" w:hAnsi="Georgia"/>
        <w:sz w:val="18"/>
        <w:szCs w:val="18"/>
      </w:rPr>
      <w:t xml:space="preserve">Page </w:t>
    </w:r>
    <w:r>
      <w:rPr>
        <w:rFonts w:ascii="Georgia" w:cs="Georgia" w:eastAsia="Georgia" w:hAnsi="Georgia"/>
        <w:sz w:val="18"/>
        <w:szCs w:val="18"/>
      </w:rPr>
      <w:fldChar w:fldCharType="begin"/>
      <w:instrText xml:space="preserve">PAGE</w:instrText>
      <w:fldChar w:fldCharType="separate"/>
      <w:fldChar w:fldCharType="end"/>
    </w:r>
  </w:p>
  <w:p>
    <w:pPr>
      <w:jc w:val="center"/>
    </w:pPr>
    <w:r>
      <w:rPr>
        <w:rFonts w:ascii="Georgia" w:cs="Georgia" w:eastAsia="Georgia" w:hAnsi="Georgia"/>
        <w:color w:val="888888"/>
        <w:sz w:val="16"/>
        <w:szCs w:val="16"/>
      </w:rPr>
      <w:t xml:space="preserve">© 2025 DrewIs Intelligence LLC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Zero-Click Paradigm • DrewIs Intelligence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Finding %1:"/>
      <w:lvlJc w:val="left"/>
      <w:pPr>
        <w:ind w:left="720" w:hanging="7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400" w:after="200"/>
      <w:jc w:val="center"/>
    </w:pPr>
    <w:rPr>
      <w:rFonts w:ascii="Georgia" w:cs="Georgia" w:eastAsia="Georgia" w:hAnsi="Georgia"/>
      <w:b/>
      <w:bCs/>
      <w:color w:val="1a1a2e"/>
      <w:sz w:val="56"/>
      <w:szCs w:val="56"/>
    </w:rPr>
  </w:style>
  <w:style w:type="paragraph" w:styleId="Heading1">
    <w:name w:val="Heading 1"/>
    <w:basedOn w:val="Normal"/>
    <w:next w:val="Normal"/>
    <w:qFormat/>
    <w:pPr>
      <w:spacing w:before="400" w:after="200"/>
      <w:outlineLvl w:val="0"/>
    </w:pPr>
    <w:rPr>
      <w:rFonts w:ascii="Georgia" w:cs="Georgia" w:eastAsia="Georgia" w:hAnsi="Georgia"/>
      <w:b/>
      <w:bCs/>
      <w:color w:val="16213e"/>
      <w:sz w:val="32"/>
      <w:szCs w:val="32"/>
    </w:rPr>
  </w:style>
  <w:style w:type="paragraph" w:styleId="Heading2">
    <w:name w:val="Heading 2"/>
    <w:basedOn w:val="Normal"/>
    <w:next w:val="Normal"/>
    <w:qFormat/>
    <w:pPr>
      <w:spacing w:before="300" w:after="150"/>
      <w:outlineLvl w:val="1"/>
    </w:pPr>
    <w:rPr>
      <w:rFonts w:ascii="Georgia" w:cs="Georgia" w:eastAsia="Georgia" w:hAnsi="Georgia"/>
      <w:b/>
      <w:bCs/>
      <w:color w:val="1a1a2e"/>
      <w:sz w:val="26"/>
      <w:szCs w:val="26"/>
    </w:rPr>
  </w:style>
  <w:style w:type="paragraph" w:styleId="Abstract">
    <w:name w:val="Abstract"/>
    <w:basedOn w:val="Normal"/>
    <w:pPr>
      <w:spacing w:before="100" w:after="100"/>
      <w:ind w:left="720" w:right="720"/>
    </w:pPr>
    <w:rPr>
      <w:rFonts w:ascii="Georgia" w:cs="Georgia" w:eastAsia="Georgia" w:hAnsi="Georgia"/>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fc89f90b2c728653264e3c35515b495c7e7b237.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2025-12-31T16:47:42.100Z</dcterms:created>
  <dcterms:modified xsi:type="dcterms:W3CDTF">2025-12-31T16:47:42.101Z</dcterms:modified>
</cp:coreProperties>
</file>

<file path=docProps/custom.xml><?xml version="1.0" encoding="utf-8"?>
<Properties xmlns="http://schemas.openxmlformats.org/officeDocument/2006/custom-properties" xmlns:vt="http://schemas.openxmlformats.org/officeDocument/2006/docPropsVTypes"/>
</file>