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6F" w:rsidRPr="00AB76B8" w:rsidRDefault="00E7686F" w:rsidP="00E7686F">
      <w:pPr>
        <w:rPr>
          <w:rFonts w:ascii="Arial" w:hAnsi="Arial" w:cs="Arial"/>
        </w:rPr>
      </w:pPr>
      <w:r w:rsidRPr="00AB76B8">
        <w:rPr>
          <w:rFonts w:ascii="Arial" w:hAnsi="Arial" w:cs="Arial"/>
        </w:rPr>
        <w:t xml:space="preserve">Ankylosing Spondylitis and </w:t>
      </w:r>
      <w:proofErr w:type="spellStart"/>
      <w:r w:rsidRPr="00AB76B8">
        <w:rPr>
          <w:rFonts w:ascii="Arial" w:hAnsi="Arial" w:cs="Arial"/>
        </w:rPr>
        <w:t>Nonradiographic</w:t>
      </w:r>
      <w:proofErr w:type="spellEnd"/>
      <w:r w:rsidRPr="00AB76B8">
        <w:rPr>
          <w:rFonts w:ascii="Arial" w:hAnsi="Arial" w:cs="Arial"/>
        </w:rPr>
        <w:t xml:space="preserve"> Axial </w:t>
      </w:r>
      <w:proofErr w:type="spellStart"/>
      <w:r w:rsidRPr="00AB76B8">
        <w:rPr>
          <w:rFonts w:ascii="Arial" w:hAnsi="Arial" w:cs="Arial"/>
        </w:rPr>
        <w:t>Spondyloarthritis</w:t>
      </w:r>
      <w:proofErr w:type="spellEnd"/>
      <w:r w:rsidRPr="00AB76B8">
        <w:rPr>
          <w:rFonts w:ascii="Arial" w:hAnsi="Arial" w:cs="Arial"/>
        </w:rPr>
        <w:t>: Emerging Treatment Recommendations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</w:rPr>
      </w:pPr>
      <w:r w:rsidRPr="00AB76B8">
        <w:rPr>
          <w:rFonts w:ascii="Arial" w:hAnsi="Arial" w:cs="Arial"/>
          <w:b/>
        </w:rPr>
        <w:t>BACKGROUND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  <w:vertAlign w:val="superscript"/>
        </w:rPr>
      </w:pPr>
      <w:r w:rsidRPr="00AB76B8">
        <w:rPr>
          <w:rFonts w:ascii="Arial" w:hAnsi="Arial" w:cs="Arial"/>
        </w:rPr>
        <w:t>With the advent of biologics for the treatment of immune</w:t>
      </w:r>
      <w:r>
        <w:rPr>
          <w:rFonts w:ascii="Arial" w:hAnsi="Arial" w:cs="Arial"/>
        </w:rPr>
        <w:t>-</w:t>
      </w:r>
      <w:r w:rsidRPr="00AB76B8">
        <w:rPr>
          <w:rFonts w:ascii="Arial" w:hAnsi="Arial" w:cs="Arial"/>
        </w:rPr>
        <w:t>mediated arthritis in the 21</w:t>
      </w:r>
      <w:r w:rsidRPr="00AB76B8">
        <w:rPr>
          <w:rFonts w:ascii="Arial" w:hAnsi="Arial" w:cs="Arial"/>
          <w:vertAlign w:val="superscript"/>
        </w:rPr>
        <w:t>st</w:t>
      </w:r>
      <w:r w:rsidRPr="00AB76B8">
        <w:rPr>
          <w:rFonts w:ascii="Arial" w:hAnsi="Arial" w:cs="Arial"/>
        </w:rPr>
        <w:t xml:space="preserve"> century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clinicians and people with autoimmune arthritis now have numerous therapeutic options. Axial </w:t>
      </w:r>
      <w:proofErr w:type="spellStart"/>
      <w:r w:rsidRPr="00AB76B8">
        <w:rPr>
          <w:rFonts w:ascii="Arial" w:hAnsi="Arial" w:cs="Arial"/>
        </w:rPr>
        <w:t>spondyloarthritis</w:t>
      </w:r>
      <w:proofErr w:type="spellEnd"/>
      <w:r w:rsidRPr="00AB76B8">
        <w:rPr>
          <w:rFonts w:ascii="Arial" w:hAnsi="Arial" w:cs="Arial"/>
        </w:rPr>
        <w:t xml:space="preserve"> (</w:t>
      </w:r>
      <w:proofErr w:type="spellStart"/>
      <w:r w:rsidRPr="00AB76B8">
        <w:rPr>
          <w:rFonts w:ascii="Arial" w:hAnsi="Arial" w:cs="Arial"/>
        </w:rPr>
        <w:t>axSpA</w:t>
      </w:r>
      <w:proofErr w:type="spellEnd"/>
      <w:r w:rsidRPr="00AB76B8">
        <w:rPr>
          <w:rFonts w:ascii="Arial" w:hAnsi="Arial" w:cs="Arial"/>
        </w:rPr>
        <w:t>) is a term</w:t>
      </w:r>
      <w:r>
        <w:rPr>
          <w:rFonts w:ascii="Arial" w:hAnsi="Arial" w:cs="Arial"/>
        </w:rPr>
        <w:t xml:space="preserve"> describing</w:t>
      </w:r>
      <w:r w:rsidRPr="00AB76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conditions including</w:t>
      </w:r>
      <w:r w:rsidRPr="00AB76B8">
        <w:rPr>
          <w:rFonts w:ascii="Arial" w:hAnsi="Arial" w:cs="Arial"/>
        </w:rPr>
        <w:t xml:space="preserve"> radiographic axial </w:t>
      </w:r>
      <w:proofErr w:type="spellStart"/>
      <w:r w:rsidRPr="00AB76B8">
        <w:rPr>
          <w:rFonts w:ascii="Arial" w:hAnsi="Arial" w:cs="Arial"/>
        </w:rPr>
        <w:t>spondyloarthritis</w:t>
      </w:r>
      <w:proofErr w:type="spellEnd"/>
      <w:r w:rsidRPr="00AB76B8">
        <w:rPr>
          <w:rFonts w:ascii="Arial" w:hAnsi="Arial" w:cs="Arial"/>
        </w:rPr>
        <w:t xml:space="preserve">, ankylosing spondylitis (AS), and non-radiographic axial </w:t>
      </w:r>
      <w:proofErr w:type="spellStart"/>
      <w:r w:rsidRPr="00AB76B8">
        <w:rPr>
          <w:rFonts w:ascii="Arial" w:hAnsi="Arial" w:cs="Arial"/>
        </w:rPr>
        <w:t>spondyloarthritis</w:t>
      </w:r>
      <w:proofErr w:type="spellEnd"/>
      <w:r w:rsidRPr="00AB76B8">
        <w:rPr>
          <w:rFonts w:ascii="Arial" w:hAnsi="Arial" w:cs="Arial"/>
        </w:rPr>
        <w:t xml:space="preserve"> (nr-</w:t>
      </w:r>
      <w:proofErr w:type="spellStart"/>
      <w:r w:rsidRPr="00AB76B8">
        <w:rPr>
          <w:rFonts w:ascii="Arial" w:hAnsi="Arial" w:cs="Arial"/>
        </w:rPr>
        <w:t>axSpA</w:t>
      </w:r>
      <w:proofErr w:type="spellEnd"/>
      <w:r w:rsidRPr="00AB76B8">
        <w:rPr>
          <w:rFonts w:ascii="Arial" w:hAnsi="Arial" w:cs="Arial"/>
        </w:rPr>
        <w:t>.)</w:t>
      </w:r>
      <w:r w:rsidRPr="00AB76B8">
        <w:rPr>
          <w:rFonts w:ascii="Arial" w:hAnsi="Arial" w:cs="Arial"/>
          <w:vertAlign w:val="superscript"/>
        </w:rPr>
        <w:t>1</w:t>
      </w:r>
      <w:r w:rsidRPr="00AB76B8">
        <w:rPr>
          <w:rFonts w:ascii="Arial" w:hAnsi="Arial" w:cs="Arial"/>
        </w:rPr>
        <w:t xml:space="preserve"> The disease presents as inflammatory back pain and stiffness involving the spine and the sacroiliac joints with varying peripheral joint and extra-articular manifestations.</w:t>
      </w:r>
      <w:r w:rsidRPr="00AB76B8">
        <w:rPr>
          <w:rFonts w:ascii="Arial" w:hAnsi="Arial" w:cs="Arial"/>
          <w:vertAlign w:val="superscript"/>
        </w:rPr>
        <w:t>2</w:t>
      </w:r>
      <w:r w:rsidRPr="00AB76B8">
        <w:rPr>
          <w:rFonts w:ascii="Arial" w:hAnsi="Arial" w:cs="Arial"/>
        </w:rPr>
        <w:t xml:space="preserve"> 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  <w:vertAlign w:val="superscript"/>
        </w:rPr>
      </w:pPr>
      <w:r w:rsidRPr="00AB76B8">
        <w:rPr>
          <w:rFonts w:ascii="Arial" w:hAnsi="Arial" w:cs="Arial"/>
        </w:rPr>
        <w:t>The disease typically manifests in people in their third decade of life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with a 3:1 ratio of males to females in AS and a 1:1 ratio in nr-</w:t>
      </w:r>
      <w:proofErr w:type="spellStart"/>
      <w:r w:rsidRPr="00AB76B8">
        <w:rPr>
          <w:rFonts w:ascii="Arial" w:hAnsi="Arial" w:cs="Arial"/>
        </w:rPr>
        <w:t>axSpA</w:t>
      </w:r>
      <w:proofErr w:type="spellEnd"/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and has a probable genetic component based upon inheritance of the </w:t>
      </w:r>
      <w:r w:rsidRPr="00810D6F">
        <w:rPr>
          <w:rFonts w:ascii="Arial" w:hAnsi="Arial" w:cs="Arial"/>
          <w:i/>
          <w:iCs/>
        </w:rPr>
        <w:t>human leukocyte antigen-B27</w:t>
      </w:r>
      <w:r w:rsidRPr="00AB76B8">
        <w:rPr>
          <w:rFonts w:ascii="Arial" w:hAnsi="Arial" w:cs="Arial"/>
        </w:rPr>
        <w:t xml:space="preserve"> (</w:t>
      </w:r>
      <w:r w:rsidRPr="00810D6F">
        <w:rPr>
          <w:rFonts w:ascii="Arial" w:hAnsi="Arial" w:cs="Arial"/>
          <w:i/>
          <w:iCs/>
        </w:rPr>
        <w:t>HLA-B27</w:t>
      </w:r>
      <w:r w:rsidRPr="00AB76B8">
        <w:rPr>
          <w:rFonts w:ascii="Arial" w:hAnsi="Arial" w:cs="Arial"/>
        </w:rPr>
        <w:t>) gene.</w:t>
      </w:r>
      <w:r w:rsidRPr="00AB76B8">
        <w:rPr>
          <w:rFonts w:ascii="Arial" w:hAnsi="Arial" w:cs="Arial"/>
          <w:vertAlign w:val="superscript"/>
        </w:rPr>
        <w:t>3</w:t>
      </w:r>
      <w:r w:rsidRPr="00AB76B8">
        <w:rPr>
          <w:rFonts w:ascii="Arial" w:hAnsi="Arial" w:cs="Arial"/>
        </w:rPr>
        <w:t xml:space="preserve"> The prevalence of </w:t>
      </w:r>
      <w:proofErr w:type="spellStart"/>
      <w:r w:rsidRPr="00AB76B8">
        <w:rPr>
          <w:rFonts w:ascii="Arial" w:hAnsi="Arial" w:cs="Arial"/>
        </w:rPr>
        <w:t>axSpA</w:t>
      </w:r>
      <w:proofErr w:type="spellEnd"/>
      <w:r w:rsidRPr="00AB76B8">
        <w:rPr>
          <w:rFonts w:ascii="Arial" w:hAnsi="Arial" w:cs="Arial"/>
        </w:rPr>
        <w:t xml:space="preserve"> ranges from </w:t>
      </w:r>
      <w:r>
        <w:rPr>
          <w:rFonts w:ascii="Arial" w:hAnsi="Arial" w:cs="Arial"/>
        </w:rPr>
        <w:t>0</w:t>
      </w:r>
      <w:r w:rsidRPr="00AB76B8">
        <w:rPr>
          <w:rFonts w:ascii="Arial" w:hAnsi="Arial" w:cs="Arial"/>
        </w:rPr>
        <w:t>.32</w:t>
      </w:r>
      <w:r>
        <w:rPr>
          <w:rFonts w:ascii="Arial" w:hAnsi="Arial" w:cs="Arial"/>
        </w:rPr>
        <w:t>%</w:t>
      </w:r>
      <w:r w:rsidRPr="00AB76B8">
        <w:rPr>
          <w:rFonts w:ascii="Arial" w:hAnsi="Arial" w:cs="Arial"/>
        </w:rPr>
        <w:t xml:space="preserve"> to 1.4% of the global population and depends upon ethnicity and geography.</w:t>
      </w:r>
      <w:r w:rsidRPr="00AB76B8">
        <w:rPr>
          <w:rFonts w:ascii="Arial" w:hAnsi="Arial" w:cs="Arial"/>
          <w:vertAlign w:val="superscript"/>
        </w:rPr>
        <w:t>2,4</w:t>
      </w:r>
      <w:r w:rsidRPr="00AB76B8">
        <w:rPr>
          <w:rFonts w:ascii="Arial" w:hAnsi="Arial" w:cs="Arial"/>
        </w:rPr>
        <w:t xml:space="preserve"> Most studies have focused on AS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so the true prevalence and incidence of nr-</w:t>
      </w:r>
      <w:proofErr w:type="spellStart"/>
      <w:r w:rsidRPr="00AB76B8">
        <w:rPr>
          <w:rFonts w:ascii="Arial" w:hAnsi="Arial" w:cs="Arial"/>
        </w:rPr>
        <w:t>axSpA</w:t>
      </w:r>
      <w:proofErr w:type="spellEnd"/>
      <w:r w:rsidRPr="00AB76B8">
        <w:rPr>
          <w:rFonts w:ascii="Arial" w:hAnsi="Arial" w:cs="Arial"/>
        </w:rPr>
        <w:t xml:space="preserve"> is unknown.</w:t>
      </w:r>
      <w:r w:rsidRPr="00AB76B8">
        <w:rPr>
          <w:rFonts w:ascii="Arial" w:hAnsi="Arial" w:cs="Arial"/>
          <w:vertAlign w:val="superscript"/>
        </w:rPr>
        <w:t>2</w:t>
      </w:r>
    </w:p>
    <w:p w:rsidR="00E7686F" w:rsidRPr="00AB76B8" w:rsidRDefault="00E7686F" w:rsidP="00E7686F">
      <w:pPr>
        <w:rPr>
          <w:rFonts w:ascii="Arial" w:hAnsi="Arial" w:cs="Arial"/>
          <w:vertAlign w:val="superscript"/>
        </w:rPr>
      </w:pPr>
    </w:p>
    <w:p w:rsidR="00E7686F" w:rsidRPr="00AB76B8" w:rsidRDefault="00E7686F" w:rsidP="00E7686F">
      <w:pPr>
        <w:rPr>
          <w:rFonts w:ascii="Arial" w:hAnsi="Arial" w:cs="Arial"/>
        </w:rPr>
      </w:pPr>
      <w:r w:rsidRPr="00AB76B8">
        <w:rPr>
          <w:rFonts w:ascii="Arial" w:hAnsi="Arial" w:cs="Arial"/>
        </w:rPr>
        <w:t xml:space="preserve">There is a strong association </w:t>
      </w:r>
      <w:r>
        <w:rPr>
          <w:rFonts w:ascii="Arial" w:hAnsi="Arial" w:cs="Arial"/>
        </w:rPr>
        <w:t>between</w:t>
      </w:r>
      <w:r w:rsidRPr="00AB76B8">
        <w:rPr>
          <w:rFonts w:ascii="Arial" w:hAnsi="Arial" w:cs="Arial"/>
        </w:rPr>
        <w:t xml:space="preserve"> </w:t>
      </w:r>
      <w:r w:rsidRPr="00810D6F">
        <w:rPr>
          <w:rFonts w:ascii="Arial" w:hAnsi="Arial" w:cs="Arial"/>
          <w:i/>
          <w:iCs/>
        </w:rPr>
        <w:t>HLA-B27</w:t>
      </w:r>
      <w:r w:rsidRPr="00AB76B8">
        <w:rPr>
          <w:rFonts w:ascii="Arial" w:hAnsi="Arial" w:cs="Arial"/>
        </w:rPr>
        <w:t xml:space="preserve"> and </w:t>
      </w:r>
      <w:proofErr w:type="spellStart"/>
      <w:r w:rsidRPr="00AB76B8">
        <w:rPr>
          <w:rFonts w:ascii="Arial" w:hAnsi="Arial" w:cs="Arial"/>
        </w:rPr>
        <w:t>axSpA</w:t>
      </w:r>
      <w:proofErr w:type="spellEnd"/>
      <w:r w:rsidRPr="00AB76B8">
        <w:rPr>
          <w:rFonts w:ascii="Arial" w:hAnsi="Arial" w:cs="Arial"/>
        </w:rPr>
        <w:t xml:space="preserve">, but the role of </w:t>
      </w:r>
      <w:r w:rsidRPr="00810D6F">
        <w:rPr>
          <w:rFonts w:ascii="Arial" w:hAnsi="Arial" w:cs="Arial"/>
          <w:i/>
          <w:iCs/>
        </w:rPr>
        <w:t>HLA-B27</w:t>
      </w:r>
      <w:r w:rsidRPr="00AB76B8">
        <w:rPr>
          <w:rFonts w:ascii="Arial" w:hAnsi="Arial" w:cs="Arial"/>
        </w:rPr>
        <w:t xml:space="preserve"> in the disease still is not clear.</w:t>
      </w:r>
      <w:r w:rsidRPr="00AB76B8">
        <w:rPr>
          <w:rFonts w:ascii="Arial" w:hAnsi="Arial" w:cs="Arial"/>
          <w:vertAlign w:val="superscript"/>
        </w:rPr>
        <w:t>1</w:t>
      </w:r>
      <w:r w:rsidRPr="00AB76B8">
        <w:rPr>
          <w:rFonts w:ascii="Arial" w:hAnsi="Arial" w:cs="Arial"/>
        </w:rPr>
        <w:t xml:space="preserve"> People in far north cultures (eg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Scandinavian Lapps, Alaskan and Siberian Eskimos) have a higher frequency of the </w:t>
      </w:r>
      <w:r w:rsidRPr="00810D6F">
        <w:rPr>
          <w:rFonts w:ascii="Arial" w:hAnsi="Arial" w:cs="Arial"/>
          <w:i/>
          <w:iCs/>
        </w:rPr>
        <w:t>HLA-B27</w:t>
      </w:r>
      <w:r w:rsidRPr="00AB76B8">
        <w:rPr>
          <w:rFonts w:ascii="Arial" w:hAnsi="Arial" w:cs="Arial"/>
        </w:rPr>
        <w:t xml:space="preserve"> gene and have a higher frequency of occurrence of axSpA.</w:t>
      </w:r>
      <w:r w:rsidRPr="00AB76B8">
        <w:rPr>
          <w:rFonts w:ascii="Arial" w:hAnsi="Arial" w:cs="Arial"/>
          <w:vertAlign w:val="superscript"/>
        </w:rPr>
        <w:t>3</w:t>
      </w:r>
      <w:r w:rsidRPr="00AB76B8">
        <w:rPr>
          <w:rFonts w:ascii="Arial" w:hAnsi="Arial" w:cs="Arial"/>
        </w:rPr>
        <w:t xml:space="preserve"> Western Canada and US Native American tribes also have a more frequent occurrence of spondyloarthrits.</w:t>
      </w:r>
      <w:r w:rsidRPr="00AB76B8">
        <w:rPr>
          <w:rFonts w:ascii="Arial" w:hAnsi="Arial" w:cs="Arial"/>
          <w:vertAlign w:val="superscript"/>
        </w:rPr>
        <w:t>3</w:t>
      </w:r>
      <w:r w:rsidRPr="00AB76B8">
        <w:rPr>
          <w:rFonts w:ascii="Arial" w:hAnsi="Arial" w:cs="Arial"/>
        </w:rPr>
        <w:t xml:space="preserve"> 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  <w:vertAlign w:val="superscript"/>
        </w:rPr>
      </w:pPr>
      <w:r w:rsidRPr="00AB76B8">
        <w:rPr>
          <w:rFonts w:ascii="Arial" w:hAnsi="Arial" w:cs="Arial"/>
        </w:rPr>
        <w:t xml:space="preserve">Therapy for </w:t>
      </w:r>
      <w:proofErr w:type="spellStart"/>
      <w:r w:rsidRPr="00AB76B8">
        <w:rPr>
          <w:rFonts w:ascii="Arial" w:hAnsi="Arial" w:cs="Arial"/>
        </w:rPr>
        <w:t>axSpA</w:t>
      </w:r>
      <w:proofErr w:type="spellEnd"/>
      <w:r w:rsidRPr="00AB76B8">
        <w:rPr>
          <w:rFonts w:ascii="Arial" w:hAnsi="Arial" w:cs="Arial"/>
        </w:rPr>
        <w:t xml:space="preserve"> is targeted to reduce inflammation and prevent new bone formation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which in turn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decreases disease burden and improves quality of life for people with axSpA.</w:t>
      </w:r>
      <w:r w:rsidRPr="00AB76B8">
        <w:rPr>
          <w:rFonts w:ascii="Arial" w:hAnsi="Arial" w:cs="Arial"/>
          <w:vertAlign w:val="superscript"/>
        </w:rPr>
        <w:t>5</w:t>
      </w:r>
      <w:r w:rsidRPr="00AB76B8">
        <w:rPr>
          <w:rFonts w:ascii="Arial" w:hAnsi="Arial" w:cs="Arial"/>
        </w:rPr>
        <w:t xml:space="preserve"> Exercise and non-steroidal anti-inflammatory drugs (NSAIDs) are the mainstays of treatment for </w:t>
      </w:r>
      <w:proofErr w:type="spellStart"/>
      <w:r w:rsidRPr="00AB76B8">
        <w:rPr>
          <w:rFonts w:ascii="Arial" w:hAnsi="Arial" w:cs="Arial"/>
        </w:rPr>
        <w:t>axSpA</w:t>
      </w:r>
      <w:proofErr w:type="spellEnd"/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for up to 40% of affected individuals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this is enough to maintain disease control.</w:t>
      </w:r>
      <w:r w:rsidRPr="00AB76B8">
        <w:rPr>
          <w:rFonts w:ascii="Arial" w:hAnsi="Arial" w:cs="Arial"/>
          <w:vertAlign w:val="superscript"/>
        </w:rPr>
        <w:t>7,8</w:t>
      </w:r>
      <w:r w:rsidRPr="00AB76B8">
        <w:rPr>
          <w:rFonts w:ascii="Arial" w:hAnsi="Arial" w:cs="Arial"/>
        </w:rPr>
        <w:t xml:space="preserve"> People with AS have seen a substantial change in treatment protocol </w:t>
      </w:r>
      <w:r>
        <w:rPr>
          <w:rFonts w:ascii="Arial" w:hAnsi="Arial" w:cs="Arial"/>
        </w:rPr>
        <w:t>with</w:t>
      </w:r>
      <w:r w:rsidRPr="00AB76B8">
        <w:rPr>
          <w:rFonts w:ascii="Arial" w:hAnsi="Arial" w:cs="Arial"/>
        </w:rPr>
        <w:t xml:space="preserve"> the use of biologic disease-modifying antirheumatic drugs (</w:t>
      </w:r>
      <w:proofErr w:type="spellStart"/>
      <w:r w:rsidRPr="00AB76B8">
        <w:rPr>
          <w:rFonts w:ascii="Arial" w:hAnsi="Arial" w:cs="Arial"/>
        </w:rPr>
        <w:t>bDMARDs</w:t>
      </w:r>
      <w:proofErr w:type="spellEnd"/>
      <w:r w:rsidRPr="00AB76B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which is a viable treatment strategy for those who do not obtain relief with traditional treatment regime</w:t>
      </w:r>
      <w:r>
        <w:rPr>
          <w:rFonts w:ascii="Arial" w:hAnsi="Arial" w:cs="Arial"/>
        </w:rPr>
        <w:t>n</w:t>
      </w:r>
      <w:r w:rsidRPr="00AB76B8">
        <w:rPr>
          <w:rFonts w:ascii="Arial" w:hAnsi="Arial" w:cs="Arial"/>
        </w:rPr>
        <w:t>s.</w:t>
      </w:r>
      <w:r w:rsidRPr="00AB76B8">
        <w:rPr>
          <w:rFonts w:ascii="Arial" w:hAnsi="Arial" w:cs="Arial"/>
          <w:vertAlign w:val="superscript"/>
        </w:rPr>
        <w:t>8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  <w:vertAlign w:val="superscript"/>
        </w:rPr>
      </w:pPr>
      <w:r w:rsidRPr="00AB76B8">
        <w:rPr>
          <w:rFonts w:ascii="Arial" w:hAnsi="Arial" w:cs="Arial"/>
        </w:rPr>
        <w:t xml:space="preserve">Clinical trials have shown that interleukin (IL)-17 and tumor necrosis factor </w:t>
      </w:r>
      <w:r w:rsidRPr="00AB76B8">
        <w:rPr>
          <w:rFonts w:ascii="Arial" w:hAnsi="Arial" w:cs="Arial"/>
          <w:shd w:val="clear" w:color="auto" w:fill="FFFFFF"/>
        </w:rPr>
        <w:t>(TNF) are both involved in disease pathogenesis</w:t>
      </w:r>
      <w:r>
        <w:rPr>
          <w:rFonts w:ascii="Arial" w:hAnsi="Arial" w:cs="Arial"/>
          <w:shd w:val="clear" w:color="auto" w:fill="FFFFFF"/>
        </w:rPr>
        <w:t>,</w:t>
      </w:r>
      <w:r w:rsidRPr="00AB76B8">
        <w:rPr>
          <w:rFonts w:ascii="Arial" w:hAnsi="Arial" w:cs="Arial"/>
          <w:shd w:val="clear" w:color="auto" w:fill="FFFFFF"/>
        </w:rPr>
        <w:t xml:space="preserve"> and therapies have been directed towards these </w:t>
      </w:r>
      <w:proofErr w:type="gramStart"/>
      <w:r w:rsidRPr="00AB76B8">
        <w:rPr>
          <w:rFonts w:ascii="Arial" w:hAnsi="Arial" w:cs="Arial"/>
          <w:shd w:val="clear" w:color="auto" w:fill="FFFFFF"/>
        </w:rPr>
        <w:t>cytokines.</w:t>
      </w:r>
      <w:r w:rsidRPr="00AB76B8">
        <w:rPr>
          <w:rFonts w:ascii="Arial" w:hAnsi="Arial" w:cs="Arial"/>
          <w:shd w:val="clear" w:color="auto" w:fill="FFFFFF"/>
          <w:vertAlign w:val="superscript"/>
        </w:rPr>
        <w:t>1</w:t>
      </w:r>
      <w:r w:rsidRPr="00AB76B8">
        <w:rPr>
          <w:rFonts w:ascii="Arial" w:hAnsi="Arial" w:cs="Arial"/>
          <w:shd w:val="clear" w:color="auto" w:fill="FFFFFF"/>
        </w:rPr>
        <w:t xml:space="preserve"> </w:t>
      </w:r>
      <w:r w:rsidRPr="00AB76B8">
        <w:rPr>
          <w:rFonts w:ascii="Arial" w:hAnsi="Arial" w:cs="Arial"/>
        </w:rPr>
        <w:t xml:space="preserve"> Tumor</w:t>
      </w:r>
      <w:proofErr w:type="gramEnd"/>
      <w:r w:rsidRPr="00AB76B8">
        <w:rPr>
          <w:rFonts w:ascii="Arial" w:hAnsi="Arial" w:cs="Arial"/>
        </w:rPr>
        <w:t xml:space="preserve"> necrosis factor alpha inhibitors (</w:t>
      </w:r>
      <w:proofErr w:type="spellStart"/>
      <w:r w:rsidRPr="00AB76B8">
        <w:rPr>
          <w:rFonts w:ascii="Arial" w:hAnsi="Arial" w:cs="Arial"/>
        </w:rPr>
        <w:t>TNFi</w:t>
      </w:r>
      <w:proofErr w:type="spellEnd"/>
      <w:r w:rsidRPr="00AB76B8">
        <w:rPr>
          <w:rFonts w:ascii="Arial" w:hAnsi="Arial" w:cs="Arial"/>
        </w:rPr>
        <w:t xml:space="preserve">) are </w:t>
      </w:r>
      <w:r>
        <w:rPr>
          <w:rFonts w:ascii="Arial" w:hAnsi="Arial" w:cs="Arial"/>
        </w:rPr>
        <w:t>used</w:t>
      </w:r>
      <w:r w:rsidRPr="00AB76B8">
        <w:rPr>
          <w:rFonts w:ascii="Arial" w:hAnsi="Arial" w:cs="Arial"/>
        </w:rPr>
        <w:t xml:space="preserve"> to treat </w:t>
      </w:r>
      <w:proofErr w:type="spellStart"/>
      <w:r w:rsidRPr="00AB76B8">
        <w:rPr>
          <w:rFonts w:ascii="Arial" w:hAnsi="Arial" w:cs="Arial"/>
        </w:rPr>
        <w:t>axSpA</w:t>
      </w:r>
      <w:proofErr w:type="spellEnd"/>
      <w:r w:rsidRPr="00AB76B8">
        <w:rPr>
          <w:rFonts w:ascii="Arial" w:hAnsi="Arial" w:cs="Arial"/>
        </w:rPr>
        <w:t xml:space="preserve"> if NSAIDs do not work. </w:t>
      </w:r>
      <w:proofErr w:type="spellStart"/>
      <w:r>
        <w:rPr>
          <w:rFonts w:ascii="Arial" w:hAnsi="Arial" w:cs="Arial"/>
        </w:rPr>
        <w:t>TNFis</w:t>
      </w:r>
      <w:proofErr w:type="spellEnd"/>
      <w:r w:rsidRPr="00AB76B8">
        <w:rPr>
          <w:rFonts w:ascii="Arial" w:hAnsi="Arial" w:cs="Arial"/>
        </w:rPr>
        <w:t xml:space="preserve"> include adalimumab, etanercept, </w:t>
      </w:r>
      <w:proofErr w:type="spellStart"/>
      <w:r w:rsidRPr="00AB76B8">
        <w:rPr>
          <w:rFonts w:ascii="Arial" w:hAnsi="Arial" w:cs="Arial"/>
        </w:rPr>
        <w:t>certolizumab</w:t>
      </w:r>
      <w:proofErr w:type="spellEnd"/>
      <w:r w:rsidRPr="00AB76B8">
        <w:rPr>
          <w:rFonts w:ascii="Arial" w:hAnsi="Arial" w:cs="Arial"/>
        </w:rPr>
        <w:t xml:space="preserve"> </w:t>
      </w:r>
      <w:proofErr w:type="spellStart"/>
      <w:r w:rsidRPr="00AB76B8">
        <w:rPr>
          <w:rFonts w:ascii="Arial" w:hAnsi="Arial" w:cs="Arial"/>
        </w:rPr>
        <w:t>pegol</w:t>
      </w:r>
      <w:proofErr w:type="spellEnd"/>
      <w:r w:rsidRPr="00AB76B8">
        <w:rPr>
          <w:rFonts w:ascii="Arial" w:hAnsi="Arial" w:cs="Arial"/>
        </w:rPr>
        <w:t>, and golimumab.</w:t>
      </w:r>
      <w:r w:rsidRPr="00AB76B8">
        <w:rPr>
          <w:rFonts w:ascii="Arial" w:hAnsi="Arial" w:cs="Arial"/>
          <w:vertAlign w:val="superscript"/>
        </w:rPr>
        <w:t>7</w:t>
      </w:r>
      <w:r w:rsidRPr="00AB76B8">
        <w:rPr>
          <w:rFonts w:ascii="Arial" w:hAnsi="Arial" w:cs="Arial"/>
        </w:rPr>
        <w:t xml:space="preserve"> </w:t>
      </w:r>
      <w:proofErr w:type="gramStart"/>
      <w:r w:rsidRPr="00AB76B8">
        <w:rPr>
          <w:rFonts w:ascii="Arial" w:hAnsi="Arial" w:cs="Arial"/>
        </w:rPr>
        <w:t>For</w:t>
      </w:r>
      <w:proofErr w:type="gramEnd"/>
      <w:r w:rsidRPr="00AB76B8">
        <w:rPr>
          <w:rFonts w:ascii="Arial" w:hAnsi="Arial" w:cs="Arial"/>
        </w:rPr>
        <w:t xml:space="preserve"> people with ankylosing spondylitis (AS)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infliximab is also an option.</w:t>
      </w:r>
      <w:r w:rsidRPr="00AB76B8">
        <w:rPr>
          <w:rFonts w:ascii="Arial" w:hAnsi="Arial" w:cs="Arial"/>
          <w:vertAlign w:val="superscript"/>
        </w:rPr>
        <w:t xml:space="preserve">7 </w:t>
      </w:r>
    </w:p>
    <w:p w:rsidR="00E7686F" w:rsidRPr="00AB76B8" w:rsidRDefault="00E7686F" w:rsidP="00E7686F">
      <w:pPr>
        <w:rPr>
          <w:rFonts w:ascii="Arial" w:hAnsi="Arial" w:cs="Arial"/>
          <w:vertAlign w:val="superscript"/>
        </w:rPr>
      </w:pPr>
    </w:p>
    <w:p w:rsidR="00E7686F" w:rsidRPr="00AB76B8" w:rsidRDefault="00E7686F" w:rsidP="00E7686F">
      <w:pPr>
        <w:rPr>
          <w:rFonts w:ascii="Arial" w:hAnsi="Arial" w:cs="Arial"/>
        </w:rPr>
      </w:pPr>
      <w:r w:rsidRPr="00AB76B8">
        <w:rPr>
          <w:rFonts w:ascii="Arial" w:hAnsi="Arial" w:cs="Arial"/>
        </w:rPr>
        <w:t xml:space="preserve">Recent approval of </w:t>
      </w:r>
      <w:proofErr w:type="spellStart"/>
      <w:r w:rsidRPr="00AB76B8">
        <w:rPr>
          <w:rFonts w:ascii="Arial" w:hAnsi="Arial" w:cs="Arial"/>
        </w:rPr>
        <w:t>secukinumab</w:t>
      </w:r>
      <w:proofErr w:type="spellEnd"/>
      <w:r w:rsidRPr="00AB76B8">
        <w:rPr>
          <w:rFonts w:ascii="Arial" w:hAnsi="Arial" w:cs="Arial"/>
        </w:rPr>
        <w:t>, an IL-17A inhibitor, has ushered in a new alternative in disease management.</w:t>
      </w:r>
      <w:r w:rsidRPr="00AB76B8">
        <w:rPr>
          <w:rFonts w:ascii="Arial" w:hAnsi="Arial" w:cs="Arial"/>
          <w:vertAlign w:val="superscript"/>
        </w:rPr>
        <w:t>8</w:t>
      </w:r>
      <w:r w:rsidRPr="00AB76B8">
        <w:rPr>
          <w:rFonts w:ascii="Arial" w:hAnsi="Arial" w:cs="Arial"/>
        </w:rPr>
        <w:t xml:space="preserve"> According to </w:t>
      </w:r>
      <w:proofErr w:type="spellStart"/>
      <w:r w:rsidRPr="00AB76B8">
        <w:rPr>
          <w:rFonts w:ascii="Arial" w:hAnsi="Arial" w:cs="Arial"/>
        </w:rPr>
        <w:t>Rademacher</w:t>
      </w:r>
      <w:proofErr w:type="spellEnd"/>
      <w:r w:rsidRPr="00AB76B8">
        <w:rPr>
          <w:rFonts w:ascii="Arial" w:hAnsi="Arial" w:cs="Arial"/>
        </w:rPr>
        <w:t xml:space="preserve"> and </w:t>
      </w:r>
      <w:bookmarkStart w:id="0" w:name="OLE_LINK1"/>
      <w:bookmarkStart w:id="1" w:name="OLE_LINK2"/>
      <w:proofErr w:type="spellStart"/>
      <w:r w:rsidRPr="00AB76B8">
        <w:rPr>
          <w:rFonts w:ascii="Arial" w:hAnsi="Arial" w:cs="Arial"/>
        </w:rPr>
        <w:t>Poddubnyy</w:t>
      </w:r>
      <w:bookmarkEnd w:id="0"/>
      <w:bookmarkEnd w:id="1"/>
      <w:proofErr w:type="spellEnd"/>
      <w:r>
        <w:rPr>
          <w:rFonts w:ascii="Arial" w:hAnsi="Arial" w:cs="Arial"/>
        </w:rPr>
        <w:t>,</w:t>
      </w:r>
      <w:r w:rsidRPr="00AB76B8">
        <w:rPr>
          <w:rFonts w:ascii="Arial" w:hAnsi="Arial" w:cs="Arial"/>
          <w:vertAlign w:val="superscript"/>
        </w:rPr>
        <w:t xml:space="preserve"> </w:t>
      </w:r>
      <w:r w:rsidRPr="00AB76B8">
        <w:rPr>
          <w:rFonts w:ascii="Arial" w:hAnsi="Arial" w:cs="Arial"/>
        </w:rPr>
        <w:t>there remains “an unmet need for further emerging therapeutic options” and “an emerging need for trials aiming at identification of optional treatment strategies” in axial spondyloarthritis.</w:t>
      </w:r>
      <w:r w:rsidRPr="00AB76B8">
        <w:rPr>
          <w:rFonts w:ascii="Arial" w:hAnsi="Arial" w:cs="Arial"/>
          <w:vertAlign w:val="superscript"/>
        </w:rPr>
        <w:t>6</w:t>
      </w:r>
      <w:r w:rsidRPr="00AB76B8">
        <w:rPr>
          <w:rFonts w:ascii="Arial" w:hAnsi="Arial" w:cs="Arial"/>
        </w:rPr>
        <w:t xml:space="preserve"> In addition to </w:t>
      </w:r>
      <w:proofErr w:type="spellStart"/>
      <w:r w:rsidRPr="00AB76B8">
        <w:rPr>
          <w:rFonts w:ascii="Arial" w:hAnsi="Arial" w:cs="Arial"/>
        </w:rPr>
        <w:t>secukinumab</w:t>
      </w:r>
      <w:proofErr w:type="spellEnd"/>
      <w:r w:rsidRPr="00AB76B8">
        <w:rPr>
          <w:rFonts w:ascii="Arial" w:hAnsi="Arial" w:cs="Arial"/>
        </w:rPr>
        <w:t xml:space="preserve">, </w:t>
      </w:r>
      <w:proofErr w:type="spellStart"/>
      <w:r w:rsidRPr="00AB76B8">
        <w:rPr>
          <w:rFonts w:ascii="Arial" w:hAnsi="Arial" w:cs="Arial"/>
        </w:rPr>
        <w:t>ixekizumab</w:t>
      </w:r>
      <w:proofErr w:type="spellEnd"/>
      <w:r w:rsidRPr="00AB76B8">
        <w:rPr>
          <w:rFonts w:ascii="Arial" w:hAnsi="Arial" w:cs="Arial"/>
        </w:rPr>
        <w:t xml:space="preserve"> is “the second emergent IL-17A antagonist”</w:t>
      </w:r>
      <w:r w:rsidRPr="00AB76B8">
        <w:rPr>
          <w:rFonts w:ascii="Arial" w:hAnsi="Arial" w:cs="Arial"/>
          <w:vertAlign w:val="superscript"/>
        </w:rPr>
        <w:t xml:space="preserve"> </w:t>
      </w:r>
      <w:r w:rsidRPr="00AB76B8">
        <w:rPr>
          <w:rFonts w:ascii="Arial" w:hAnsi="Arial" w:cs="Arial"/>
        </w:rPr>
        <w:t xml:space="preserve">option for those people with </w:t>
      </w:r>
      <w:proofErr w:type="spellStart"/>
      <w:r w:rsidRPr="00AB76B8">
        <w:rPr>
          <w:rFonts w:ascii="Arial" w:hAnsi="Arial" w:cs="Arial"/>
        </w:rPr>
        <w:t>axSpA</w:t>
      </w:r>
      <w:proofErr w:type="spellEnd"/>
      <w:r w:rsidRPr="00AB76B8">
        <w:rPr>
          <w:rFonts w:ascii="Arial" w:hAnsi="Arial" w:cs="Arial"/>
        </w:rPr>
        <w:t xml:space="preserve"> who do not respond to or tolerate TNFi.</w:t>
      </w:r>
      <w:r w:rsidRPr="00AB76B8">
        <w:rPr>
          <w:rFonts w:ascii="Arial" w:hAnsi="Arial" w:cs="Arial"/>
          <w:vertAlign w:val="superscript"/>
        </w:rPr>
        <w:t>9</w:t>
      </w:r>
    </w:p>
    <w:p w:rsidR="00E7686F" w:rsidRPr="00AB76B8" w:rsidRDefault="00E7686F" w:rsidP="00E7686F">
      <w:pPr>
        <w:rPr>
          <w:rFonts w:ascii="Arial" w:hAnsi="Arial" w:cs="Arial"/>
          <w:vertAlign w:val="superscript"/>
        </w:rPr>
      </w:pPr>
    </w:p>
    <w:p w:rsidR="00E7686F" w:rsidRPr="00AB76B8" w:rsidRDefault="00E7686F" w:rsidP="00E7686F">
      <w:pPr>
        <w:rPr>
          <w:rFonts w:ascii="Arial" w:hAnsi="Arial" w:cs="Arial"/>
          <w:vertAlign w:val="superscript"/>
        </w:rPr>
      </w:pP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Default="00E7686F" w:rsidP="00E7686F">
      <w:pPr>
        <w:contextualSpacing/>
        <w:rPr>
          <w:rFonts w:ascii="Arial" w:hAnsi="Arial" w:cs="Arial"/>
          <w:b/>
        </w:rPr>
      </w:pPr>
    </w:p>
    <w:p w:rsidR="00E7686F" w:rsidRPr="00AB76B8" w:rsidRDefault="00E7686F" w:rsidP="00E7686F">
      <w:pPr>
        <w:contextualSpacing/>
        <w:rPr>
          <w:rFonts w:ascii="Arial" w:hAnsi="Arial" w:cs="Arial"/>
          <w:b/>
        </w:rPr>
      </w:pPr>
      <w:r w:rsidRPr="00AB76B8">
        <w:rPr>
          <w:rFonts w:ascii="Arial" w:hAnsi="Arial" w:cs="Arial"/>
          <w:b/>
        </w:rPr>
        <w:lastRenderedPageBreak/>
        <w:t>EDUCATIONAL ANALYSIS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  <w:r w:rsidRPr="00AB76B8">
        <w:rPr>
          <w:rFonts w:ascii="Arial" w:hAnsi="Arial" w:cs="Arial"/>
          <w:b/>
        </w:rPr>
        <w:t>Gap #1: Clinicians may be unaware of the 2019 update of the American College of Rheumatology/Spondylitis Association of America/</w:t>
      </w:r>
      <w:proofErr w:type="spellStart"/>
      <w:r w:rsidRPr="00AB76B8">
        <w:rPr>
          <w:rFonts w:ascii="Arial" w:hAnsi="Arial" w:cs="Arial"/>
          <w:b/>
        </w:rPr>
        <w:t>Spondyloarthritis</w:t>
      </w:r>
      <w:proofErr w:type="spellEnd"/>
      <w:r w:rsidRPr="00AB76B8">
        <w:rPr>
          <w:rFonts w:ascii="Arial" w:hAnsi="Arial" w:cs="Arial"/>
          <w:b/>
        </w:rPr>
        <w:t xml:space="preserve"> Research and Treatment Network recommendations for the treatment of AS and nr-</w:t>
      </w:r>
      <w:proofErr w:type="spellStart"/>
      <w:r w:rsidRPr="00AB76B8">
        <w:rPr>
          <w:rFonts w:ascii="Arial" w:hAnsi="Arial" w:cs="Arial"/>
          <w:b/>
        </w:rPr>
        <w:t>axSpA</w:t>
      </w:r>
      <w:proofErr w:type="spellEnd"/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  <w:r w:rsidRPr="00AB76B8">
        <w:rPr>
          <w:rFonts w:ascii="Arial" w:hAnsi="Arial" w:cs="Arial"/>
          <w:b/>
        </w:rPr>
        <w:t>Learning Objective #1: Review the updated treatment recommendations for AS and nr-</w:t>
      </w:r>
      <w:proofErr w:type="spellStart"/>
      <w:r w:rsidRPr="00AB76B8">
        <w:rPr>
          <w:rFonts w:ascii="Arial" w:hAnsi="Arial" w:cs="Arial"/>
          <w:b/>
        </w:rPr>
        <w:t>axSpA</w:t>
      </w:r>
      <w:proofErr w:type="spellEnd"/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</w:p>
    <w:p w:rsidR="00E7686F" w:rsidRPr="00AB76B8" w:rsidRDefault="00E7686F" w:rsidP="00E7686F">
      <w:pPr>
        <w:tabs>
          <w:tab w:val="left" w:pos="1080"/>
        </w:tabs>
        <w:rPr>
          <w:rFonts w:ascii="Arial" w:hAnsi="Arial" w:cs="Arial"/>
          <w:shd w:val="clear" w:color="auto" w:fill="FFFFFF"/>
        </w:rPr>
      </w:pPr>
    </w:p>
    <w:p w:rsidR="00E7686F" w:rsidRPr="00AB76B8" w:rsidRDefault="00E7686F" w:rsidP="00E7686F">
      <w:pPr>
        <w:tabs>
          <w:tab w:val="left" w:pos="1080"/>
        </w:tabs>
        <w:rPr>
          <w:rFonts w:ascii="Arial" w:hAnsi="Arial" w:cs="Arial"/>
          <w:shd w:val="clear" w:color="auto" w:fill="FFFFFF"/>
        </w:rPr>
      </w:pPr>
      <w:r w:rsidRPr="00AB76B8">
        <w:rPr>
          <w:rFonts w:ascii="Arial" w:hAnsi="Arial" w:cs="Arial"/>
          <w:shd w:val="clear" w:color="auto" w:fill="FFFFFF"/>
        </w:rPr>
        <w:t>The 2015 guidelines of the  American College of Rheumatology/Spondylitis Association of America/</w:t>
      </w:r>
      <w:proofErr w:type="spellStart"/>
      <w:r w:rsidRPr="00AB76B8">
        <w:rPr>
          <w:rFonts w:ascii="Arial" w:hAnsi="Arial" w:cs="Arial"/>
          <w:shd w:val="clear" w:color="auto" w:fill="FFFFFF"/>
        </w:rPr>
        <w:t>Spondyloarthritis</w:t>
      </w:r>
      <w:proofErr w:type="spellEnd"/>
      <w:r w:rsidRPr="00AB76B8">
        <w:rPr>
          <w:rFonts w:ascii="Arial" w:hAnsi="Arial" w:cs="Arial"/>
          <w:shd w:val="clear" w:color="auto" w:fill="FFFFFF"/>
        </w:rPr>
        <w:t xml:space="preserve"> Research and Treatment Network set forth recommendations for the treatment of people with AS and nr-axSpA.</w:t>
      </w:r>
      <w:r w:rsidRPr="00AB76B8">
        <w:rPr>
          <w:rFonts w:ascii="Arial" w:hAnsi="Arial" w:cs="Arial"/>
          <w:shd w:val="clear" w:color="auto" w:fill="FFFFFF"/>
          <w:vertAlign w:val="superscript"/>
        </w:rPr>
        <w:t>2,5</w:t>
      </w:r>
      <w:r w:rsidRPr="00AB76B8">
        <w:rPr>
          <w:rFonts w:ascii="Arial" w:hAnsi="Arial" w:cs="Arial"/>
          <w:shd w:val="clear" w:color="auto" w:fill="FFFFFF"/>
        </w:rPr>
        <w:t xml:space="preserve">  The use of NSAIDs and physical therapy was strongly supported along with hip arthroplasty if warranted. If NSAIDs did not decrease disease activity</w:t>
      </w:r>
      <w:r>
        <w:rPr>
          <w:rFonts w:ascii="Arial" w:hAnsi="Arial" w:cs="Arial"/>
          <w:shd w:val="clear" w:color="auto" w:fill="FFFFFF"/>
        </w:rPr>
        <w:t>,</w:t>
      </w:r>
      <w:r w:rsidRPr="00AB76B8">
        <w:rPr>
          <w:rFonts w:ascii="Arial" w:hAnsi="Arial" w:cs="Arial"/>
          <w:shd w:val="clear" w:color="auto" w:fill="FFFFFF"/>
        </w:rPr>
        <w:t xml:space="preserve"> the use of </w:t>
      </w:r>
      <w:proofErr w:type="spellStart"/>
      <w:r w:rsidRPr="00AB76B8">
        <w:rPr>
          <w:rFonts w:ascii="Arial" w:hAnsi="Arial" w:cs="Arial"/>
        </w:rPr>
        <w:t>TNFi</w:t>
      </w:r>
      <w:proofErr w:type="spellEnd"/>
      <w:r w:rsidRPr="00AB76B8">
        <w:rPr>
          <w:rFonts w:ascii="Arial" w:hAnsi="Arial" w:cs="Arial"/>
          <w:shd w:val="clear" w:color="auto" w:fill="FFFFFF"/>
        </w:rPr>
        <w:t xml:space="preserve"> was then recommended. The use of systemic glucocorticoids was not recommended</w:t>
      </w:r>
      <w:r>
        <w:rPr>
          <w:rFonts w:ascii="Arial" w:hAnsi="Arial" w:cs="Arial"/>
          <w:shd w:val="clear" w:color="auto" w:fill="FFFFFF"/>
        </w:rPr>
        <w:t>,</w:t>
      </w:r>
      <w:r w:rsidRPr="00AB76B8">
        <w:rPr>
          <w:rFonts w:ascii="Arial" w:hAnsi="Arial" w:cs="Arial"/>
          <w:shd w:val="clear" w:color="auto" w:fill="FFFFFF"/>
        </w:rPr>
        <w:t xml:space="preserve"> and no particular </w:t>
      </w:r>
      <w:proofErr w:type="spellStart"/>
      <w:r w:rsidRPr="00AB76B8">
        <w:rPr>
          <w:rFonts w:ascii="Arial" w:hAnsi="Arial" w:cs="Arial"/>
        </w:rPr>
        <w:t>TNFi</w:t>
      </w:r>
      <w:proofErr w:type="spellEnd"/>
      <w:r w:rsidRPr="00AB76B8">
        <w:rPr>
          <w:rFonts w:ascii="Arial" w:hAnsi="Arial" w:cs="Arial"/>
          <w:shd w:val="clear" w:color="auto" w:fill="FFFFFF"/>
        </w:rPr>
        <w:t xml:space="preserve"> preference was given</w:t>
      </w:r>
      <w:r>
        <w:rPr>
          <w:rFonts w:ascii="Arial" w:hAnsi="Arial" w:cs="Arial"/>
          <w:shd w:val="clear" w:color="auto" w:fill="FFFFFF"/>
        </w:rPr>
        <w:t>,</w:t>
      </w:r>
      <w:r w:rsidRPr="00AB76B8">
        <w:rPr>
          <w:rFonts w:ascii="Arial" w:hAnsi="Arial" w:cs="Arial"/>
          <w:shd w:val="clear" w:color="auto" w:fill="FFFFFF"/>
        </w:rPr>
        <w:t xml:space="preserve"> with the exception of </w:t>
      </w:r>
      <w:proofErr w:type="spellStart"/>
      <w:r w:rsidRPr="00AB76B8">
        <w:rPr>
          <w:rFonts w:ascii="Arial" w:hAnsi="Arial" w:cs="Arial"/>
          <w:shd w:val="clear" w:color="auto" w:fill="FFFFFF"/>
        </w:rPr>
        <w:t>TNFi</w:t>
      </w:r>
      <w:proofErr w:type="spellEnd"/>
      <w:r w:rsidRPr="00AB76B8">
        <w:rPr>
          <w:rFonts w:ascii="Arial" w:hAnsi="Arial" w:cs="Arial"/>
          <w:shd w:val="clear" w:color="auto" w:fill="FFFFFF"/>
        </w:rPr>
        <w:t xml:space="preserve"> monoclonal antibody use in people with</w:t>
      </w:r>
      <w:r>
        <w:rPr>
          <w:rFonts w:ascii="Arial" w:hAnsi="Arial" w:cs="Arial"/>
          <w:shd w:val="clear" w:color="auto" w:fill="FFFFFF"/>
        </w:rPr>
        <w:t xml:space="preserve"> Inflammatory Bowel Disease</w:t>
      </w:r>
      <w:r w:rsidRPr="00AB76B8">
        <w:rPr>
          <w:rFonts w:ascii="Arial" w:hAnsi="Arial" w:cs="Arial"/>
          <w:shd w:val="clear" w:color="auto" w:fill="FFFFFF"/>
        </w:rPr>
        <w:t xml:space="preserve"> IBD</w:t>
      </w:r>
      <w:r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  <w:vertAlign w:val="superscript"/>
        </w:rPr>
        <w:t>5</w:t>
      </w:r>
      <w:r w:rsidRPr="00AB76B8">
        <w:rPr>
          <w:rFonts w:ascii="Arial" w:hAnsi="Arial" w:cs="Arial"/>
          <w:shd w:val="clear" w:color="auto" w:fill="FFFFFF"/>
        </w:rPr>
        <w:t xml:space="preserve"> </w:t>
      </w:r>
    </w:p>
    <w:p w:rsidR="00E7686F" w:rsidRDefault="00E7686F" w:rsidP="00E7686F">
      <w:pPr>
        <w:tabs>
          <w:tab w:val="left" w:pos="1080"/>
        </w:tabs>
        <w:rPr>
          <w:rFonts w:ascii="Arial" w:hAnsi="Arial" w:cs="Arial"/>
          <w:shd w:val="clear" w:color="auto" w:fill="FFFFFF"/>
        </w:rPr>
      </w:pPr>
    </w:p>
    <w:p w:rsidR="00E7686F" w:rsidRPr="00AB76B8" w:rsidRDefault="00E7686F" w:rsidP="00E7686F">
      <w:pPr>
        <w:tabs>
          <w:tab w:val="left" w:pos="1080"/>
        </w:tabs>
        <w:rPr>
          <w:rFonts w:ascii="Arial" w:hAnsi="Arial" w:cs="Arial"/>
          <w:shd w:val="clear" w:color="auto" w:fill="FFFFFF"/>
          <w:vertAlign w:val="superscript"/>
        </w:rPr>
      </w:pPr>
      <w:r w:rsidRPr="00AB76B8">
        <w:rPr>
          <w:rFonts w:ascii="Arial" w:hAnsi="Arial" w:cs="Arial"/>
          <w:shd w:val="clear" w:color="auto" w:fill="FFFFFF"/>
        </w:rPr>
        <w:t xml:space="preserve">Because of the introduction of new medications to treat </w:t>
      </w:r>
      <w:proofErr w:type="spellStart"/>
      <w:r w:rsidRPr="00AB76B8">
        <w:rPr>
          <w:rFonts w:ascii="Arial" w:hAnsi="Arial" w:cs="Arial"/>
          <w:shd w:val="clear" w:color="auto" w:fill="FFFFFF"/>
        </w:rPr>
        <w:t>axSpA</w:t>
      </w:r>
      <w:proofErr w:type="spellEnd"/>
      <w:r>
        <w:rPr>
          <w:rFonts w:ascii="Arial" w:hAnsi="Arial" w:cs="Arial"/>
          <w:shd w:val="clear" w:color="auto" w:fill="FFFFFF"/>
        </w:rPr>
        <w:t>,</w:t>
      </w:r>
      <w:r w:rsidRPr="00AB76B8">
        <w:rPr>
          <w:rFonts w:ascii="Arial" w:hAnsi="Arial" w:cs="Arial"/>
          <w:shd w:val="clear" w:color="auto" w:fill="FFFFFF"/>
        </w:rPr>
        <w:t xml:space="preserve"> the </w:t>
      </w:r>
      <w:r w:rsidRPr="00AB76B8">
        <w:rPr>
          <w:rFonts w:ascii="Arial" w:hAnsi="Arial" w:cs="Arial"/>
        </w:rPr>
        <w:t>2019 update of the American College of Rheumatology/Spondylitis Association/</w:t>
      </w:r>
      <w:proofErr w:type="spellStart"/>
      <w:r w:rsidRPr="00AB76B8">
        <w:rPr>
          <w:rFonts w:ascii="Arial" w:hAnsi="Arial" w:cs="Arial"/>
        </w:rPr>
        <w:t>Spondyloarthritis</w:t>
      </w:r>
      <w:proofErr w:type="spellEnd"/>
      <w:r w:rsidRPr="00AB76B8">
        <w:rPr>
          <w:rFonts w:ascii="Arial" w:hAnsi="Arial" w:cs="Arial"/>
        </w:rPr>
        <w:t xml:space="preserve"> Research and Treatment Network recommendations for the treatment of AS and </w:t>
      </w:r>
      <w:proofErr w:type="spellStart"/>
      <w:r w:rsidRPr="00AB76B8">
        <w:rPr>
          <w:rFonts w:ascii="Arial" w:hAnsi="Arial" w:cs="Arial"/>
        </w:rPr>
        <w:t>nrSpA</w:t>
      </w:r>
      <w:proofErr w:type="spellEnd"/>
      <w:r w:rsidRPr="00AB76B8">
        <w:rPr>
          <w:rFonts w:ascii="Arial" w:hAnsi="Arial" w:cs="Arial"/>
          <w:shd w:val="clear" w:color="auto" w:fill="FFFFFF"/>
        </w:rPr>
        <w:t xml:space="preserve"> was released.</w:t>
      </w:r>
      <w:r w:rsidRPr="00AB76B8">
        <w:rPr>
          <w:rFonts w:ascii="Arial" w:hAnsi="Arial" w:cs="Arial"/>
          <w:shd w:val="clear" w:color="auto" w:fill="FFFFFF"/>
          <w:vertAlign w:val="superscript"/>
        </w:rPr>
        <w:t>10</w:t>
      </w:r>
      <w:r w:rsidRPr="00AB76B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The</w:t>
      </w:r>
      <w:r w:rsidRPr="00AB76B8">
        <w:rPr>
          <w:rFonts w:ascii="Arial" w:hAnsi="Arial" w:cs="Arial"/>
          <w:shd w:val="clear" w:color="auto" w:fill="FFFFFF"/>
        </w:rPr>
        <w:t xml:space="preserve"> 2019 update added to the</w:t>
      </w:r>
      <w:r>
        <w:rPr>
          <w:rFonts w:ascii="Arial" w:hAnsi="Arial" w:cs="Arial"/>
          <w:shd w:val="clear" w:color="auto" w:fill="FFFFFF"/>
        </w:rPr>
        <w:t xml:space="preserve"> 2015 guidelines with</w:t>
      </w:r>
      <w:r w:rsidRPr="00AB76B8">
        <w:rPr>
          <w:rFonts w:ascii="Arial" w:hAnsi="Arial" w:cs="Arial"/>
          <w:shd w:val="clear" w:color="auto" w:fill="FFFFFF"/>
        </w:rPr>
        <w:t xml:space="preserve"> recommendations on how to fit these new medications into treatment regime</w:t>
      </w:r>
      <w:r>
        <w:rPr>
          <w:rFonts w:ascii="Arial" w:hAnsi="Arial" w:cs="Arial"/>
          <w:shd w:val="clear" w:color="auto" w:fill="FFFFFF"/>
        </w:rPr>
        <w:t>n</w:t>
      </w:r>
      <w:r w:rsidRPr="00AB76B8">
        <w:rPr>
          <w:rFonts w:ascii="Arial" w:hAnsi="Arial" w:cs="Arial"/>
          <w:shd w:val="clear" w:color="auto" w:fill="FFFFFF"/>
        </w:rPr>
        <w:t>s.</w:t>
      </w:r>
      <w:r w:rsidRPr="00AB76B8">
        <w:rPr>
          <w:rFonts w:ascii="Arial" w:hAnsi="Arial" w:cs="Arial"/>
          <w:shd w:val="clear" w:color="auto" w:fill="FFFFFF"/>
          <w:vertAlign w:val="superscript"/>
        </w:rPr>
        <w:t>10</w:t>
      </w:r>
      <w:r w:rsidRPr="00AB76B8">
        <w:rPr>
          <w:rFonts w:ascii="Arial" w:hAnsi="Arial" w:cs="Arial"/>
          <w:shd w:val="clear" w:color="auto" w:fill="FFFFFF"/>
        </w:rPr>
        <w:t xml:space="preserve"> Also included is the use of imaging to diagnose and to track disease progress.</w:t>
      </w:r>
      <w:r w:rsidRPr="00AB76B8">
        <w:rPr>
          <w:rFonts w:ascii="Arial" w:hAnsi="Arial" w:cs="Arial"/>
          <w:shd w:val="clear" w:color="auto" w:fill="FFFFFF"/>
          <w:vertAlign w:val="superscript"/>
        </w:rPr>
        <w:t>10</w:t>
      </w:r>
    </w:p>
    <w:p w:rsidR="00E7686F" w:rsidRPr="00AB76B8" w:rsidRDefault="00E7686F" w:rsidP="00E7686F">
      <w:pPr>
        <w:tabs>
          <w:tab w:val="left" w:pos="1080"/>
        </w:tabs>
        <w:rPr>
          <w:rFonts w:ascii="Arial" w:hAnsi="Arial" w:cs="Arial"/>
          <w:shd w:val="clear" w:color="auto" w:fill="FFFFFF"/>
        </w:rPr>
      </w:pPr>
    </w:p>
    <w:p w:rsidR="00E7686F" w:rsidRPr="00AB76B8" w:rsidRDefault="00E7686F" w:rsidP="00E7686F">
      <w:pPr>
        <w:tabs>
          <w:tab w:val="left" w:pos="1080"/>
        </w:tabs>
        <w:rPr>
          <w:rFonts w:ascii="Arial" w:hAnsi="Arial" w:cs="Arial"/>
          <w:shd w:val="clear" w:color="auto" w:fill="FFFFFF"/>
          <w:vertAlign w:val="superscript"/>
        </w:rPr>
      </w:pPr>
      <w:r w:rsidRPr="00AB76B8">
        <w:rPr>
          <w:rFonts w:ascii="Arial" w:hAnsi="Arial" w:cs="Arial"/>
          <w:shd w:val="clear" w:color="auto" w:fill="FFFFFF"/>
        </w:rPr>
        <w:t>In January 2016</w:t>
      </w:r>
      <w:r>
        <w:rPr>
          <w:rFonts w:ascii="Arial" w:hAnsi="Arial" w:cs="Arial"/>
          <w:shd w:val="clear" w:color="auto" w:fill="FFFFFF"/>
        </w:rPr>
        <w:t>,</w:t>
      </w:r>
      <w:r w:rsidRPr="00AB76B8">
        <w:rPr>
          <w:rFonts w:ascii="Arial" w:hAnsi="Arial" w:cs="Arial"/>
          <w:shd w:val="clear" w:color="auto" w:fill="FFFFFF"/>
        </w:rPr>
        <w:t xml:space="preserve"> the IL-17 A inhibitor </w:t>
      </w:r>
      <w:proofErr w:type="spellStart"/>
      <w:r w:rsidRPr="00AB76B8">
        <w:rPr>
          <w:rFonts w:ascii="Arial" w:hAnsi="Arial" w:cs="Arial"/>
          <w:shd w:val="clear" w:color="auto" w:fill="FFFFFF"/>
        </w:rPr>
        <w:t>secukinumab</w:t>
      </w:r>
      <w:proofErr w:type="spellEnd"/>
      <w:r w:rsidRPr="00AB76B8">
        <w:rPr>
          <w:rFonts w:ascii="Arial" w:hAnsi="Arial" w:cs="Arial"/>
          <w:shd w:val="clear" w:color="auto" w:fill="FFFFFF"/>
        </w:rPr>
        <w:t xml:space="preserve"> was approved for the treatment for AS and psoriatic arthritis.</w:t>
      </w:r>
      <w:r w:rsidRPr="00AB76B8">
        <w:rPr>
          <w:rFonts w:ascii="Arial" w:hAnsi="Arial" w:cs="Arial"/>
          <w:shd w:val="clear" w:color="auto" w:fill="FFFFFF"/>
          <w:vertAlign w:val="superscript"/>
        </w:rPr>
        <w:t>11</w:t>
      </w:r>
      <w:r w:rsidRPr="00AB76B8">
        <w:rPr>
          <w:rFonts w:ascii="Arial" w:hAnsi="Arial" w:cs="Arial"/>
          <w:shd w:val="clear" w:color="auto" w:fill="FFFFFF"/>
        </w:rPr>
        <w:t xml:space="preserve"> This followed three phase 3 studies (MEASURE1, MEASURE2, and MEASURE3)</w:t>
      </w:r>
      <w:r>
        <w:rPr>
          <w:rFonts w:ascii="Arial" w:hAnsi="Arial" w:cs="Arial"/>
          <w:shd w:val="clear" w:color="auto" w:fill="FFFFFF"/>
        </w:rPr>
        <w:t>,</w:t>
      </w:r>
      <w:r w:rsidRPr="00AB76B8">
        <w:rPr>
          <w:rFonts w:ascii="Arial" w:hAnsi="Arial" w:cs="Arial"/>
          <w:shd w:val="clear" w:color="auto" w:fill="FFFFFF"/>
        </w:rPr>
        <w:t xml:space="preserve"> which demonstrated substantial and </w:t>
      </w:r>
      <w:r>
        <w:rPr>
          <w:rFonts w:ascii="Arial" w:hAnsi="Arial" w:cs="Arial"/>
          <w:shd w:val="clear" w:color="auto" w:fill="FFFFFF"/>
        </w:rPr>
        <w:t>rapid</w:t>
      </w:r>
      <w:r w:rsidRPr="00AB76B8">
        <w:rPr>
          <w:rFonts w:ascii="Arial" w:hAnsi="Arial" w:cs="Arial"/>
          <w:shd w:val="clear" w:color="auto" w:fill="FFFFFF"/>
        </w:rPr>
        <w:t xml:space="preserve"> improvement in the patients’ signs and symptoms.</w:t>
      </w:r>
      <w:r w:rsidRPr="00AB76B8">
        <w:rPr>
          <w:rFonts w:ascii="Arial" w:hAnsi="Arial" w:cs="Arial"/>
          <w:shd w:val="clear" w:color="auto" w:fill="FFFFFF"/>
          <w:vertAlign w:val="superscript"/>
        </w:rPr>
        <w:t>12</w:t>
      </w:r>
      <w:r w:rsidRPr="00AB76B8">
        <w:rPr>
          <w:rFonts w:ascii="Arial" w:hAnsi="Arial" w:cs="Arial"/>
          <w:shd w:val="clear" w:color="auto" w:fill="FFFFFF"/>
        </w:rPr>
        <w:t xml:space="preserve"> In the MEASURE3 study</w:t>
      </w:r>
      <w:r>
        <w:rPr>
          <w:rFonts w:ascii="Arial" w:hAnsi="Arial" w:cs="Arial"/>
          <w:shd w:val="clear" w:color="auto" w:fill="FFFFFF"/>
        </w:rPr>
        <w:t>,</w:t>
      </w:r>
      <w:r w:rsidRPr="00AB76B8">
        <w:rPr>
          <w:rFonts w:ascii="Arial" w:hAnsi="Arial" w:cs="Arial"/>
          <w:shd w:val="clear" w:color="auto" w:fill="FFFFFF"/>
        </w:rPr>
        <w:t xml:space="preserve"> the positive response rate was significant </w:t>
      </w:r>
      <w:r>
        <w:rPr>
          <w:rFonts w:ascii="Arial" w:hAnsi="Arial" w:cs="Arial"/>
          <w:shd w:val="clear" w:color="auto" w:fill="FFFFFF"/>
        </w:rPr>
        <w:t>with</w:t>
      </w:r>
      <w:r w:rsidRPr="00AB76B8">
        <w:rPr>
          <w:rFonts w:ascii="Arial" w:hAnsi="Arial" w:cs="Arial"/>
          <w:shd w:val="clear" w:color="auto" w:fill="FFFFFF"/>
        </w:rPr>
        <w:t xml:space="preserve"> both a 300</w:t>
      </w:r>
      <w:r>
        <w:rPr>
          <w:rFonts w:ascii="Arial" w:hAnsi="Arial" w:cs="Arial"/>
          <w:shd w:val="clear" w:color="auto" w:fill="FFFFFF"/>
        </w:rPr>
        <w:t>-</w:t>
      </w:r>
      <w:r w:rsidRPr="00AB76B8">
        <w:rPr>
          <w:rFonts w:ascii="Arial" w:hAnsi="Arial" w:cs="Arial"/>
          <w:shd w:val="clear" w:color="auto" w:fill="FFFFFF"/>
        </w:rPr>
        <w:t>mg treatment (</w:t>
      </w:r>
      <w:r w:rsidRPr="00AB76B8">
        <w:rPr>
          <w:rStyle w:val="Emphasis"/>
          <w:rFonts w:ascii="Arial" w:hAnsi="Arial" w:cs="Arial"/>
          <w:shd w:val="clear" w:color="auto" w:fill="FFFFFF"/>
        </w:rPr>
        <w:t>P</w:t>
      </w:r>
      <w:r w:rsidRPr="00AB76B8">
        <w:rPr>
          <w:rFonts w:ascii="Arial" w:hAnsi="Arial" w:cs="Arial"/>
          <w:shd w:val="clear" w:color="auto" w:fill="FFFFFF"/>
        </w:rPr>
        <w:t> &lt; 0.01) and 150</w:t>
      </w:r>
      <w:r>
        <w:rPr>
          <w:rFonts w:ascii="Arial" w:hAnsi="Arial" w:cs="Arial"/>
          <w:shd w:val="clear" w:color="auto" w:fill="FFFFFF"/>
        </w:rPr>
        <w:t>-</w:t>
      </w:r>
      <w:r w:rsidRPr="00AB76B8">
        <w:rPr>
          <w:rFonts w:ascii="Arial" w:hAnsi="Arial" w:cs="Arial"/>
          <w:shd w:val="clear" w:color="auto" w:fill="FFFFFF"/>
        </w:rPr>
        <w:t>mg treatment (</w:t>
      </w:r>
      <w:r w:rsidRPr="00AB76B8">
        <w:rPr>
          <w:rStyle w:val="Emphasis"/>
          <w:rFonts w:ascii="Arial" w:hAnsi="Arial" w:cs="Arial"/>
          <w:shd w:val="clear" w:color="auto" w:fill="FFFFFF"/>
        </w:rPr>
        <w:t>P</w:t>
      </w:r>
      <w:r w:rsidRPr="00AB76B8">
        <w:rPr>
          <w:rFonts w:ascii="Arial" w:hAnsi="Arial" w:cs="Arial"/>
          <w:shd w:val="clear" w:color="auto" w:fill="FFFFFF"/>
        </w:rPr>
        <w:t> &lt; 0.05).</w:t>
      </w:r>
      <w:r w:rsidRPr="00AB76B8">
        <w:rPr>
          <w:rFonts w:ascii="Arial" w:hAnsi="Arial" w:cs="Arial"/>
          <w:shd w:val="clear" w:color="auto" w:fill="FFFFFF"/>
          <w:vertAlign w:val="superscript"/>
        </w:rPr>
        <w:t>12</w:t>
      </w:r>
    </w:p>
    <w:p w:rsidR="00E7686F" w:rsidRPr="00AB76B8" w:rsidRDefault="00E7686F" w:rsidP="00E7686F">
      <w:pPr>
        <w:tabs>
          <w:tab w:val="left" w:pos="1080"/>
        </w:tabs>
        <w:rPr>
          <w:rFonts w:ascii="Arial" w:hAnsi="Arial" w:cs="Arial"/>
          <w:shd w:val="clear" w:color="auto" w:fill="FFFFFF"/>
        </w:rPr>
      </w:pPr>
    </w:p>
    <w:p w:rsidR="00E7686F" w:rsidRPr="00AB76B8" w:rsidRDefault="00E7686F" w:rsidP="00E7686F">
      <w:pPr>
        <w:tabs>
          <w:tab w:val="left" w:pos="1080"/>
        </w:tabs>
        <w:rPr>
          <w:rFonts w:ascii="Arial" w:hAnsi="Arial" w:cs="Arial"/>
          <w:shd w:val="clear" w:color="auto" w:fill="FFFFFF"/>
          <w:vertAlign w:val="superscript"/>
        </w:rPr>
      </w:pPr>
      <w:proofErr w:type="spellStart"/>
      <w:r w:rsidRPr="00AB76B8">
        <w:rPr>
          <w:rFonts w:ascii="Arial" w:hAnsi="Arial" w:cs="Arial"/>
          <w:shd w:val="clear" w:color="auto" w:fill="FFFFFF"/>
        </w:rPr>
        <w:t>Ixekizumab</w:t>
      </w:r>
      <w:proofErr w:type="spellEnd"/>
      <w:r w:rsidRPr="00AB76B8">
        <w:rPr>
          <w:rFonts w:ascii="Arial" w:hAnsi="Arial" w:cs="Arial"/>
          <w:shd w:val="clear" w:color="auto" w:fill="FFFFFF"/>
        </w:rPr>
        <w:t xml:space="preserve"> gained FDA approval in late 2017 for the treatment of adults with active psoriatic arthritis.</w:t>
      </w:r>
      <w:r w:rsidRPr="00AB76B8">
        <w:rPr>
          <w:rFonts w:ascii="Arial" w:hAnsi="Arial" w:cs="Arial"/>
          <w:shd w:val="clear" w:color="auto" w:fill="FFFFFF"/>
          <w:vertAlign w:val="superscript"/>
        </w:rPr>
        <w:t>13</w:t>
      </w:r>
      <w:r w:rsidRPr="00AB76B8">
        <w:rPr>
          <w:rFonts w:ascii="Arial" w:hAnsi="Arial" w:cs="Arial"/>
          <w:shd w:val="clear" w:color="auto" w:fill="FFFFFF"/>
        </w:rPr>
        <w:t xml:space="preserve"> On August 26, 2019</w:t>
      </w:r>
      <w:r>
        <w:rPr>
          <w:rFonts w:ascii="Arial" w:hAnsi="Arial" w:cs="Arial"/>
          <w:shd w:val="clear" w:color="auto" w:fill="FFFFFF"/>
        </w:rPr>
        <w:t>,</w:t>
      </w:r>
      <w:r w:rsidRPr="00AB76B8">
        <w:rPr>
          <w:rFonts w:ascii="Arial" w:hAnsi="Arial" w:cs="Arial"/>
          <w:shd w:val="clear" w:color="auto" w:fill="FFFFFF"/>
        </w:rPr>
        <w:t xml:space="preserve"> it was announced that the drug was approved for use in adults with active AS.</w:t>
      </w:r>
      <w:r w:rsidRPr="00AB76B8">
        <w:rPr>
          <w:rFonts w:ascii="Arial" w:hAnsi="Arial" w:cs="Arial"/>
          <w:shd w:val="clear" w:color="auto" w:fill="FFFFFF"/>
          <w:vertAlign w:val="superscript"/>
        </w:rPr>
        <w:t>13</w:t>
      </w:r>
      <w:r w:rsidRPr="00AB76B8">
        <w:rPr>
          <w:rFonts w:ascii="Arial" w:hAnsi="Arial" w:cs="Arial"/>
          <w:shd w:val="clear" w:color="auto" w:fill="FFFFFF"/>
        </w:rPr>
        <w:t xml:space="preserve"> In a multicenter phase </w:t>
      </w:r>
      <w:r>
        <w:rPr>
          <w:rFonts w:ascii="Arial" w:hAnsi="Arial" w:cs="Arial"/>
          <w:shd w:val="clear" w:color="auto" w:fill="FFFFFF"/>
        </w:rPr>
        <w:t>3</w:t>
      </w:r>
      <w:r w:rsidRPr="00AB76B8">
        <w:rPr>
          <w:rFonts w:ascii="Arial" w:hAnsi="Arial" w:cs="Arial"/>
          <w:shd w:val="clear" w:color="auto" w:fill="FFFFFF"/>
        </w:rPr>
        <w:t xml:space="preserve"> study</w:t>
      </w:r>
      <w:r>
        <w:rPr>
          <w:rFonts w:ascii="Arial" w:hAnsi="Arial" w:cs="Arial"/>
          <w:shd w:val="clear" w:color="auto" w:fill="FFFFFF"/>
        </w:rPr>
        <w:t>,</w:t>
      </w:r>
      <w:r w:rsidRPr="00AB76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B76B8">
        <w:rPr>
          <w:rFonts w:ascii="Arial" w:hAnsi="Arial" w:cs="Arial"/>
          <w:shd w:val="clear" w:color="auto" w:fill="FFFFFF"/>
        </w:rPr>
        <w:t>ixekizumab</w:t>
      </w:r>
      <w:proofErr w:type="spellEnd"/>
      <w:r w:rsidRPr="00AB76B8">
        <w:rPr>
          <w:rFonts w:ascii="Arial" w:hAnsi="Arial" w:cs="Arial"/>
          <w:shd w:val="clear" w:color="auto" w:fill="FFFFFF"/>
        </w:rPr>
        <w:t xml:space="preserve"> significantly reduced disease signs and symptoms and improved quality of life in AS patients </w:t>
      </w:r>
      <w:r>
        <w:rPr>
          <w:rFonts w:ascii="Arial" w:hAnsi="Arial" w:cs="Arial"/>
          <w:shd w:val="clear" w:color="auto" w:fill="FFFFFF"/>
        </w:rPr>
        <w:t>with</w:t>
      </w:r>
      <w:r w:rsidRPr="00AB76B8">
        <w:rPr>
          <w:rFonts w:ascii="Arial" w:hAnsi="Arial" w:cs="Arial"/>
          <w:shd w:val="clear" w:color="auto" w:fill="FFFFFF"/>
        </w:rPr>
        <w:t xml:space="preserve"> both twice</w:t>
      </w:r>
      <w:r>
        <w:rPr>
          <w:rFonts w:ascii="Arial" w:hAnsi="Arial" w:cs="Arial"/>
          <w:shd w:val="clear" w:color="auto" w:fill="FFFFFF"/>
        </w:rPr>
        <w:t>-</w:t>
      </w:r>
      <w:r w:rsidRPr="00AB76B8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-</w:t>
      </w:r>
      <w:r w:rsidRPr="00AB76B8">
        <w:rPr>
          <w:rFonts w:ascii="Arial" w:hAnsi="Arial" w:cs="Arial"/>
          <w:shd w:val="clear" w:color="auto" w:fill="FFFFFF"/>
        </w:rPr>
        <w:t>month treatment (</w:t>
      </w:r>
      <w:r w:rsidRPr="00AB76B8">
        <w:rPr>
          <w:rFonts w:ascii="Arial" w:hAnsi="Arial" w:cs="Arial"/>
          <w:i/>
          <w:iCs/>
          <w:shd w:val="clear" w:color="auto" w:fill="FFFFFF"/>
        </w:rPr>
        <w:t>P</w:t>
      </w:r>
      <w:r w:rsidRPr="00AB76B8">
        <w:rPr>
          <w:rFonts w:ascii="Arial" w:hAnsi="Arial" w:cs="Arial"/>
          <w:shd w:val="clear" w:color="auto" w:fill="FFFFFF"/>
        </w:rPr>
        <w:t> = 0.003) and monthly treatment (</w:t>
      </w:r>
      <w:r w:rsidRPr="00AB76B8">
        <w:rPr>
          <w:rFonts w:ascii="Arial" w:hAnsi="Arial" w:cs="Arial"/>
          <w:i/>
          <w:iCs/>
          <w:shd w:val="clear" w:color="auto" w:fill="FFFFFF"/>
        </w:rPr>
        <w:t>P</w:t>
      </w:r>
      <w:r w:rsidRPr="00AB76B8">
        <w:rPr>
          <w:rFonts w:ascii="Arial" w:hAnsi="Arial" w:cs="Arial"/>
          <w:shd w:val="clear" w:color="auto" w:fill="FFFFFF"/>
        </w:rPr>
        <w:t> = 0.017).</w:t>
      </w:r>
      <w:r w:rsidRPr="00AB76B8">
        <w:rPr>
          <w:rFonts w:ascii="Arial" w:hAnsi="Arial" w:cs="Arial"/>
          <w:shd w:val="clear" w:color="auto" w:fill="FFFFFF"/>
          <w:vertAlign w:val="superscript"/>
        </w:rPr>
        <w:t>14</w:t>
      </w:r>
      <w:r w:rsidRPr="00AB76B8">
        <w:rPr>
          <w:rFonts w:ascii="Arial" w:hAnsi="Arial" w:cs="Arial"/>
          <w:shd w:val="clear" w:color="auto" w:fill="FFFFFF"/>
        </w:rPr>
        <w:t xml:space="preserve"> Improvements were noted early in the trial.</w:t>
      </w:r>
      <w:r w:rsidRPr="00AB76B8">
        <w:rPr>
          <w:rFonts w:ascii="Arial" w:hAnsi="Arial" w:cs="Arial"/>
          <w:shd w:val="clear" w:color="auto" w:fill="FFFFFF"/>
          <w:vertAlign w:val="superscript"/>
        </w:rPr>
        <w:t xml:space="preserve">13 </w:t>
      </w:r>
      <w:r w:rsidRPr="00AB76B8">
        <w:rPr>
          <w:rFonts w:ascii="Arial" w:hAnsi="Arial" w:cs="Arial"/>
          <w:shd w:val="clear" w:color="auto" w:fill="FFFFFF"/>
        </w:rPr>
        <w:t xml:space="preserve"> Adverse effects to </w:t>
      </w:r>
      <w:proofErr w:type="spellStart"/>
      <w:r w:rsidRPr="00AB76B8">
        <w:rPr>
          <w:rFonts w:ascii="Arial" w:hAnsi="Arial" w:cs="Arial"/>
          <w:shd w:val="clear" w:color="auto" w:fill="FFFFFF"/>
        </w:rPr>
        <w:t>ixekizumab</w:t>
      </w:r>
      <w:proofErr w:type="spellEnd"/>
      <w:r w:rsidRPr="00AB76B8">
        <w:rPr>
          <w:rFonts w:ascii="Arial" w:hAnsi="Arial" w:cs="Arial"/>
          <w:shd w:val="clear" w:color="auto" w:fill="FFFFFF"/>
        </w:rPr>
        <w:t xml:space="preserve"> included mild infections (upper respiratory tract infections and nasopharyngitis) and injection site reactions</w:t>
      </w:r>
      <w:r>
        <w:rPr>
          <w:rFonts w:ascii="Arial" w:hAnsi="Arial" w:cs="Arial"/>
          <w:shd w:val="clear" w:color="auto" w:fill="FFFFFF"/>
        </w:rPr>
        <w:t>,</w:t>
      </w:r>
      <w:r w:rsidRPr="00AB76B8">
        <w:rPr>
          <w:rFonts w:ascii="Arial" w:hAnsi="Arial" w:cs="Arial"/>
          <w:shd w:val="clear" w:color="auto" w:fill="FFFFFF"/>
        </w:rPr>
        <w:t xml:space="preserve"> with only 2 serious infections encountered.</w:t>
      </w:r>
      <w:r w:rsidRPr="00AB76B8">
        <w:rPr>
          <w:rFonts w:ascii="Arial" w:hAnsi="Arial" w:cs="Arial"/>
          <w:shd w:val="clear" w:color="auto" w:fill="FFFFFF"/>
          <w:vertAlign w:val="superscript"/>
        </w:rPr>
        <w:t>14</w:t>
      </w:r>
    </w:p>
    <w:p w:rsidR="00E7686F" w:rsidRPr="00AB76B8" w:rsidRDefault="00E7686F" w:rsidP="00E7686F">
      <w:pPr>
        <w:tabs>
          <w:tab w:val="left" w:pos="1080"/>
        </w:tabs>
        <w:rPr>
          <w:rFonts w:ascii="Arial" w:hAnsi="Arial" w:cs="Arial"/>
          <w:shd w:val="clear" w:color="auto" w:fill="FFFFFF"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</w:p>
    <w:p w:rsidR="00E7686F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</w:p>
    <w:p w:rsidR="00E7686F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</w:p>
    <w:p w:rsidR="00E7686F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</w:p>
    <w:p w:rsidR="00E7686F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</w:p>
    <w:p w:rsidR="00E7686F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</w:p>
    <w:p w:rsidR="00E7686F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  <w:r w:rsidRPr="00AB76B8">
        <w:rPr>
          <w:rFonts w:ascii="Arial" w:hAnsi="Arial" w:cs="Arial"/>
          <w:b/>
        </w:rPr>
        <w:lastRenderedPageBreak/>
        <w:t>Gap #2: Clinicians may be unaware of new medication clinical trials for the management of AS and nr-</w:t>
      </w:r>
      <w:proofErr w:type="spellStart"/>
      <w:r w:rsidRPr="00AB76B8">
        <w:rPr>
          <w:rFonts w:ascii="Arial" w:hAnsi="Arial" w:cs="Arial"/>
          <w:b/>
        </w:rPr>
        <w:t>axSpA</w:t>
      </w:r>
      <w:proofErr w:type="spellEnd"/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  <w:r w:rsidRPr="00AB76B8">
        <w:rPr>
          <w:rFonts w:ascii="Arial" w:hAnsi="Arial" w:cs="Arial"/>
          <w:b/>
        </w:rPr>
        <w:t>Learning Objective #2:  Review information on new medication clinical trials for future management of AS and nr-</w:t>
      </w:r>
      <w:proofErr w:type="spellStart"/>
      <w:r w:rsidRPr="00AB76B8">
        <w:rPr>
          <w:rFonts w:ascii="Arial" w:hAnsi="Arial" w:cs="Arial"/>
          <w:b/>
        </w:rPr>
        <w:t>axSpA</w:t>
      </w:r>
      <w:proofErr w:type="spellEnd"/>
      <w:r w:rsidRPr="00AB76B8">
        <w:rPr>
          <w:rFonts w:ascii="Arial" w:hAnsi="Arial" w:cs="Arial"/>
          <w:b/>
        </w:rPr>
        <w:t xml:space="preserve"> </w:t>
      </w: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b/>
        </w:rPr>
      </w:pPr>
    </w:p>
    <w:p w:rsidR="00E7686F" w:rsidRPr="00AB76B8" w:rsidRDefault="00E7686F" w:rsidP="00E7686F">
      <w:pPr>
        <w:rPr>
          <w:rFonts w:ascii="Arial" w:hAnsi="Arial" w:cs="Arial"/>
          <w:vertAlign w:val="superscript"/>
        </w:rPr>
      </w:pPr>
      <w:r w:rsidRPr="00AB76B8">
        <w:rPr>
          <w:rFonts w:ascii="Arial" w:hAnsi="Arial" w:cs="Arial"/>
        </w:rPr>
        <w:t xml:space="preserve">New treatments for </w:t>
      </w:r>
      <w:proofErr w:type="spellStart"/>
      <w:r w:rsidRPr="00AB76B8">
        <w:rPr>
          <w:rFonts w:ascii="Arial" w:hAnsi="Arial" w:cs="Arial"/>
        </w:rPr>
        <w:t>spondyloarthritis</w:t>
      </w:r>
      <w:proofErr w:type="spellEnd"/>
      <w:r w:rsidRPr="00AB76B8">
        <w:rPr>
          <w:rFonts w:ascii="Arial" w:hAnsi="Arial" w:cs="Arial"/>
        </w:rPr>
        <w:t xml:space="preserve"> are currently in various stages of development. While many of the current</w:t>
      </w:r>
      <w:r>
        <w:rPr>
          <w:rFonts w:ascii="Arial" w:hAnsi="Arial" w:cs="Arial"/>
        </w:rPr>
        <w:t>ly used</w:t>
      </w:r>
      <w:r w:rsidRPr="00AB76B8">
        <w:rPr>
          <w:rFonts w:ascii="Arial" w:hAnsi="Arial" w:cs="Arial"/>
        </w:rPr>
        <w:t xml:space="preserve"> medications have been studied and labeled for AS, current research strategies are aimed at both AS and nr-axSpA.</w:t>
      </w:r>
      <w:r w:rsidRPr="00AB76B8">
        <w:rPr>
          <w:rFonts w:ascii="Arial" w:hAnsi="Arial" w:cs="Arial"/>
          <w:vertAlign w:val="superscript"/>
        </w:rPr>
        <w:t>7</w:t>
      </w:r>
      <w:r w:rsidRPr="00AB76B8">
        <w:rPr>
          <w:rFonts w:ascii="Arial" w:hAnsi="Arial" w:cs="Arial"/>
        </w:rPr>
        <w:t xml:space="preserve"> Researchers are pursing varying immunological avenues to develop treatments aimed at the IL-17 and IL-23 receptors and to inhibit Janus kinase (JAK).</w:t>
      </w:r>
      <w:r w:rsidRPr="00AB76B8">
        <w:rPr>
          <w:rFonts w:ascii="Arial" w:hAnsi="Arial" w:cs="Arial"/>
          <w:vertAlign w:val="superscript"/>
        </w:rPr>
        <w:t>6</w:t>
      </w:r>
      <w:r w:rsidRPr="00AB76B8">
        <w:rPr>
          <w:rFonts w:ascii="Arial" w:hAnsi="Arial" w:cs="Arial"/>
        </w:rPr>
        <w:t xml:space="preserve"> The cytokines in the IL-17 pathway contribute to inflammatory disease by overproduction of the cytokines which lead to inflammation, bone destruction, and, in the case of AS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new bone formation</w:t>
      </w:r>
      <w:r w:rsidRPr="00AB76B8">
        <w:rPr>
          <w:rFonts w:ascii="Arial" w:hAnsi="Arial" w:cs="Arial"/>
          <w:shd w:val="clear" w:color="auto" w:fill="FFFFFF"/>
        </w:rPr>
        <w:t>.</w:t>
      </w:r>
      <w:r w:rsidRPr="00AB76B8">
        <w:rPr>
          <w:rFonts w:ascii="Arial" w:hAnsi="Arial" w:cs="Arial"/>
          <w:shd w:val="clear" w:color="auto" w:fill="FFFFFF"/>
          <w:vertAlign w:val="superscript"/>
        </w:rPr>
        <w:t>15</w:t>
      </w:r>
      <w:proofErr w:type="gramStart"/>
      <w:r w:rsidRPr="00AB76B8">
        <w:rPr>
          <w:rFonts w:ascii="Arial" w:hAnsi="Arial" w:cs="Arial"/>
          <w:shd w:val="clear" w:color="auto" w:fill="FFFFFF"/>
          <w:vertAlign w:val="superscript"/>
        </w:rPr>
        <w:t>,16</w:t>
      </w:r>
      <w:proofErr w:type="gramEnd"/>
    </w:p>
    <w:p w:rsidR="00E7686F" w:rsidRPr="00AB76B8" w:rsidRDefault="00E7686F" w:rsidP="00E7686F">
      <w:pPr>
        <w:rPr>
          <w:rFonts w:ascii="Arial" w:hAnsi="Arial" w:cs="Arial"/>
          <w:b/>
        </w:rPr>
      </w:pPr>
    </w:p>
    <w:p w:rsidR="00E7686F" w:rsidRPr="00AB76B8" w:rsidRDefault="00E7686F" w:rsidP="00E7686F">
      <w:pPr>
        <w:rPr>
          <w:rFonts w:ascii="Arial" w:hAnsi="Arial" w:cs="Arial"/>
          <w:shd w:val="clear" w:color="auto" w:fill="FFFFFF"/>
          <w:vertAlign w:val="superscript"/>
        </w:rPr>
      </w:pPr>
      <w:r w:rsidRPr="00AB76B8">
        <w:rPr>
          <w:rFonts w:ascii="Arial" w:hAnsi="Arial" w:cs="Arial"/>
        </w:rPr>
        <w:t xml:space="preserve">The IL-17 receptor blocker </w:t>
      </w:r>
      <w:proofErr w:type="spellStart"/>
      <w:r w:rsidRPr="00AB76B8">
        <w:rPr>
          <w:rFonts w:ascii="Arial" w:hAnsi="Arial" w:cs="Arial"/>
        </w:rPr>
        <w:t>brodalumab</w:t>
      </w:r>
      <w:proofErr w:type="spellEnd"/>
      <w:r w:rsidRPr="00AB76B8">
        <w:rPr>
          <w:rFonts w:ascii="Arial" w:hAnsi="Arial" w:cs="Arial"/>
        </w:rPr>
        <w:t>,</w:t>
      </w:r>
      <w:r w:rsidRPr="00AB76B8">
        <w:rPr>
          <w:rFonts w:ascii="Arial" w:hAnsi="Arial" w:cs="Arial"/>
          <w:b/>
          <w:vertAlign w:val="superscript"/>
        </w:rPr>
        <w:t xml:space="preserve"> </w:t>
      </w:r>
      <w:r w:rsidRPr="00AB76B8">
        <w:rPr>
          <w:rFonts w:ascii="Arial" w:hAnsi="Arial" w:cs="Arial"/>
          <w:shd w:val="clear" w:color="auto" w:fill="FFFFFF"/>
        </w:rPr>
        <w:t>previously approved by the FDA for the treatment of plaque psoriasis, is in the process of being studied as a treatment for axSpA.</w:t>
      </w:r>
      <w:r w:rsidRPr="00AB76B8">
        <w:rPr>
          <w:rFonts w:ascii="Arial" w:hAnsi="Arial" w:cs="Arial"/>
          <w:shd w:val="clear" w:color="auto" w:fill="FFFFFF"/>
          <w:vertAlign w:val="superscript"/>
        </w:rPr>
        <w:t>6</w:t>
      </w:r>
      <w:proofErr w:type="gramStart"/>
      <w:r w:rsidRPr="00AB76B8">
        <w:rPr>
          <w:rFonts w:ascii="Arial" w:hAnsi="Arial" w:cs="Arial"/>
          <w:shd w:val="clear" w:color="auto" w:fill="FFFFFF"/>
          <w:vertAlign w:val="superscript"/>
        </w:rPr>
        <w:t>,8</w:t>
      </w:r>
      <w:proofErr w:type="gramEnd"/>
      <w:r w:rsidRPr="00AB76B8">
        <w:rPr>
          <w:rFonts w:ascii="Arial" w:hAnsi="Arial" w:cs="Arial"/>
          <w:shd w:val="clear" w:color="auto" w:fill="FFFFFF"/>
        </w:rPr>
        <w:t xml:space="preserve"> This monoclonal antibody binds to IL-17 receptor A to inhibit production of the cytokine.</w:t>
      </w:r>
      <w:r w:rsidRPr="00AB76B8">
        <w:rPr>
          <w:rFonts w:ascii="Arial" w:hAnsi="Arial" w:cs="Arial"/>
          <w:shd w:val="clear" w:color="auto" w:fill="FFFFFF"/>
          <w:vertAlign w:val="superscript"/>
        </w:rPr>
        <w:t>16</w:t>
      </w:r>
      <w:r w:rsidRPr="00AB76B8">
        <w:rPr>
          <w:rFonts w:ascii="Arial" w:hAnsi="Arial" w:cs="Arial"/>
          <w:shd w:val="clear" w:color="auto" w:fill="FFFFFF"/>
        </w:rPr>
        <w:t xml:space="preserve"> It was found during the trials for plaque psoriasis to cause suicide ideation and behavior prompting the FDA to require a warning label. This warning will likely be the same if approval is given for </w:t>
      </w:r>
      <w:proofErr w:type="spellStart"/>
      <w:r w:rsidRPr="00AB76B8">
        <w:rPr>
          <w:rFonts w:ascii="Arial" w:hAnsi="Arial" w:cs="Arial"/>
          <w:shd w:val="clear" w:color="auto" w:fill="FFFFFF"/>
        </w:rPr>
        <w:t>brodalumab</w:t>
      </w:r>
      <w:proofErr w:type="spellEnd"/>
      <w:r w:rsidRPr="00AB76B8">
        <w:rPr>
          <w:rFonts w:ascii="Arial" w:hAnsi="Arial" w:cs="Arial"/>
          <w:shd w:val="clear" w:color="auto" w:fill="FFFFFF"/>
        </w:rPr>
        <w:t xml:space="preserve"> for </w:t>
      </w:r>
      <w:proofErr w:type="spellStart"/>
      <w:r w:rsidRPr="00AB76B8">
        <w:rPr>
          <w:rFonts w:ascii="Arial" w:hAnsi="Arial" w:cs="Arial"/>
          <w:shd w:val="clear" w:color="auto" w:fill="FFFFFF"/>
        </w:rPr>
        <w:t>axSpA</w:t>
      </w:r>
      <w:proofErr w:type="spellEnd"/>
      <w:r w:rsidRPr="00AB76B8">
        <w:rPr>
          <w:rFonts w:ascii="Arial" w:hAnsi="Arial" w:cs="Arial"/>
          <w:shd w:val="clear" w:color="auto" w:fill="FFFFFF"/>
        </w:rPr>
        <w:t xml:space="preserve"> treatment.</w:t>
      </w:r>
      <w:r w:rsidRPr="00AB76B8">
        <w:rPr>
          <w:rFonts w:ascii="Arial" w:hAnsi="Arial" w:cs="Arial"/>
          <w:shd w:val="clear" w:color="auto" w:fill="FFFFFF"/>
          <w:vertAlign w:val="superscript"/>
        </w:rPr>
        <w:t>17</w:t>
      </w:r>
    </w:p>
    <w:p w:rsidR="00E7686F" w:rsidRPr="00AB76B8" w:rsidRDefault="00E7686F" w:rsidP="00E7686F">
      <w:pPr>
        <w:rPr>
          <w:rFonts w:ascii="Arial" w:hAnsi="Arial" w:cs="Arial"/>
          <w:shd w:val="clear" w:color="auto" w:fill="FFFFFF"/>
        </w:rPr>
      </w:pPr>
    </w:p>
    <w:p w:rsidR="00E7686F" w:rsidRPr="00AB76B8" w:rsidRDefault="00E7686F" w:rsidP="00E7686F">
      <w:pPr>
        <w:rPr>
          <w:rStyle w:val="highlight"/>
          <w:rFonts w:ascii="Arial" w:hAnsi="Arial" w:cs="Arial"/>
          <w:shd w:val="clear" w:color="auto" w:fill="FFFFFF"/>
          <w:vertAlign w:val="superscript"/>
        </w:rPr>
      </w:pPr>
      <w:bookmarkStart w:id="2" w:name="OLE_LINK3"/>
      <w:bookmarkStart w:id="3" w:name="OLE_LINK4"/>
      <w:proofErr w:type="spellStart"/>
      <w:r w:rsidRPr="00AB76B8">
        <w:rPr>
          <w:rStyle w:val="highlight"/>
          <w:rFonts w:ascii="Arial" w:hAnsi="Arial" w:cs="Arial"/>
          <w:shd w:val="clear" w:color="auto" w:fill="FFFFFF"/>
        </w:rPr>
        <w:t>Bimekizumab</w:t>
      </w:r>
      <w:proofErr w:type="spellEnd"/>
      <w:r w:rsidRPr="00AB76B8">
        <w:rPr>
          <w:rStyle w:val="highlight"/>
          <w:rFonts w:ascii="Arial" w:hAnsi="Arial" w:cs="Arial"/>
          <w:shd w:val="clear" w:color="auto" w:fill="FFFFFF"/>
        </w:rPr>
        <w:t xml:space="preserve"> </w:t>
      </w:r>
      <w:bookmarkEnd w:id="2"/>
      <w:bookmarkEnd w:id="3"/>
      <w:r w:rsidRPr="00AB76B8">
        <w:rPr>
          <w:rStyle w:val="highlight"/>
          <w:rFonts w:ascii="Arial" w:hAnsi="Arial" w:cs="Arial"/>
          <w:shd w:val="clear" w:color="auto" w:fill="FFFFFF"/>
        </w:rPr>
        <w:t>targets two IL receptors: IL-17A and IL-17F to inhibit production of these cytokines.</w:t>
      </w:r>
      <w:r w:rsidRPr="00AB76B8">
        <w:rPr>
          <w:rStyle w:val="highlight"/>
          <w:rFonts w:ascii="Arial" w:hAnsi="Arial" w:cs="Arial"/>
          <w:shd w:val="clear" w:color="auto" w:fill="FFFFFF"/>
          <w:vertAlign w:val="superscript"/>
        </w:rPr>
        <w:t>6</w:t>
      </w:r>
      <w:proofErr w:type="gramStart"/>
      <w:r w:rsidRPr="00AB76B8">
        <w:rPr>
          <w:rStyle w:val="highlight"/>
          <w:rFonts w:ascii="Arial" w:hAnsi="Arial" w:cs="Arial"/>
          <w:shd w:val="clear" w:color="auto" w:fill="FFFFFF"/>
          <w:vertAlign w:val="superscript"/>
        </w:rPr>
        <w:t>,8</w:t>
      </w:r>
      <w:proofErr w:type="gramEnd"/>
      <w:r w:rsidRPr="00AB76B8">
        <w:rPr>
          <w:rStyle w:val="highlight"/>
          <w:rFonts w:ascii="Arial" w:hAnsi="Arial" w:cs="Arial"/>
          <w:shd w:val="clear" w:color="auto" w:fill="FFFFFF"/>
        </w:rPr>
        <w:t xml:space="preserve"> This dual inhibitor is being studied for its effect on AS along with psoriasis and psoriatic arthritis with good results in this early stage.</w:t>
      </w:r>
      <w:r w:rsidRPr="00AB76B8">
        <w:rPr>
          <w:rStyle w:val="highlight"/>
          <w:rFonts w:ascii="Arial" w:hAnsi="Arial" w:cs="Arial"/>
          <w:shd w:val="clear" w:color="auto" w:fill="FFFFFF"/>
          <w:vertAlign w:val="superscript"/>
        </w:rPr>
        <w:t>18</w:t>
      </w:r>
      <w:r w:rsidRPr="00AB76B8">
        <w:rPr>
          <w:rStyle w:val="highlight"/>
          <w:rFonts w:ascii="Arial" w:hAnsi="Arial" w:cs="Arial"/>
          <w:shd w:val="clear" w:color="auto" w:fill="FFFFFF"/>
        </w:rPr>
        <w:t xml:space="preserve"> It is currently in phase </w:t>
      </w:r>
      <w:r>
        <w:rPr>
          <w:rStyle w:val="highlight"/>
          <w:rFonts w:ascii="Arial" w:hAnsi="Arial" w:cs="Arial"/>
          <w:shd w:val="clear" w:color="auto" w:fill="FFFFFF"/>
        </w:rPr>
        <w:t>3</w:t>
      </w:r>
      <w:r w:rsidRPr="00AB76B8">
        <w:rPr>
          <w:rStyle w:val="highlight"/>
          <w:rFonts w:ascii="Arial" w:hAnsi="Arial" w:cs="Arial"/>
          <w:shd w:val="clear" w:color="auto" w:fill="FFFFFF"/>
        </w:rPr>
        <w:t xml:space="preserve"> clinical trials and has been shown to improve clinical symptoms rapidly.</w:t>
      </w:r>
      <w:r w:rsidRPr="00AB76B8">
        <w:rPr>
          <w:rStyle w:val="highlight"/>
          <w:rFonts w:ascii="Arial" w:hAnsi="Arial" w:cs="Arial"/>
          <w:shd w:val="clear" w:color="auto" w:fill="FFFFFF"/>
          <w:vertAlign w:val="superscript"/>
        </w:rPr>
        <w:t>19</w:t>
      </w:r>
      <w:r w:rsidRPr="00AB76B8">
        <w:rPr>
          <w:rStyle w:val="highlight"/>
          <w:rFonts w:ascii="Arial" w:hAnsi="Arial" w:cs="Arial"/>
          <w:shd w:val="clear" w:color="auto" w:fill="FFFFFF"/>
        </w:rPr>
        <w:t xml:space="preserve"> As with most IL inhibitors</w:t>
      </w:r>
      <w:r>
        <w:rPr>
          <w:rStyle w:val="highlight"/>
          <w:rFonts w:ascii="Arial" w:hAnsi="Arial" w:cs="Arial"/>
          <w:shd w:val="clear" w:color="auto" w:fill="FFFFFF"/>
        </w:rPr>
        <w:t>,</w:t>
      </w:r>
      <w:r w:rsidRPr="00AB76B8">
        <w:rPr>
          <w:rStyle w:val="highlight"/>
          <w:rFonts w:ascii="Arial" w:hAnsi="Arial" w:cs="Arial"/>
          <w:shd w:val="clear" w:color="auto" w:fill="FFFFFF"/>
        </w:rPr>
        <w:t xml:space="preserve"> adverse effects primarily are an increased susceptibility to infections.</w:t>
      </w:r>
      <w:r w:rsidRPr="00AB76B8">
        <w:rPr>
          <w:rStyle w:val="highlight"/>
          <w:rFonts w:ascii="Arial" w:hAnsi="Arial" w:cs="Arial"/>
          <w:shd w:val="clear" w:color="auto" w:fill="FFFFFF"/>
          <w:vertAlign w:val="superscript"/>
        </w:rPr>
        <w:t>19</w:t>
      </w:r>
    </w:p>
    <w:p w:rsidR="00E7686F" w:rsidRPr="00AB76B8" w:rsidRDefault="00E7686F" w:rsidP="00E7686F">
      <w:pPr>
        <w:rPr>
          <w:rStyle w:val="highlight"/>
          <w:rFonts w:ascii="Arial" w:hAnsi="Arial" w:cs="Arial"/>
          <w:shd w:val="clear" w:color="auto" w:fill="FFFFFF"/>
          <w:vertAlign w:val="superscript"/>
        </w:rPr>
      </w:pPr>
    </w:p>
    <w:p w:rsidR="00E7686F" w:rsidRPr="00AB76B8" w:rsidRDefault="00E7686F" w:rsidP="00E7686F">
      <w:pPr>
        <w:rPr>
          <w:rFonts w:ascii="Arial" w:hAnsi="Arial" w:cs="Arial"/>
        </w:rPr>
      </w:pPr>
      <w:r w:rsidRPr="00AB76B8">
        <w:rPr>
          <w:rStyle w:val="highlight"/>
          <w:rFonts w:ascii="Arial" w:hAnsi="Arial" w:cs="Arial"/>
          <w:shd w:val="clear" w:color="auto" w:fill="FFFFFF"/>
        </w:rPr>
        <w:t xml:space="preserve">Research is also ongoing </w:t>
      </w:r>
      <w:r>
        <w:rPr>
          <w:rStyle w:val="highlight"/>
          <w:rFonts w:ascii="Arial" w:hAnsi="Arial" w:cs="Arial"/>
          <w:shd w:val="clear" w:color="auto" w:fill="FFFFFF"/>
        </w:rPr>
        <w:t>for</w:t>
      </w:r>
      <w:r w:rsidRPr="00AB76B8">
        <w:rPr>
          <w:rStyle w:val="highlight"/>
          <w:rFonts w:ascii="Arial" w:hAnsi="Arial" w:cs="Arial"/>
          <w:shd w:val="clear" w:color="auto" w:fill="FFFFFF"/>
        </w:rPr>
        <w:t xml:space="preserve"> other pathways involved in the pathogenesis of AS and nr-</w:t>
      </w:r>
      <w:proofErr w:type="spellStart"/>
      <w:r w:rsidRPr="00AB76B8">
        <w:rPr>
          <w:rStyle w:val="highlight"/>
          <w:rFonts w:ascii="Arial" w:hAnsi="Arial" w:cs="Arial"/>
          <w:shd w:val="clear" w:color="auto" w:fill="FFFFFF"/>
        </w:rPr>
        <w:t>axSpA</w:t>
      </w:r>
      <w:proofErr w:type="spellEnd"/>
      <w:r w:rsidRPr="00AB76B8">
        <w:rPr>
          <w:rStyle w:val="highlight"/>
          <w:rFonts w:ascii="Arial" w:hAnsi="Arial" w:cs="Arial"/>
          <w:shd w:val="clear" w:color="auto" w:fill="FFFFFF"/>
        </w:rPr>
        <w:t xml:space="preserve">. The IL-23 inhibitors </w:t>
      </w:r>
      <w:proofErr w:type="spellStart"/>
      <w:r w:rsidRPr="00AB76B8">
        <w:rPr>
          <w:rFonts w:ascii="Arial" w:hAnsi="Arial" w:cs="Arial"/>
        </w:rPr>
        <w:t>risankizumab</w:t>
      </w:r>
      <w:proofErr w:type="spellEnd"/>
      <w:r w:rsidRPr="00AB76B8">
        <w:rPr>
          <w:rFonts w:ascii="Arial" w:hAnsi="Arial" w:cs="Arial"/>
        </w:rPr>
        <w:t xml:space="preserve"> and </w:t>
      </w:r>
      <w:proofErr w:type="spellStart"/>
      <w:r w:rsidRPr="00AB76B8">
        <w:rPr>
          <w:rFonts w:ascii="Arial" w:hAnsi="Arial" w:cs="Arial"/>
        </w:rPr>
        <w:t>guselkumab</w:t>
      </w:r>
      <w:proofErr w:type="spellEnd"/>
      <w:r w:rsidRPr="00AB76B8">
        <w:rPr>
          <w:rFonts w:ascii="Arial" w:hAnsi="Arial" w:cs="Arial"/>
        </w:rPr>
        <w:t xml:space="preserve"> along with JAK inhibitors </w:t>
      </w:r>
      <w:proofErr w:type="spellStart"/>
      <w:r w:rsidRPr="00AB76B8">
        <w:rPr>
          <w:rFonts w:ascii="Arial" w:hAnsi="Arial" w:cs="Arial"/>
        </w:rPr>
        <w:t>upadacitinib</w:t>
      </w:r>
      <w:proofErr w:type="spellEnd"/>
      <w:r w:rsidRPr="00AB76B8">
        <w:rPr>
          <w:rFonts w:ascii="Arial" w:hAnsi="Arial" w:cs="Arial"/>
        </w:rPr>
        <w:t xml:space="preserve">,  </w:t>
      </w:r>
      <w:proofErr w:type="spellStart"/>
      <w:r w:rsidRPr="00AB76B8">
        <w:rPr>
          <w:rFonts w:ascii="Arial" w:hAnsi="Arial" w:cs="Arial"/>
        </w:rPr>
        <w:t>baricitinib</w:t>
      </w:r>
      <w:proofErr w:type="spellEnd"/>
      <w:r w:rsidRPr="00AB76B8">
        <w:rPr>
          <w:rFonts w:ascii="Arial" w:hAnsi="Arial" w:cs="Arial"/>
        </w:rPr>
        <w:t xml:space="preserve">, and </w:t>
      </w:r>
      <w:proofErr w:type="spellStart"/>
      <w:r w:rsidRPr="00AB76B8">
        <w:rPr>
          <w:rFonts w:ascii="Arial" w:hAnsi="Arial" w:cs="Arial"/>
        </w:rPr>
        <w:t>filgotinib</w:t>
      </w:r>
      <w:proofErr w:type="spellEnd"/>
      <w:r w:rsidRPr="00AB76B8">
        <w:rPr>
          <w:rFonts w:ascii="Arial" w:hAnsi="Arial" w:cs="Arial"/>
        </w:rPr>
        <w:t xml:space="preserve"> are all potential future treatments to add to the arsenal of medications used to treat these and other inflammatory diseases.</w:t>
      </w:r>
      <w:r w:rsidRPr="00AB76B8">
        <w:rPr>
          <w:rFonts w:ascii="Arial" w:hAnsi="Arial" w:cs="Arial"/>
          <w:vertAlign w:val="superscript"/>
        </w:rPr>
        <w:t>6,8</w:t>
      </w:r>
      <w:r w:rsidRPr="00AB76B8">
        <w:rPr>
          <w:rFonts w:ascii="Arial" w:hAnsi="Arial" w:cs="Arial"/>
        </w:rPr>
        <w:t xml:space="preserve"> 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contextualSpacing/>
        <w:rPr>
          <w:rFonts w:ascii="Arial" w:hAnsi="Arial" w:cs="Arial"/>
          <w:b/>
        </w:rPr>
      </w:pPr>
      <w:r w:rsidRPr="00AB76B8">
        <w:rPr>
          <w:rFonts w:ascii="Arial" w:hAnsi="Arial" w:cs="Arial"/>
          <w:b/>
        </w:rPr>
        <w:t xml:space="preserve">SUGGESTED FACULTY LIST 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</w:rPr>
      </w:pPr>
      <w:r w:rsidRPr="00AB76B8">
        <w:rPr>
          <w:rFonts w:ascii="Arial" w:hAnsi="Arial" w:cs="Arial"/>
        </w:rPr>
        <w:t>Leonard H. Calabrese, DO, Professor of Medicine, Case Western Reserve University, Cleveland, Ohio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</w:rPr>
      </w:pPr>
      <w:r w:rsidRPr="00AB76B8">
        <w:rPr>
          <w:rFonts w:ascii="Arial" w:hAnsi="Arial" w:cs="Arial"/>
        </w:rPr>
        <w:t>Stanley B. Cohen, MD, Clinical Professor, UT Southwestern Medical Center,</w:t>
      </w:r>
    </w:p>
    <w:p w:rsidR="00E7686F" w:rsidRPr="00AB76B8" w:rsidRDefault="00E7686F" w:rsidP="00E7686F">
      <w:pPr>
        <w:rPr>
          <w:rFonts w:ascii="Arial" w:hAnsi="Arial" w:cs="Arial"/>
        </w:rPr>
      </w:pPr>
      <w:r w:rsidRPr="00AB76B8">
        <w:rPr>
          <w:rFonts w:ascii="Arial" w:hAnsi="Arial" w:cs="Arial"/>
        </w:rPr>
        <w:t>Dallas, Texas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</w:rPr>
      </w:pPr>
      <w:r w:rsidRPr="00AB76B8">
        <w:rPr>
          <w:rFonts w:ascii="Arial" w:hAnsi="Arial" w:cs="Arial"/>
        </w:rPr>
        <w:t xml:space="preserve">M. Elaine </w:t>
      </w:r>
      <w:proofErr w:type="spellStart"/>
      <w:r w:rsidRPr="00AB76B8">
        <w:rPr>
          <w:rFonts w:ascii="Arial" w:hAnsi="Arial" w:cs="Arial"/>
        </w:rPr>
        <w:t>Husni</w:t>
      </w:r>
      <w:proofErr w:type="spellEnd"/>
      <w:r w:rsidRPr="00AB76B8">
        <w:rPr>
          <w:rFonts w:ascii="Arial" w:hAnsi="Arial" w:cs="Arial"/>
        </w:rPr>
        <w:t>, MD, MPH, Assistant Professor of Medicine, Case Western Reserve University, Cleveland, Ohio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rPr>
          <w:rFonts w:ascii="Arial" w:hAnsi="Arial" w:cs="Arial"/>
          <w:b/>
        </w:rPr>
      </w:pPr>
    </w:p>
    <w:p w:rsidR="00E7686F" w:rsidRDefault="00E7686F" w:rsidP="00E7686F">
      <w:pPr>
        <w:pStyle w:val="Normal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sz w:val="22"/>
          <w:szCs w:val="22"/>
        </w:rPr>
      </w:pPr>
    </w:p>
    <w:p w:rsidR="00E7686F" w:rsidRDefault="00E7686F" w:rsidP="00E7686F">
      <w:pPr>
        <w:pStyle w:val="Normal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sz w:val="22"/>
          <w:szCs w:val="22"/>
        </w:rPr>
      </w:pPr>
    </w:p>
    <w:p w:rsidR="00E7686F" w:rsidRDefault="00E7686F" w:rsidP="00E7686F">
      <w:pPr>
        <w:pStyle w:val="Normal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sz w:val="22"/>
          <w:szCs w:val="22"/>
        </w:rPr>
      </w:pPr>
    </w:p>
    <w:p w:rsidR="00E7686F" w:rsidRDefault="00E7686F" w:rsidP="00E7686F">
      <w:pPr>
        <w:pStyle w:val="Normal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sz w:val="22"/>
          <w:szCs w:val="22"/>
        </w:rPr>
      </w:pPr>
    </w:p>
    <w:p w:rsidR="00E7686F" w:rsidRDefault="00E7686F" w:rsidP="00E7686F">
      <w:pPr>
        <w:pStyle w:val="Normal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sz w:val="22"/>
          <w:szCs w:val="22"/>
        </w:rPr>
      </w:pPr>
    </w:p>
    <w:p w:rsidR="00E7686F" w:rsidRDefault="00E7686F" w:rsidP="00E7686F">
      <w:pPr>
        <w:pStyle w:val="Normal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sz w:val="22"/>
          <w:szCs w:val="22"/>
        </w:rPr>
      </w:pPr>
    </w:p>
    <w:p w:rsidR="00E7686F" w:rsidRPr="00AB76B8" w:rsidRDefault="00E7686F" w:rsidP="00E7686F">
      <w:pPr>
        <w:pStyle w:val="Normal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sz w:val="22"/>
          <w:szCs w:val="22"/>
        </w:rPr>
      </w:pPr>
      <w:r w:rsidRPr="00AB76B8">
        <w:rPr>
          <w:rFonts w:ascii="Arial" w:hAnsi="Arial" w:cs="Arial"/>
          <w:b/>
          <w:sz w:val="22"/>
          <w:szCs w:val="22"/>
        </w:rPr>
        <w:lastRenderedPageBreak/>
        <w:t>CONCLUSION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AB76B8">
        <w:rPr>
          <w:rFonts w:ascii="Arial" w:hAnsi="Arial" w:cs="Arial"/>
        </w:rPr>
        <w:t xml:space="preserve">Axial </w:t>
      </w:r>
      <w:proofErr w:type="spellStart"/>
      <w:r w:rsidRPr="00AB76B8">
        <w:rPr>
          <w:rFonts w:ascii="Arial" w:hAnsi="Arial" w:cs="Arial"/>
        </w:rPr>
        <w:t>spondyloarthritis</w:t>
      </w:r>
      <w:proofErr w:type="spellEnd"/>
      <w:r w:rsidRPr="00AB76B8">
        <w:rPr>
          <w:rFonts w:ascii="Arial" w:hAnsi="Arial" w:cs="Arial"/>
        </w:rPr>
        <w:t xml:space="preserve"> is a potentially debilitating disease </w:t>
      </w:r>
      <w:r>
        <w:rPr>
          <w:rFonts w:ascii="Arial" w:hAnsi="Arial" w:cs="Arial"/>
        </w:rPr>
        <w:t>that</w:t>
      </w:r>
      <w:r w:rsidRPr="00AB76B8">
        <w:rPr>
          <w:rFonts w:ascii="Arial" w:hAnsi="Arial" w:cs="Arial"/>
        </w:rPr>
        <w:t xml:space="preserve"> had limited treatment options in the past. With the advent of biological therapeutics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inflammation, bone destruction, and new bone formation can be limited earlier in the disease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increasing quality of life for people with axial </w:t>
      </w:r>
      <w:proofErr w:type="spellStart"/>
      <w:r w:rsidRPr="00AB76B8">
        <w:rPr>
          <w:rFonts w:ascii="Arial" w:hAnsi="Arial" w:cs="Arial"/>
        </w:rPr>
        <w:t>spondyloarthritis</w:t>
      </w:r>
      <w:proofErr w:type="spellEnd"/>
      <w:r w:rsidRPr="00AB76B8">
        <w:rPr>
          <w:rFonts w:ascii="Arial" w:hAnsi="Arial" w:cs="Arial"/>
        </w:rPr>
        <w:t>. Physicians need to keep up-to-date on the new treatment options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which are expanding rapidly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so they can chose the most effective option</w:t>
      </w:r>
      <w:r>
        <w:rPr>
          <w:rFonts w:ascii="Arial" w:hAnsi="Arial" w:cs="Arial"/>
        </w:rPr>
        <w:t>s</w:t>
      </w:r>
      <w:r w:rsidRPr="00AB76B8">
        <w:rPr>
          <w:rFonts w:ascii="Arial" w:hAnsi="Arial" w:cs="Arial"/>
        </w:rPr>
        <w:t xml:space="preserve"> for their patients. In addition, multiple drugs targeting different pathways in the disease process are being developed</w:t>
      </w:r>
      <w:r>
        <w:rPr>
          <w:rFonts w:ascii="Arial" w:hAnsi="Arial" w:cs="Arial"/>
        </w:rPr>
        <w:t>,</w:t>
      </w:r>
      <w:r w:rsidRPr="00AB76B8">
        <w:rPr>
          <w:rFonts w:ascii="Arial" w:hAnsi="Arial" w:cs="Arial"/>
        </w:rPr>
        <w:t xml:space="preserve"> which can aid the physician in future treatment protocols. </w:t>
      </w:r>
    </w:p>
    <w:p w:rsidR="00E7686F" w:rsidRPr="00AB76B8" w:rsidRDefault="00E7686F" w:rsidP="00E7686F">
      <w:pPr>
        <w:rPr>
          <w:rFonts w:ascii="Arial" w:hAnsi="Arial" w:cs="Arial"/>
          <w:b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</w:rPr>
      </w:pPr>
    </w:p>
    <w:p w:rsidR="00E7686F" w:rsidRPr="00AB76B8" w:rsidRDefault="00E7686F" w:rsidP="00E7686F">
      <w:pPr>
        <w:pStyle w:val="NormalWeb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AB76B8">
        <w:rPr>
          <w:rFonts w:ascii="Arial" w:hAnsi="Arial" w:cs="Arial"/>
          <w:b/>
          <w:color w:val="000000"/>
          <w:sz w:val="22"/>
          <w:szCs w:val="22"/>
        </w:rPr>
        <w:t>REFERENCES</w:t>
      </w:r>
    </w:p>
    <w:p w:rsidR="00E7686F" w:rsidRPr="00AB76B8" w:rsidRDefault="00E7686F" w:rsidP="00E7686F">
      <w:pPr>
        <w:rPr>
          <w:rFonts w:ascii="Arial" w:hAnsi="Arial" w:cs="Arial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</w:rPr>
      </w:pPr>
      <w:proofErr w:type="spellStart"/>
      <w:r w:rsidRPr="00AB76B8">
        <w:rPr>
          <w:rFonts w:ascii="Arial" w:hAnsi="Arial" w:cs="Arial"/>
          <w:color w:val="000000" w:themeColor="text1"/>
        </w:rPr>
        <w:t>Sieper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J, Braun J, </w:t>
      </w:r>
      <w:proofErr w:type="spellStart"/>
      <w:r w:rsidRPr="00AB76B8">
        <w:rPr>
          <w:rFonts w:ascii="Arial" w:hAnsi="Arial" w:cs="Arial"/>
          <w:color w:val="000000" w:themeColor="text1"/>
        </w:rPr>
        <w:t>Dougados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M, </w:t>
      </w:r>
      <w:proofErr w:type="spellStart"/>
      <w:r w:rsidRPr="00AB76B8">
        <w:rPr>
          <w:rFonts w:ascii="Arial" w:hAnsi="Arial" w:cs="Arial"/>
          <w:color w:val="000000" w:themeColor="text1"/>
        </w:rPr>
        <w:t>Baeten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D. Axial </w:t>
      </w:r>
      <w:proofErr w:type="spellStart"/>
      <w:r w:rsidRPr="00AB76B8">
        <w:rPr>
          <w:rFonts w:ascii="Arial" w:hAnsi="Arial" w:cs="Arial"/>
          <w:color w:val="000000" w:themeColor="text1"/>
        </w:rPr>
        <w:t>spondyloarthritis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. </w:t>
      </w:r>
      <w:r w:rsidRPr="007774C5">
        <w:rPr>
          <w:rFonts w:ascii="Arial" w:hAnsi="Arial" w:cs="Arial"/>
          <w:i/>
          <w:color w:val="000000" w:themeColor="text1"/>
        </w:rPr>
        <w:t>Nat Rev Dis Primers</w:t>
      </w:r>
      <w:r w:rsidRPr="00AB76B8">
        <w:rPr>
          <w:rFonts w:ascii="Arial" w:hAnsi="Arial" w:cs="Arial"/>
          <w:color w:val="000000" w:themeColor="text1"/>
        </w:rPr>
        <w:t>. 2015</w:t>
      </w:r>
      <w:proofErr w:type="gramStart"/>
      <w:r w:rsidRPr="00AB76B8">
        <w:rPr>
          <w:rFonts w:ascii="Arial" w:hAnsi="Arial" w:cs="Arial"/>
          <w:color w:val="000000" w:themeColor="text1"/>
        </w:rPr>
        <w:t>;1:15013</w:t>
      </w:r>
      <w:proofErr w:type="gramEnd"/>
      <w:r w:rsidRPr="00AB76B8">
        <w:rPr>
          <w:rFonts w:ascii="Arial" w:hAnsi="Arial" w:cs="Arial"/>
          <w:color w:val="000000" w:themeColor="text1"/>
        </w:rPr>
        <w:t>.</w:t>
      </w:r>
    </w:p>
    <w:p w:rsidR="00E7686F" w:rsidRPr="00AB76B8" w:rsidRDefault="00E7686F" w:rsidP="00E7686F">
      <w:pPr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rFonts w:ascii="Arial" w:hAnsi="Arial" w:cs="Arial"/>
          <w:color w:val="000000" w:themeColor="text1"/>
        </w:rPr>
      </w:pPr>
      <w:r w:rsidRPr="00AB76B8">
        <w:rPr>
          <w:rFonts w:ascii="Arial" w:hAnsi="Arial" w:cs="Arial"/>
          <w:color w:val="000000" w:themeColor="text1"/>
        </w:rPr>
        <w:t xml:space="preserve">Bohn R, Cooney M, </w:t>
      </w:r>
      <w:proofErr w:type="spellStart"/>
      <w:r w:rsidRPr="00AB76B8">
        <w:rPr>
          <w:rFonts w:ascii="Arial" w:hAnsi="Arial" w:cs="Arial"/>
          <w:color w:val="000000" w:themeColor="text1"/>
        </w:rPr>
        <w:t>Deodhar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A, Curtis JR, </w:t>
      </w:r>
      <w:proofErr w:type="spellStart"/>
      <w:r w:rsidRPr="00AB76B8">
        <w:rPr>
          <w:rFonts w:ascii="Arial" w:hAnsi="Arial" w:cs="Arial"/>
          <w:color w:val="000000" w:themeColor="text1"/>
        </w:rPr>
        <w:t>Golembesky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A. Incidence and prevalence of axial </w:t>
      </w:r>
      <w:proofErr w:type="spellStart"/>
      <w:r w:rsidRPr="00AB76B8">
        <w:rPr>
          <w:rFonts w:ascii="Arial" w:hAnsi="Arial" w:cs="Arial"/>
          <w:color w:val="000000" w:themeColor="text1"/>
        </w:rPr>
        <w:t>spondyloarthritis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AB76B8">
        <w:rPr>
          <w:rFonts w:ascii="Arial" w:hAnsi="Arial" w:cs="Arial"/>
          <w:color w:val="000000" w:themeColor="text1"/>
        </w:rPr>
        <w:t>methodologic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challenges and gaps in the literature. </w:t>
      </w:r>
      <w:r w:rsidRPr="007774C5">
        <w:rPr>
          <w:rFonts w:ascii="Arial" w:hAnsi="Arial" w:cs="Arial"/>
          <w:i/>
          <w:color w:val="000000" w:themeColor="text1"/>
        </w:rPr>
        <w:t xml:space="preserve">Clin Exp </w:t>
      </w:r>
      <w:proofErr w:type="spellStart"/>
      <w:r w:rsidRPr="007774C5">
        <w:rPr>
          <w:rFonts w:ascii="Arial" w:hAnsi="Arial" w:cs="Arial"/>
          <w:i/>
          <w:color w:val="000000" w:themeColor="text1"/>
        </w:rPr>
        <w:t>Rheumatol</w:t>
      </w:r>
      <w:proofErr w:type="spellEnd"/>
      <w:r w:rsidRPr="00AB76B8">
        <w:rPr>
          <w:rFonts w:ascii="Arial" w:hAnsi="Arial" w:cs="Arial"/>
          <w:color w:val="000000" w:themeColor="text1"/>
        </w:rPr>
        <w:t>. 2018</w:t>
      </w:r>
      <w:proofErr w:type="gramStart"/>
      <w:r w:rsidRPr="00AB76B8">
        <w:rPr>
          <w:rFonts w:ascii="Arial" w:hAnsi="Arial" w:cs="Arial"/>
          <w:color w:val="000000" w:themeColor="text1"/>
        </w:rPr>
        <w:t>;36</w:t>
      </w:r>
      <w:proofErr w:type="gramEnd"/>
      <w:r w:rsidRPr="00AB76B8">
        <w:rPr>
          <w:rFonts w:ascii="Arial" w:hAnsi="Arial" w:cs="Arial"/>
          <w:color w:val="000000" w:themeColor="text1"/>
        </w:rPr>
        <w:t>(2):263-274.</w:t>
      </w:r>
    </w:p>
    <w:p w:rsidR="00E7686F" w:rsidRPr="00AB76B8" w:rsidRDefault="00E7686F" w:rsidP="00E7686F">
      <w:pPr>
        <w:tabs>
          <w:tab w:val="left" w:pos="1080"/>
        </w:tabs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color w:val="000000" w:themeColor="text1"/>
        </w:rPr>
      </w:pPr>
      <w:proofErr w:type="spellStart"/>
      <w:r w:rsidRPr="00AB76B8">
        <w:rPr>
          <w:rFonts w:ascii="Arial" w:hAnsi="Arial" w:cs="Arial"/>
          <w:color w:val="000000" w:themeColor="text1"/>
        </w:rPr>
        <w:t>Spondyloarthritis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. American College of Rheumatology. </w:t>
      </w:r>
      <w:hyperlink r:id="rId5" w:history="1">
        <w:r w:rsidRPr="00AB76B8">
          <w:rPr>
            <w:rStyle w:val="Hyperlink"/>
            <w:rFonts w:ascii="Arial" w:hAnsi="Arial" w:cs="Arial"/>
            <w:color w:val="000000" w:themeColor="text1"/>
          </w:rPr>
          <w:t>https://www.rheumatology.org/I-Am-A/Patient-Caregiver/Diseases-Conditions/Spondyloarthritis</w:t>
        </w:r>
      </w:hyperlink>
      <w:r w:rsidRPr="00AB76B8">
        <w:rPr>
          <w:rStyle w:val="Hyperlink"/>
          <w:rFonts w:ascii="Arial" w:hAnsi="Arial" w:cs="Arial"/>
          <w:color w:val="000000" w:themeColor="text1"/>
        </w:rPr>
        <w:t xml:space="preserve">. </w:t>
      </w:r>
      <w:r w:rsidRPr="00AB76B8">
        <w:rPr>
          <w:rFonts w:ascii="Arial" w:hAnsi="Arial" w:cs="Arial"/>
          <w:color w:val="000000" w:themeColor="text1"/>
          <w:shd w:val="clear" w:color="auto" w:fill="FFFFFF"/>
        </w:rPr>
        <w:t>Accessed September 01, 2019.</w:t>
      </w:r>
    </w:p>
    <w:p w:rsidR="00E7686F" w:rsidRPr="00AB76B8" w:rsidRDefault="00E7686F" w:rsidP="00E7686F">
      <w:pPr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</w:rPr>
      </w:pPr>
      <w:proofErr w:type="spellStart"/>
      <w:r w:rsidRPr="00AB76B8">
        <w:rPr>
          <w:rFonts w:ascii="Arial" w:hAnsi="Arial" w:cs="Arial"/>
          <w:color w:val="000000" w:themeColor="text1"/>
        </w:rPr>
        <w:t>Sieper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J, </w:t>
      </w:r>
      <w:proofErr w:type="spellStart"/>
      <w:r w:rsidRPr="00AB76B8">
        <w:rPr>
          <w:rFonts w:ascii="Arial" w:hAnsi="Arial" w:cs="Arial"/>
          <w:color w:val="000000" w:themeColor="text1"/>
        </w:rPr>
        <w:t>Poddubnyy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D. Axial </w:t>
      </w:r>
      <w:proofErr w:type="spellStart"/>
      <w:r w:rsidRPr="00AB76B8">
        <w:rPr>
          <w:rFonts w:ascii="Arial" w:hAnsi="Arial" w:cs="Arial"/>
          <w:color w:val="000000" w:themeColor="text1"/>
        </w:rPr>
        <w:t>spondyloarthritis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. </w:t>
      </w:r>
      <w:r w:rsidRPr="007774C5">
        <w:rPr>
          <w:rFonts w:ascii="Arial" w:hAnsi="Arial" w:cs="Arial"/>
          <w:i/>
          <w:color w:val="000000" w:themeColor="text1"/>
        </w:rPr>
        <w:t>Lancet.</w:t>
      </w:r>
      <w:r w:rsidRPr="00AB76B8">
        <w:rPr>
          <w:rFonts w:ascii="Arial" w:hAnsi="Arial" w:cs="Arial"/>
          <w:color w:val="000000" w:themeColor="text1"/>
        </w:rPr>
        <w:t xml:space="preserve"> 2017</w:t>
      </w:r>
      <w:proofErr w:type="gramStart"/>
      <w:r w:rsidRPr="00AB76B8">
        <w:rPr>
          <w:rFonts w:ascii="Arial" w:hAnsi="Arial" w:cs="Arial"/>
          <w:color w:val="000000" w:themeColor="text1"/>
        </w:rPr>
        <w:t>;390</w:t>
      </w:r>
      <w:proofErr w:type="gramEnd"/>
      <w:r w:rsidRPr="00AB76B8">
        <w:rPr>
          <w:rFonts w:ascii="Arial" w:hAnsi="Arial" w:cs="Arial"/>
          <w:color w:val="000000" w:themeColor="text1"/>
        </w:rPr>
        <w:t>(10089):73-84.</w:t>
      </w:r>
    </w:p>
    <w:p w:rsidR="00E7686F" w:rsidRPr="00AB76B8" w:rsidRDefault="00E7686F" w:rsidP="00E7686F">
      <w:pPr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AB76B8">
        <w:rPr>
          <w:rFonts w:ascii="Arial" w:hAnsi="Arial" w:cs="Arial"/>
          <w:color w:val="000000" w:themeColor="text1"/>
        </w:rPr>
        <w:t xml:space="preserve">Ward MM, </w:t>
      </w:r>
      <w:proofErr w:type="spellStart"/>
      <w:r w:rsidRPr="00AB76B8">
        <w:rPr>
          <w:rFonts w:ascii="Arial" w:hAnsi="Arial" w:cs="Arial"/>
          <w:color w:val="000000" w:themeColor="text1"/>
        </w:rPr>
        <w:t>Deodhar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A, </w:t>
      </w:r>
      <w:proofErr w:type="spellStart"/>
      <w:r w:rsidRPr="00AB76B8">
        <w:rPr>
          <w:rFonts w:ascii="Arial" w:hAnsi="Arial" w:cs="Arial"/>
          <w:color w:val="000000" w:themeColor="text1"/>
        </w:rPr>
        <w:t>Akl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EA, et al. American College of Rheumatology/Spondylitis Association of America/</w:t>
      </w:r>
      <w:proofErr w:type="spellStart"/>
      <w:r w:rsidRPr="00AB76B8">
        <w:rPr>
          <w:rFonts w:ascii="Arial" w:hAnsi="Arial" w:cs="Arial"/>
          <w:color w:val="000000" w:themeColor="text1"/>
        </w:rPr>
        <w:t>Spondyloarthritis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Research and Treatment Network 2015 recommendations for the treatment of ankylosing spondylitis and </w:t>
      </w:r>
      <w:proofErr w:type="spellStart"/>
      <w:r w:rsidRPr="00AB76B8">
        <w:rPr>
          <w:rFonts w:ascii="Arial" w:hAnsi="Arial" w:cs="Arial"/>
          <w:color w:val="000000" w:themeColor="text1"/>
        </w:rPr>
        <w:t>nonradiographic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axial </w:t>
      </w:r>
      <w:proofErr w:type="spellStart"/>
      <w:r w:rsidRPr="00AB76B8">
        <w:rPr>
          <w:rFonts w:ascii="Arial" w:hAnsi="Arial" w:cs="Arial"/>
          <w:color w:val="000000" w:themeColor="text1"/>
        </w:rPr>
        <w:t>spondyloarthritis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. </w:t>
      </w:r>
      <w:r w:rsidRPr="007774C5">
        <w:rPr>
          <w:rFonts w:ascii="Arial" w:hAnsi="Arial" w:cs="Arial"/>
          <w:i/>
          <w:color w:val="000000" w:themeColor="text1"/>
        </w:rPr>
        <w:t xml:space="preserve">Arthritis </w:t>
      </w:r>
      <w:proofErr w:type="spellStart"/>
      <w:r w:rsidRPr="007774C5">
        <w:rPr>
          <w:rFonts w:ascii="Arial" w:hAnsi="Arial" w:cs="Arial"/>
          <w:i/>
          <w:color w:val="000000" w:themeColor="text1"/>
        </w:rPr>
        <w:t>Rheumatol</w:t>
      </w:r>
      <w:proofErr w:type="spellEnd"/>
      <w:r w:rsidRPr="00AB76B8">
        <w:rPr>
          <w:rFonts w:ascii="Arial" w:hAnsi="Arial" w:cs="Arial"/>
          <w:color w:val="000000" w:themeColor="text1"/>
        </w:rPr>
        <w:t>. 2016</w:t>
      </w:r>
      <w:proofErr w:type="gramStart"/>
      <w:r w:rsidRPr="00AB76B8">
        <w:rPr>
          <w:rFonts w:ascii="Arial" w:hAnsi="Arial" w:cs="Arial"/>
          <w:color w:val="000000" w:themeColor="text1"/>
        </w:rPr>
        <w:t>;68</w:t>
      </w:r>
      <w:proofErr w:type="gramEnd"/>
      <w:r w:rsidRPr="00AB76B8">
        <w:rPr>
          <w:rFonts w:ascii="Arial" w:hAnsi="Arial" w:cs="Arial"/>
          <w:color w:val="000000" w:themeColor="text1"/>
        </w:rPr>
        <w:t xml:space="preserve">(2):282–298. </w:t>
      </w:r>
    </w:p>
    <w:p w:rsidR="00E7686F" w:rsidRPr="00AB76B8" w:rsidRDefault="00E7686F" w:rsidP="00E7686F">
      <w:pPr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</w:rPr>
      </w:pPr>
      <w:proofErr w:type="spellStart"/>
      <w:r w:rsidRPr="00AB76B8">
        <w:rPr>
          <w:rFonts w:ascii="Arial" w:hAnsi="Arial" w:cs="Arial"/>
          <w:color w:val="000000" w:themeColor="text1"/>
        </w:rPr>
        <w:t>Rademacher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J, </w:t>
      </w:r>
      <w:proofErr w:type="spellStart"/>
      <w:r w:rsidRPr="00AB76B8">
        <w:rPr>
          <w:rFonts w:ascii="Arial" w:hAnsi="Arial" w:cs="Arial"/>
          <w:color w:val="000000" w:themeColor="text1"/>
        </w:rPr>
        <w:t>Poddubnyy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D. Emerging drugs for the treatment of axial </w:t>
      </w:r>
      <w:proofErr w:type="spellStart"/>
      <w:r w:rsidRPr="00AB76B8">
        <w:rPr>
          <w:rFonts w:ascii="Arial" w:hAnsi="Arial" w:cs="Arial"/>
          <w:color w:val="000000" w:themeColor="text1"/>
        </w:rPr>
        <w:t>spondyloarthritis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. </w:t>
      </w:r>
      <w:r w:rsidRPr="007774C5">
        <w:rPr>
          <w:rFonts w:ascii="Arial" w:hAnsi="Arial" w:cs="Arial"/>
          <w:i/>
          <w:color w:val="000000" w:themeColor="text1"/>
        </w:rPr>
        <w:t xml:space="preserve">Expert </w:t>
      </w:r>
      <w:proofErr w:type="spellStart"/>
      <w:r w:rsidRPr="007774C5">
        <w:rPr>
          <w:rFonts w:ascii="Arial" w:hAnsi="Arial" w:cs="Arial"/>
          <w:i/>
          <w:color w:val="000000" w:themeColor="text1"/>
        </w:rPr>
        <w:t>Opin</w:t>
      </w:r>
      <w:proofErr w:type="spellEnd"/>
      <w:r w:rsidRPr="007774C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7774C5">
        <w:rPr>
          <w:rFonts w:ascii="Arial" w:hAnsi="Arial" w:cs="Arial"/>
          <w:i/>
          <w:color w:val="000000" w:themeColor="text1"/>
        </w:rPr>
        <w:t>Emerg</w:t>
      </w:r>
      <w:proofErr w:type="spellEnd"/>
      <w:r w:rsidRPr="007774C5">
        <w:rPr>
          <w:rFonts w:ascii="Arial" w:hAnsi="Arial" w:cs="Arial"/>
          <w:i/>
          <w:color w:val="000000" w:themeColor="text1"/>
        </w:rPr>
        <w:t xml:space="preserve"> Drugs</w:t>
      </w:r>
      <w:r w:rsidRPr="00AB76B8">
        <w:rPr>
          <w:rFonts w:ascii="Arial" w:hAnsi="Arial" w:cs="Arial"/>
          <w:color w:val="000000" w:themeColor="text1"/>
        </w:rPr>
        <w:t>. 2018</w:t>
      </w:r>
      <w:proofErr w:type="gramStart"/>
      <w:r w:rsidRPr="00AB76B8">
        <w:rPr>
          <w:rFonts w:ascii="Arial" w:hAnsi="Arial" w:cs="Arial"/>
          <w:color w:val="000000" w:themeColor="text1"/>
        </w:rPr>
        <w:t>;23</w:t>
      </w:r>
      <w:proofErr w:type="gramEnd"/>
      <w:r w:rsidRPr="00AB76B8">
        <w:rPr>
          <w:rFonts w:ascii="Arial" w:hAnsi="Arial" w:cs="Arial"/>
          <w:color w:val="000000" w:themeColor="text1"/>
        </w:rPr>
        <w:t xml:space="preserve">(1):83-96. </w:t>
      </w:r>
    </w:p>
    <w:p w:rsidR="00E7686F" w:rsidRPr="00AB76B8" w:rsidRDefault="00E7686F" w:rsidP="00E7686F">
      <w:pPr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</w:rPr>
      </w:pPr>
      <w:proofErr w:type="spellStart"/>
      <w:r w:rsidRPr="00AB76B8">
        <w:rPr>
          <w:rFonts w:ascii="Arial" w:hAnsi="Arial" w:cs="Arial"/>
          <w:color w:val="000000" w:themeColor="text1"/>
        </w:rPr>
        <w:t>Dubash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S, </w:t>
      </w:r>
      <w:proofErr w:type="spellStart"/>
      <w:r w:rsidRPr="00AB76B8">
        <w:rPr>
          <w:rFonts w:ascii="Arial" w:hAnsi="Arial" w:cs="Arial"/>
          <w:color w:val="000000" w:themeColor="text1"/>
        </w:rPr>
        <w:t>Bridgewood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C, </w:t>
      </w:r>
      <w:proofErr w:type="spellStart"/>
      <w:r w:rsidRPr="00AB76B8">
        <w:rPr>
          <w:rFonts w:ascii="Arial" w:hAnsi="Arial" w:cs="Arial"/>
          <w:color w:val="000000" w:themeColor="text1"/>
        </w:rPr>
        <w:t>McGonagle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D, </w:t>
      </w:r>
      <w:proofErr w:type="spellStart"/>
      <w:r w:rsidRPr="00AB76B8">
        <w:rPr>
          <w:rFonts w:ascii="Arial" w:hAnsi="Arial" w:cs="Arial"/>
          <w:color w:val="000000" w:themeColor="text1"/>
        </w:rPr>
        <w:t>Marzo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-Ortega H. New advances in the understanding and treatment of axial </w:t>
      </w:r>
      <w:proofErr w:type="spellStart"/>
      <w:r w:rsidRPr="00AB76B8">
        <w:rPr>
          <w:rFonts w:ascii="Arial" w:hAnsi="Arial" w:cs="Arial"/>
          <w:color w:val="000000" w:themeColor="text1"/>
        </w:rPr>
        <w:t>spondyloarthritis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: from chance to choice. </w:t>
      </w:r>
      <w:r w:rsidRPr="007774C5">
        <w:rPr>
          <w:rFonts w:ascii="Arial" w:hAnsi="Arial" w:cs="Arial"/>
          <w:i/>
          <w:color w:val="000000" w:themeColor="text1"/>
        </w:rPr>
        <w:t>Ther Adv Chronic Dis.</w:t>
      </w:r>
      <w:r w:rsidRPr="00AB76B8">
        <w:rPr>
          <w:rFonts w:ascii="Arial" w:hAnsi="Arial" w:cs="Arial"/>
          <w:color w:val="000000" w:themeColor="text1"/>
        </w:rPr>
        <w:t xml:space="preserve"> 2018</w:t>
      </w:r>
      <w:proofErr w:type="gramStart"/>
      <w:r w:rsidRPr="00AB76B8">
        <w:rPr>
          <w:rFonts w:ascii="Arial" w:hAnsi="Arial" w:cs="Arial"/>
          <w:color w:val="000000" w:themeColor="text1"/>
        </w:rPr>
        <w:t>;9</w:t>
      </w:r>
      <w:proofErr w:type="gramEnd"/>
      <w:r w:rsidRPr="00AB76B8">
        <w:rPr>
          <w:rFonts w:ascii="Arial" w:hAnsi="Arial" w:cs="Arial"/>
          <w:color w:val="000000" w:themeColor="text1"/>
        </w:rPr>
        <w:t xml:space="preserve">(3):77-87. </w:t>
      </w:r>
    </w:p>
    <w:p w:rsidR="00E7686F" w:rsidRPr="00AB76B8" w:rsidRDefault="00E7686F" w:rsidP="00E7686F">
      <w:pPr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</w:rPr>
      </w:pPr>
      <w:proofErr w:type="spellStart"/>
      <w:r w:rsidRPr="00AB76B8">
        <w:rPr>
          <w:rFonts w:ascii="Arial" w:hAnsi="Arial" w:cs="Arial"/>
          <w:color w:val="000000" w:themeColor="text1"/>
        </w:rPr>
        <w:t>Torgutalp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M, </w:t>
      </w:r>
      <w:proofErr w:type="spellStart"/>
      <w:r w:rsidRPr="00AB76B8">
        <w:rPr>
          <w:rFonts w:ascii="Arial" w:hAnsi="Arial" w:cs="Arial"/>
          <w:color w:val="000000" w:themeColor="text1"/>
        </w:rPr>
        <w:t>Poddubnyy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D. Emerging treatment options for </w:t>
      </w:r>
      <w:proofErr w:type="spellStart"/>
      <w:r w:rsidRPr="00AB76B8">
        <w:rPr>
          <w:rFonts w:ascii="Arial" w:hAnsi="Arial" w:cs="Arial"/>
          <w:color w:val="000000" w:themeColor="text1"/>
        </w:rPr>
        <w:t>spondyloarthritis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. </w:t>
      </w:r>
      <w:r w:rsidRPr="007774C5">
        <w:rPr>
          <w:rFonts w:ascii="Arial" w:hAnsi="Arial" w:cs="Arial"/>
          <w:i/>
          <w:color w:val="000000" w:themeColor="text1"/>
        </w:rPr>
        <w:t xml:space="preserve">Best </w:t>
      </w:r>
      <w:proofErr w:type="spellStart"/>
      <w:r w:rsidRPr="007774C5">
        <w:rPr>
          <w:rFonts w:ascii="Arial" w:hAnsi="Arial" w:cs="Arial"/>
          <w:i/>
          <w:color w:val="000000" w:themeColor="text1"/>
        </w:rPr>
        <w:t>Pract</w:t>
      </w:r>
      <w:proofErr w:type="spellEnd"/>
      <w:r w:rsidRPr="007774C5">
        <w:rPr>
          <w:rFonts w:ascii="Arial" w:hAnsi="Arial" w:cs="Arial"/>
          <w:i/>
          <w:color w:val="000000" w:themeColor="text1"/>
        </w:rPr>
        <w:t xml:space="preserve"> Res Clin </w:t>
      </w:r>
      <w:proofErr w:type="spellStart"/>
      <w:r w:rsidRPr="007774C5">
        <w:rPr>
          <w:rFonts w:ascii="Arial" w:hAnsi="Arial" w:cs="Arial"/>
          <w:i/>
          <w:color w:val="000000" w:themeColor="text1"/>
        </w:rPr>
        <w:t>Rheumatol</w:t>
      </w:r>
      <w:proofErr w:type="spellEnd"/>
      <w:r w:rsidRPr="007774C5">
        <w:rPr>
          <w:rFonts w:ascii="Arial" w:hAnsi="Arial" w:cs="Arial"/>
          <w:i/>
          <w:color w:val="000000" w:themeColor="text1"/>
        </w:rPr>
        <w:t>.</w:t>
      </w:r>
      <w:r w:rsidRPr="00AB76B8">
        <w:rPr>
          <w:rFonts w:ascii="Arial" w:hAnsi="Arial" w:cs="Arial"/>
          <w:color w:val="000000" w:themeColor="text1"/>
        </w:rPr>
        <w:t xml:space="preserve"> 2018</w:t>
      </w:r>
      <w:proofErr w:type="gramStart"/>
      <w:r w:rsidRPr="00AB76B8">
        <w:rPr>
          <w:rFonts w:ascii="Arial" w:hAnsi="Arial" w:cs="Arial"/>
          <w:color w:val="000000" w:themeColor="text1"/>
        </w:rPr>
        <w:t>;32</w:t>
      </w:r>
      <w:proofErr w:type="gramEnd"/>
      <w:r w:rsidRPr="00AB76B8">
        <w:rPr>
          <w:rFonts w:ascii="Arial" w:hAnsi="Arial" w:cs="Arial"/>
          <w:color w:val="000000" w:themeColor="text1"/>
        </w:rPr>
        <w:t xml:space="preserve">(3):472-484. </w:t>
      </w:r>
    </w:p>
    <w:p w:rsidR="00E7686F" w:rsidRPr="00AB76B8" w:rsidRDefault="00E7686F" w:rsidP="00E7686F">
      <w:pPr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</w:rPr>
      </w:pPr>
      <w:proofErr w:type="spellStart"/>
      <w:r w:rsidRPr="00AB76B8">
        <w:rPr>
          <w:rFonts w:ascii="Arial" w:hAnsi="Arial" w:cs="Arial"/>
          <w:color w:val="000000" w:themeColor="text1"/>
        </w:rPr>
        <w:t>Dubash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S, </w:t>
      </w:r>
      <w:proofErr w:type="spellStart"/>
      <w:r w:rsidRPr="00AB76B8">
        <w:rPr>
          <w:rFonts w:ascii="Arial" w:hAnsi="Arial" w:cs="Arial"/>
          <w:color w:val="000000" w:themeColor="text1"/>
        </w:rPr>
        <w:t>Bridgewood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C, </w:t>
      </w:r>
      <w:proofErr w:type="spellStart"/>
      <w:r w:rsidRPr="00AB76B8">
        <w:rPr>
          <w:rFonts w:ascii="Arial" w:hAnsi="Arial" w:cs="Arial"/>
          <w:color w:val="000000" w:themeColor="text1"/>
        </w:rPr>
        <w:t>McGonagle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D, </w:t>
      </w:r>
      <w:proofErr w:type="spellStart"/>
      <w:r w:rsidRPr="00AB76B8">
        <w:rPr>
          <w:rFonts w:ascii="Arial" w:hAnsi="Arial" w:cs="Arial"/>
          <w:color w:val="000000" w:themeColor="text1"/>
        </w:rPr>
        <w:t>Marzo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-Ortega H. The advent of IL-17A blockade in ankylosing spondylitis: </w:t>
      </w:r>
      <w:proofErr w:type="spellStart"/>
      <w:r w:rsidRPr="00AB76B8">
        <w:rPr>
          <w:rFonts w:ascii="Arial" w:hAnsi="Arial" w:cs="Arial"/>
          <w:color w:val="000000" w:themeColor="text1"/>
        </w:rPr>
        <w:t>secukinumab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B76B8">
        <w:rPr>
          <w:rFonts w:ascii="Arial" w:hAnsi="Arial" w:cs="Arial"/>
          <w:color w:val="000000" w:themeColor="text1"/>
        </w:rPr>
        <w:t>ixekizumab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and beyond. </w:t>
      </w:r>
      <w:r w:rsidRPr="007774C5">
        <w:rPr>
          <w:rFonts w:ascii="Arial" w:hAnsi="Arial" w:cs="Arial"/>
          <w:i/>
          <w:color w:val="000000" w:themeColor="text1"/>
        </w:rPr>
        <w:t>Expert Rev Clin Immunol.</w:t>
      </w:r>
      <w:r w:rsidRPr="00AB76B8">
        <w:rPr>
          <w:rFonts w:ascii="Arial" w:hAnsi="Arial" w:cs="Arial"/>
          <w:color w:val="000000" w:themeColor="text1"/>
        </w:rPr>
        <w:t xml:space="preserve"> 2019</w:t>
      </w:r>
      <w:proofErr w:type="gramStart"/>
      <w:r w:rsidRPr="00AB76B8">
        <w:rPr>
          <w:rFonts w:ascii="Arial" w:hAnsi="Arial" w:cs="Arial"/>
          <w:color w:val="000000" w:themeColor="text1"/>
        </w:rPr>
        <w:t>;15</w:t>
      </w:r>
      <w:proofErr w:type="gramEnd"/>
      <w:r w:rsidRPr="00AB76B8">
        <w:rPr>
          <w:rFonts w:ascii="Arial" w:hAnsi="Arial" w:cs="Arial"/>
          <w:color w:val="000000" w:themeColor="text1"/>
        </w:rPr>
        <w:t xml:space="preserve">(2):123-134. </w:t>
      </w:r>
    </w:p>
    <w:p w:rsidR="00E7686F" w:rsidRPr="00AB76B8" w:rsidRDefault="00E7686F" w:rsidP="00E7686F">
      <w:pPr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</w:rPr>
      </w:pPr>
      <w:r w:rsidRPr="00AB76B8">
        <w:rPr>
          <w:rFonts w:ascii="Arial" w:hAnsi="Arial" w:cs="Arial"/>
          <w:color w:val="000000" w:themeColor="text1"/>
        </w:rPr>
        <w:lastRenderedPageBreak/>
        <w:t xml:space="preserve">Ward MM, </w:t>
      </w:r>
      <w:proofErr w:type="spellStart"/>
      <w:r w:rsidRPr="00AB76B8">
        <w:rPr>
          <w:rFonts w:ascii="Arial" w:hAnsi="Arial" w:cs="Arial"/>
          <w:color w:val="000000" w:themeColor="text1"/>
        </w:rPr>
        <w:t>Deodhar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A, </w:t>
      </w:r>
      <w:proofErr w:type="spellStart"/>
      <w:r w:rsidRPr="00AB76B8">
        <w:rPr>
          <w:rFonts w:ascii="Arial" w:hAnsi="Arial" w:cs="Arial"/>
          <w:color w:val="000000" w:themeColor="text1"/>
        </w:rPr>
        <w:t>Gensler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LS, et al. 2019 Update of the American College of Rheumatology/Spondylitis Association of America/</w:t>
      </w:r>
      <w:proofErr w:type="spellStart"/>
      <w:r w:rsidRPr="00AB76B8">
        <w:rPr>
          <w:rFonts w:ascii="Arial" w:hAnsi="Arial" w:cs="Arial"/>
          <w:color w:val="000000" w:themeColor="text1"/>
        </w:rPr>
        <w:t>Spondyloarthritis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Research and Treatment Network recommendations for the treatment of ankylosing spondylitis and </w:t>
      </w:r>
      <w:proofErr w:type="spellStart"/>
      <w:r w:rsidRPr="00AB76B8">
        <w:rPr>
          <w:rFonts w:ascii="Arial" w:hAnsi="Arial" w:cs="Arial"/>
          <w:color w:val="000000" w:themeColor="text1"/>
        </w:rPr>
        <w:t>nonradiographic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axial </w:t>
      </w:r>
      <w:proofErr w:type="spellStart"/>
      <w:r w:rsidRPr="00AB76B8">
        <w:rPr>
          <w:rFonts w:ascii="Arial" w:hAnsi="Arial" w:cs="Arial"/>
          <w:color w:val="000000" w:themeColor="text1"/>
        </w:rPr>
        <w:t>spondyloarthritis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. </w:t>
      </w:r>
      <w:r w:rsidRPr="007774C5">
        <w:rPr>
          <w:rFonts w:ascii="Arial" w:hAnsi="Arial" w:cs="Arial"/>
          <w:i/>
          <w:color w:val="000000" w:themeColor="text1"/>
        </w:rPr>
        <w:t xml:space="preserve">Arthritis </w:t>
      </w:r>
      <w:proofErr w:type="spellStart"/>
      <w:r w:rsidRPr="007774C5">
        <w:rPr>
          <w:rFonts w:ascii="Arial" w:hAnsi="Arial" w:cs="Arial"/>
          <w:i/>
          <w:color w:val="000000" w:themeColor="text1"/>
        </w:rPr>
        <w:t>Rheumatol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. 2019. </w:t>
      </w:r>
    </w:p>
    <w:p w:rsidR="00E7686F" w:rsidRPr="00AB76B8" w:rsidRDefault="00E7686F" w:rsidP="00E7686F">
      <w:pPr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AB76B8">
        <w:rPr>
          <w:rFonts w:ascii="Arial" w:hAnsi="Arial" w:cs="Arial"/>
          <w:color w:val="000000" w:themeColor="text1"/>
        </w:rPr>
        <w:t>Koenders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MI, van den Berg WB. </w:t>
      </w:r>
      <w:proofErr w:type="spellStart"/>
      <w:r w:rsidRPr="00AB76B8">
        <w:rPr>
          <w:rFonts w:ascii="Arial" w:hAnsi="Arial" w:cs="Arial"/>
          <w:color w:val="000000" w:themeColor="text1"/>
        </w:rPr>
        <w:t>Secukinumab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for rheumatology: development and its potential place in therapy. </w:t>
      </w:r>
      <w:r w:rsidRPr="007774C5">
        <w:rPr>
          <w:rFonts w:ascii="Arial" w:hAnsi="Arial" w:cs="Arial"/>
          <w:i/>
          <w:color w:val="000000" w:themeColor="text1"/>
        </w:rPr>
        <w:t xml:space="preserve">Drug Des </w:t>
      </w:r>
      <w:proofErr w:type="spellStart"/>
      <w:r w:rsidRPr="007774C5">
        <w:rPr>
          <w:rFonts w:ascii="Arial" w:hAnsi="Arial" w:cs="Arial"/>
          <w:i/>
          <w:color w:val="000000" w:themeColor="text1"/>
        </w:rPr>
        <w:t>Devel</w:t>
      </w:r>
      <w:proofErr w:type="spellEnd"/>
      <w:r w:rsidRPr="007774C5">
        <w:rPr>
          <w:rFonts w:ascii="Arial" w:hAnsi="Arial" w:cs="Arial"/>
          <w:i/>
          <w:color w:val="000000" w:themeColor="text1"/>
        </w:rPr>
        <w:t xml:space="preserve"> Ther</w:t>
      </w:r>
      <w:r w:rsidRPr="00AB76B8">
        <w:rPr>
          <w:rFonts w:ascii="Arial" w:hAnsi="Arial" w:cs="Arial"/>
          <w:color w:val="000000" w:themeColor="text1"/>
        </w:rPr>
        <w:t>. 2016</w:t>
      </w:r>
      <w:proofErr w:type="gramStart"/>
      <w:r w:rsidRPr="00AB76B8">
        <w:rPr>
          <w:rFonts w:ascii="Arial" w:hAnsi="Arial" w:cs="Arial"/>
          <w:color w:val="000000" w:themeColor="text1"/>
        </w:rPr>
        <w:t>;10:2069</w:t>
      </w:r>
      <w:proofErr w:type="gramEnd"/>
      <w:r w:rsidRPr="00AB76B8">
        <w:rPr>
          <w:rFonts w:ascii="Arial" w:hAnsi="Arial" w:cs="Arial"/>
          <w:color w:val="000000" w:themeColor="text1"/>
        </w:rPr>
        <w:t xml:space="preserve">–2080. </w:t>
      </w:r>
    </w:p>
    <w:p w:rsidR="00E7686F" w:rsidRPr="00AB76B8" w:rsidRDefault="00E7686F" w:rsidP="00E7686F">
      <w:pPr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AB76B8">
        <w:rPr>
          <w:rFonts w:ascii="Arial" w:hAnsi="Arial" w:cs="Arial"/>
          <w:color w:val="000000" w:themeColor="text1"/>
        </w:rPr>
        <w:t>Pavelka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K, </w:t>
      </w:r>
      <w:proofErr w:type="spellStart"/>
      <w:r w:rsidRPr="00AB76B8">
        <w:rPr>
          <w:rFonts w:ascii="Arial" w:hAnsi="Arial" w:cs="Arial"/>
          <w:color w:val="000000" w:themeColor="text1"/>
        </w:rPr>
        <w:t>Kivitz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A, </w:t>
      </w:r>
      <w:proofErr w:type="spellStart"/>
      <w:r w:rsidRPr="00AB76B8">
        <w:rPr>
          <w:rFonts w:ascii="Arial" w:hAnsi="Arial" w:cs="Arial"/>
          <w:color w:val="000000" w:themeColor="text1"/>
        </w:rPr>
        <w:t>Dokoupilova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E, et al. Efficacy, safety, and tolerability of </w:t>
      </w:r>
      <w:proofErr w:type="spellStart"/>
      <w:r w:rsidRPr="00AB76B8">
        <w:rPr>
          <w:rFonts w:ascii="Arial" w:hAnsi="Arial" w:cs="Arial"/>
          <w:color w:val="000000" w:themeColor="text1"/>
        </w:rPr>
        <w:t>secukinumab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in patients with active ankylosing spondylitis: a randomized, double-blind phase 3 study, MEASURE 3. </w:t>
      </w:r>
      <w:r w:rsidRPr="007774C5">
        <w:rPr>
          <w:rFonts w:ascii="Arial" w:hAnsi="Arial" w:cs="Arial"/>
          <w:i/>
          <w:color w:val="000000" w:themeColor="text1"/>
        </w:rPr>
        <w:t>Arthritis Res Ther</w:t>
      </w:r>
      <w:r w:rsidRPr="00AB76B8">
        <w:rPr>
          <w:rFonts w:ascii="Arial" w:hAnsi="Arial" w:cs="Arial"/>
          <w:color w:val="000000" w:themeColor="text1"/>
        </w:rPr>
        <w:t>. 2017</w:t>
      </w:r>
      <w:proofErr w:type="gramStart"/>
      <w:r w:rsidRPr="00AB76B8">
        <w:rPr>
          <w:rFonts w:ascii="Arial" w:hAnsi="Arial" w:cs="Arial"/>
          <w:color w:val="000000" w:themeColor="text1"/>
        </w:rPr>
        <w:t>;19</w:t>
      </w:r>
      <w:proofErr w:type="gramEnd"/>
      <w:r w:rsidRPr="00AB76B8">
        <w:rPr>
          <w:rFonts w:ascii="Arial" w:hAnsi="Arial" w:cs="Arial"/>
          <w:color w:val="000000" w:themeColor="text1"/>
        </w:rPr>
        <w:t xml:space="preserve">(1):285. </w:t>
      </w: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AB76B8">
        <w:rPr>
          <w:rFonts w:ascii="Arial" w:hAnsi="Arial" w:cs="Arial"/>
          <w:color w:val="000000" w:themeColor="text1"/>
        </w:rPr>
        <w:t xml:space="preserve">News release. Indianapolis, IN, USA; Eli Lilly and Company; August 26, 2019. </w:t>
      </w:r>
      <w:hyperlink r:id="rId6" w:history="1">
        <w:r w:rsidRPr="00AB76B8">
          <w:rPr>
            <w:rStyle w:val="Hyperlink"/>
            <w:rFonts w:ascii="Arial" w:hAnsi="Arial" w:cs="Arial"/>
            <w:color w:val="000000" w:themeColor="text1"/>
          </w:rPr>
          <w:t>https://investor.lilly.com/news-releases/news-release-details/lilly-receives-us-fda-approval-taltzr-ixekizumab-treatment</w:t>
        </w:r>
      </w:hyperlink>
      <w:r>
        <w:rPr>
          <w:rStyle w:val="Hyperlink"/>
          <w:rFonts w:ascii="Arial" w:hAnsi="Arial" w:cs="Arial"/>
          <w:color w:val="000000" w:themeColor="text1"/>
        </w:rPr>
        <w:t>.</w:t>
      </w:r>
      <w:bookmarkStart w:id="4" w:name="_GoBack"/>
      <w:bookmarkEnd w:id="4"/>
      <w:r w:rsidRPr="00AB76B8">
        <w:rPr>
          <w:rFonts w:ascii="Arial" w:hAnsi="Arial" w:cs="Arial"/>
          <w:color w:val="000000" w:themeColor="text1"/>
        </w:rPr>
        <w:t xml:space="preserve"> </w:t>
      </w:r>
      <w:r w:rsidRPr="00AB76B8">
        <w:rPr>
          <w:rFonts w:ascii="Arial" w:hAnsi="Arial" w:cs="Arial"/>
          <w:color w:val="000000" w:themeColor="text1"/>
          <w:shd w:val="clear" w:color="auto" w:fill="FFFFFF"/>
        </w:rPr>
        <w:t>Accessed September 01, 2019.</w:t>
      </w:r>
    </w:p>
    <w:p w:rsidR="00E7686F" w:rsidRPr="00AB76B8" w:rsidRDefault="00E7686F" w:rsidP="00E7686F">
      <w:pPr>
        <w:contextualSpacing/>
        <w:rPr>
          <w:rFonts w:ascii="Arial" w:hAnsi="Arial" w:cs="Arial"/>
          <w:color w:val="000000" w:themeColor="text1"/>
          <w:shd w:val="clear" w:color="auto" w:fill="FFFFFF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color w:val="000000" w:themeColor="text1"/>
          <w:u w:val="none"/>
        </w:rPr>
      </w:pPr>
      <w:proofErr w:type="spellStart"/>
      <w:r w:rsidRPr="00AB76B8">
        <w:rPr>
          <w:rStyle w:val="Hyperlink"/>
          <w:rFonts w:ascii="Arial" w:hAnsi="Arial" w:cs="Arial"/>
          <w:color w:val="000000" w:themeColor="text1"/>
          <w:u w:val="none"/>
        </w:rPr>
        <w:t>Deodhar</w:t>
      </w:r>
      <w:proofErr w:type="spellEnd"/>
      <w:r w:rsidRPr="00AB76B8">
        <w:rPr>
          <w:rStyle w:val="Hyperlink"/>
          <w:rFonts w:ascii="Arial" w:hAnsi="Arial" w:cs="Arial"/>
          <w:color w:val="000000" w:themeColor="text1"/>
          <w:u w:val="none"/>
        </w:rPr>
        <w:t xml:space="preserve"> A, </w:t>
      </w:r>
      <w:proofErr w:type="spellStart"/>
      <w:r w:rsidRPr="00AB76B8">
        <w:rPr>
          <w:rStyle w:val="Hyperlink"/>
          <w:rFonts w:ascii="Arial" w:hAnsi="Arial" w:cs="Arial"/>
          <w:color w:val="000000" w:themeColor="text1"/>
          <w:u w:val="none"/>
        </w:rPr>
        <w:t>Poddubnyy</w:t>
      </w:r>
      <w:proofErr w:type="spellEnd"/>
      <w:r w:rsidRPr="00AB76B8">
        <w:rPr>
          <w:rStyle w:val="Hyperlink"/>
          <w:rFonts w:ascii="Arial" w:hAnsi="Arial" w:cs="Arial"/>
          <w:color w:val="000000" w:themeColor="text1"/>
          <w:u w:val="none"/>
        </w:rPr>
        <w:t xml:space="preserve"> D, Pacheco-</w:t>
      </w:r>
      <w:proofErr w:type="spellStart"/>
      <w:r w:rsidRPr="00AB76B8">
        <w:rPr>
          <w:rStyle w:val="Hyperlink"/>
          <w:rFonts w:ascii="Arial" w:hAnsi="Arial" w:cs="Arial"/>
          <w:color w:val="000000" w:themeColor="text1"/>
          <w:u w:val="none"/>
        </w:rPr>
        <w:t>Tena</w:t>
      </w:r>
      <w:proofErr w:type="spellEnd"/>
      <w:r w:rsidRPr="00AB76B8">
        <w:rPr>
          <w:rStyle w:val="Hyperlink"/>
          <w:rFonts w:ascii="Arial" w:hAnsi="Arial" w:cs="Arial"/>
          <w:color w:val="000000" w:themeColor="text1"/>
          <w:u w:val="none"/>
        </w:rPr>
        <w:t xml:space="preserve"> C, et al. Efficacy and safety of </w:t>
      </w:r>
      <w:proofErr w:type="spellStart"/>
      <w:r w:rsidRPr="00AB76B8">
        <w:rPr>
          <w:rStyle w:val="Hyperlink"/>
          <w:rFonts w:ascii="Arial" w:hAnsi="Arial" w:cs="Arial"/>
          <w:color w:val="000000" w:themeColor="text1"/>
          <w:u w:val="none"/>
        </w:rPr>
        <w:t>ixekizumab</w:t>
      </w:r>
      <w:proofErr w:type="spellEnd"/>
      <w:r w:rsidRPr="00AB76B8">
        <w:rPr>
          <w:rStyle w:val="Hyperlink"/>
          <w:rFonts w:ascii="Arial" w:hAnsi="Arial" w:cs="Arial"/>
          <w:color w:val="000000" w:themeColor="text1"/>
          <w:u w:val="none"/>
        </w:rPr>
        <w:t xml:space="preserve"> in the treatment of radiographic axial </w:t>
      </w:r>
      <w:proofErr w:type="spellStart"/>
      <w:r w:rsidRPr="00AB76B8">
        <w:rPr>
          <w:rStyle w:val="Hyperlink"/>
          <w:rFonts w:ascii="Arial" w:hAnsi="Arial" w:cs="Arial"/>
          <w:color w:val="000000" w:themeColor="text1"/>
          <w:u w:val="none"/>
        </w:rPr>
        <w:t>spondyloarthritis</w:t>
      </w:r>
      <w:proofErr w:type="spellEnd"/>
      <w:r w:rsidRPr="00AB76B8">
        <w:rPr>
          <w:rStyle w:val="Hyperlink"/>
          <w:rFonts w:ascii="Arial" w:hAnsi="Arial" w:cs="Arial"/>
          <w:color w:val="000000" w:themeColor="text1"/>
          <w:u w:val="none"/>
        </w:rPr>
        <w:t xml:space="preserve">: sixteen-week results from a phase III randomized, double-blind, placebo-controlled trial in patients with prior inadequate response to or intolerance of tumor necrosis factor inhibitors. </w:t>
      </w:r>
      <w:r w:rsidRPr="007774C5">
        <w:rPr>
          <w:rStyle w:val="Hyperlink"/>
          <w:rFonts w:ascii="Arial" w:hAnsi="Arial" w:cs="Arial"/>
          <w:i/>
          <w:color w:val="000000" w:themeColor="text1"/>
          <w:u w:val="none"/>
        </w:rPr>
        <w:t xml:space="preserve">Arthritis </w:t>
      </w:r>
      <w:proofErr w:type="spellStart"/>
      <w:r w:rsidRPr="007774C5">
        <w:rPr>
          <w:rStyle w:val="Hyperlink"/>
          <w:rFonts w:ascii="Arial" w:hAnsi="Arial" w:cs="Arial"/>
          <w:i/>
          <w:color w:val="000000" w:themeColor="text1"/>
          <w:u w:val="none"/>
        </w:rPr>
        <w:t>Rheumatol</w:t>
      </w:r>
      <w:proofErr w:type="spellEnd"/>
      <w:r w:rsidRPr="00AB76B8">
        <w:rPr>
          <w:rStyle w:val="Hyperlink"/>
          <w:rFonts w:ascii="Arial" w:hAnsi="Arial" w:cs="Arial"/>
          <w:color w:val="000000" w:themeColor="text1"/>
          <w:u w:val="none"/>
        </w:rPr>
        <w:t>. 2019</w:t>
      </w:r>
      <w:proofErr w:type="gramStart"/>
      <w:r w:rsidRPr="00AB76B8">
        <w:rPr>
          <w:rStyle w:val="Hyperlink"/>
          <w:rFonts w:ascii="Arial" w:hAnsi="Arial" w:cs="Arial"/>
          <w:color w:val="000000" w:themeColor="text1"/>
          <w:u w:val="none"/>
        </w:rPr>
        <w:t>;71</w:t>
      </w:r>
      <w:proofErr w:type="gramEnd"/>
      <w:r w:rsidRPr="00AB76B8">
        <w:rPr>
          <w:rStyle w:val="Hyperlink"/>
          <w:rFonts w:ascii="Arial" w:hAnsi="Arial" w:cs="Arial"/>
          <w:color w:val="000000" w:themeColor="text1"/>
          <w:u w:val="none"/>
        </w:rPr>
        <w:t xml:space="preserve">(4):599–611. </w:t>
      </w:r>
    </w:p>
    <w:p w:rsidR="00E7686F" w:rsidRPr="00AB76B8" w:rsidRDefault="00E7686F" w:rsidP="00E7686F">
      <w:pPr>
        <w:pStyle w:val="ListParagraph"/>
        <w:spacing w:line="240" w:lineRule="auto"/>
        <w:rPr>
          <w:rStyle w:val="Hyperlink"/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spacing w:line="240" w:lineRule="auto"/>
        <w:rPr>
          <w:rStyle w:val="Hyperlink"/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AB76B8">
        <w:rPr>
          <w:rFonts w:ascii="Arial" w:hAnsi="Arial" w:cs="Arial"/>
          <w:color w:val="000000" w:themeColor="text1"/>
        </w:rPr>
        <w:t>Brembilla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NC, </w:t>
      </w:r>
      <w:proofErr w:type="spellStart"/>
      <w:r w:rsidRPr="00AB76B8">
        <w:rPr>
          <w:rFonts w:ascii="Arial" w:hAnsi="Arial" w:cs="Arial"/>
          <w:color w:val="000000" w:themeColor="text1"/>
        </w:rPr>
        <w:t>Senra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L, </w:t>
      </w:r>
      <w:proofErr w:type="spellStart"/>
      <w:r w:rsidRPr="00AB76B8">
        <w:rPr>
          <w:rFonts w:ascii="Arial" w:hAnsi="Arial" w:cs="Arial"/>
          <w:color w:val="000000" w:themeColor="text1"/>
        </w:rPr>
        <w:t>Boehncke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WH. The IL-17 Family of cytokines in psoriasis: IL-17A and beyond. </w:t>
      </w:r>
      <w:r w:rsidRPr="007774C5">
        <w:rPr>
          <w:rFonts w:ascii="Arial" w:hAnsi="Arial" w:cs="Arial"/>
          <w:i/>
          <w:color w:val="000000" w:themeColor="text1"/>
        </w:rPr>
        <w:t>Front Immunol</w:t>
      </w:r>
      <w:r w:rsidRPr="00AB76B8">
        <w:rPr>
          <w:rFonts w:ascii="Arial" w:hAnsi="Arial" w:cs="Arial"/>
          <w:color w:val="000000" w:themeColor="text1"/>
        </w:rPr>
        <w:t>. 2018</w:t>
      </w:r>
      <w:proofErr w:type="gramStart"/>
      <w:r w:rsidRPr="00AB76B8">
        <w:rPr>
          <w:rFonts w:ascii="Arial" w:hAnsi="Arial" w:cs="Arial"/>
          <w:color w:val="000000" w:themeColor="text1"/>
        </w:rPr>
        <w:t>;9:1682</w:t>
      </w:r>
      <w:proofErr w:type="gramEnd"/>
      <w:r w:rsidRPr="00AB76B8">
        <w:rPr>
          <w:rFonts w:ascii="Arial" w:hAnsi="Arial" w:cs="Arial"/>
          <w:color w:val="000000" w:themeColor="text1"/>
        </w:rPr>
        <w:t xml:space="preserve">. </w:t>
      </w:r>
    </w:p>
    <w:p w:rsidR="00E7686F" w:rsidRPr="00AB76B8" w:rsidRDefault="00E7686F" w:rsidP="00E7686F">
      <w:pPr>
        <w:contextualSpacing/>
        <w:rPr>
          <w:rFonts w:ascii="Arial" w:hAnsi="Arial" w:cs="Arial"/>
          <w:color w:val="000000" w:themeColor="text1"/>
          <w:shd w:val="clear" w:color="auto" w:fill="FFFFFF"/>
        </w:rPr>
      </w:pPr>
    </w:p>
    <w:p w:rsidR="00E7686F" w:rsidRPr="00AB76B8" w:rsidRDefault="00E7686F" w:rsidP="00E7686F">
      <w:pPr>
        <w:contextualSpacing/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AB76B8">
        <w:rPr>
          <w:rFonts w:ascii="Arial" w:hAnsi="Arial" w:cs="Arial"/>
          <w:color w:val="000000" w:themeColor="text1"/>
        </w:rPr>
        <w:t>Miossec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P. Update on interleukin-17: a role in the pathogenesis of inflammatory arthritis and implication for clinical practice. 2017</w:t>
      </w:r>
      <w:proofErr w:type="gramStart"/>
      <w:r w:rsidRPr="00AB76B8">
        <w:rPr>
          <w:rFonts w:ascii="Arial" w:hAnsi="Arial" w:cs="Arial"/>
          <w:color w:val="000000" w:themeColor="text1"/>
        </w:rPr>
        <w:t>;3</w:t>
      </w:r>
      <w:proofErr w:type="gramEnd"/>
      <w:r w:rsidRPr="00AB76B8">
        <w:rPr>
          <w:rFonts w:ascii="Arial" w:hAnsi="Arial" w:cs="Arial"/>
          <w:color w:val="000000" w:themeColor="text1"/>
        </w:rPr>
        <w:t xml:space="preserve">(1):e000284. </w:t>
      </w: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proofErr w:type="spellStart"/>
      <w:r w:rsidRPr="00AB76B8">
        <w:rPr>
          <w:rFonts w:ascii="Arial" w:hAnsi="Arial" w:cs="Arial"/>
          <w:color w:val="000000" w:themeColor="text1"/>
        </w:rPr>
        <w:t>Siliq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AB76B8">
        <w:rPr>
          <w:rFonts w:ascii="Arial" w:hAnsi="Arial" w:cs="Arial"/>
          <w:color w:val="000000" w:themeColor="text1"/>
        </w:rPr>
        <w:t>brodalumab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) Label.  FDA website. </w:t>
      </w:r>
      <w:hyperlink r:id="rId7" w:history="1">
        <w:r w:rsidRPr="00AB76B8">
          <w:rPr>
            <w:rStyle w:val="Hyperlink"/>
            <w:rFonts w:ascii="Arial" w:hAnsi="Arial" w:cs="Arial"/>
            <w:color w:val="auto"/>
            <w:u w:val="none"/>
          </w:rPr>
          <w:t>https://www.accessdata.fda.gov/drugsatfda_docs/label/2017/761032lbl.pdf. Accessed September 3</w:t>
        </w:r>
      </w:hyperlink>
      <w:r w:rsidRPr="00AB76B8">
        <w:rPr>
          <w:rFonts w:ascii="Arial" w:hAnsi="Arial" w:cs="Arial"/>
        </w:rPr>
        <w:t>, 2019</w:t>
      </w: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rFonts w:ascii="Arial" w:hAnsi="Arial" w:cs="Arial"/>
          <w:color w:val="000000" w:themeColor="text1"/>
        </w:rPr>
      </w:pPr>
      <w:r w:rsidRPr="00AB76B8">
        <w:rPr>
          <w:rFonts w:ascii="Arial" w:hAnsi="Arial" w:cs="Arial"/>
          <w:color w:val="000000" w:themeColor="text1"/>
        </w:rPr>
        <w:t xml:space="preserve">Reis J, Vender R, Torres T. </w:t>
      </w:r>
      <w:proofErr w:type="spellStart"/>
      <w:r w:rsidRPr="00AB76B8">
        <w:rPr>
          <w:rFonts w:ascii="Arial" w:hAnsi="Arial" w:cs="Arial"/>
          <w:color w:val="000000" w:themeColor="text1"/>
        </w:rPr>
        <w:t>Bimekizumab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: the first dual inhibitor of interleukin (IL)-17A and IL-17F for the treatment of psoriatic disease and ankylosing spondylitis. </w:t>
      </w:r>
      <w:proofErr w:type="spellStart"/>
      <w:r w:rsidRPr="007774C5">
        <w:rPr>
          <w:rFonts w:ascii="Arial" w:hAnsi="Arial" w:cs="Arial"/>
          <w:i/>
          <w:color w:val="000000" w:themeColor="text1"/>
        </w:rPr>
        <w:t>BioDrugs</w:t>
      </w:r>
      <w:proofErr w:type="spellEnd"/>
      <w:r w:rsidRPr="00AB76B8">
        <w:rPr>
          <w:rFonts w:ascii="Arial" w:hAnsi="Arial" w:cs="Arial"/>
          <w:color w:val="000000" w:themeColor="text1"/>
        </w:rPr>
        <w:t>. 2019;33(4):391-399</w:t>
      </w:r>
    </w:p>
    <w:p w:rsidR="00E7686F" w:rsidRPr="00AB76B8" w:rsidRDefault="00E7686F" w:rsidP="00E7686F">
      <w:pPr>
        <w:tabs>
          <w:tab w:val="left" w:pos="1080"/>
        </w:tabs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AB76B8">
        <w:rPr>
          <w:rFonts w:ascii="Arial" w:hAnsi="Arial" w:cs="Arial"/>
          <w:color w:val="000000" w:themeColor="text1"/>
        </w:rPr>
        <w:t xml:space="preserve">Blauvelt A, Papp KA, </w:t>
      </w:r>
      <w:proofErr w:type="spellStart"/>
      <w:r w:rsidRPr="00AB76B8">
        <w:rPr>
          <w:rFonts w:ascii="Arial" w:hAnsi="Arial" w:cs="Arial"/>
          <w:color w:val="000000" w:themeColor="text1"/>
        </w:rPr>
        <w:t>Merola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JF, et al. Dual neutralisation of interleukin (IL)–17a and IL–17f with </w:t>
      </w:r>
      <w:proofErr w:type="spellStart"/>
      <w:r w:rsidRPr="00AB76B8">
        <w:rPr>
          <w:rFonts w:ascii="Arial" w:hAnsi="Arial" w:cs="Arial"/>
          <w:color w:val="000000" w:themeColor="text1"/>
        </w:rPr>
        <w:t>bimekizumab</w:t>
      </w:r>
      <w:proofErr w:type="spellEnd"/>
      <w:r w:rsidRPr="00AB76B8">
        <w:rPr>
          <w:rFonts w:ascii="Arial" w:hAnsi="Arial" w:cs="Arial"/>
          <w:color w:val="000000" w:themeColor="text1"/>
        </w:rPr>
        <w:t xml:space="preserve"> in moderate-to-severe plaque psoriasis: 60-week results from a randomised, double-blinded, phase 2b extension study. </w:t>
      </w:r>
      <w:r w:rsidRPr="007774C5">
        <w:rPr>
          <w:rFonts w:ascii="Arial" w:hAnsi="Arial" w:cs="Arial"/>
          <w:i/>
          <w:color w:val="000000" w:themeColor="text1"/>
        </w:rPr>
        <w:t>Annals of the Rheumatic Diseases</w:t>
      </w:r>
      <w:r w:rsidRPr="00AB76B8">
        <w:rPr>
          <w:rFonts w:ascii="Arial" w:hAnsi="Arial" w:cs="Arial"/>
          <w:color w:val="000000" w:themeColor="text1"/>
        </w:rPr>
        <w:t xml:space="preserve"> 2019</w:t>
      </w:r>
      <w:proofErr w:type="gramStart"/>
      <w:r w:rsidRPr="00AB76B8">
        <w:rPr>
          <w:rFonts w:ascii="Arial" w:hAnsi="Arial" w:cs="Arial"/>
          <w:color w:val="000000" w:themeColor="text1"/>
        </w:rPr>
        <w:t>;78:1834</w:t>
      </w:r>
      <w:proofErr w:type="gramEnd"/>
      <w:r w:rsidRPr="00AB76B8">
        <w:rPr>
          <w:rFonts w:ascii="Arial" w:hAnsi="Arial" w:cs="Arial"/>
          <w:color w:val="000000" w:themeColor="text1"/>
        </w:rPr>
        <w:t>.</w:t>
      </w: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E7686F" w:rsidRPr="00AB76B8" w:rsidRDefault="00E7686F" w:rsidP="00E7686F">
      <w:pPr>
        <w:pStyle w:val="ListParagraph"/>
        <w:tabs>
          <w:tab w:val="left" w:pos="1080"/>
        </w:tabs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041DE5" w:rsidRDefault="00041DE5"/>
    <w:sectPr w:rsidR="00041DE5" w:rsidSect="0004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D22"/>
    <w:multiLevelType w:val="hybridMultilevel"/>
    <w:tmpl w:val="F19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86F"/>
    <w:rsid w:val="00003472"/>
    <w:rsid w:val="00041DE5"/>
    <w:rsid w:val="007279A8"/>
    <w:rsid w:val="00BE06A8"/>
    <w:rsid w:val="00BE7C8E"/>
    <w:rsid w:val="00E7686F"/>
    <w:rsid w:val="00ED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6F"/>
    <w:pPr>
      <w:spacing w:after="160" w:line="259" w:lineRule="auto"/>
      <w:ind w:left="720"/>
      <w:contextualSpacing/>
    </w:pPr>
  </w:style>
  <w:style w:type="character" w:customStyle="1" w:styleId="highlight">
    <w:name w:val="highlight"/>
    <w:basedOn w:val="DefaultParagraphFont"/>
    <w:rsid w:val="00E7686F"/>
  </w:style>
  <w:style w:type="character" w:styleId="Hyperlink">
    <w:name w:val="Hyperlink"/>
    <w:basedOn w:val="DefaultParagraphFont"/>
    <w:uiPriority w:val="99"/>
    <w:unhideWhenUsed/>
    <w:rsid w:val="00E768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68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6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cessdata.fda.gov/drugsatfda_docs/label/2017/761032lbl.pdf.%20Accessed%20September%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or.lilly.com/news-releases/news-release-details/lilly-receives-us-fda-approval-taltzr-ixekizumab-treatment" TargetMode="External"/><Relationship Id="rId5" Type="http://schemas.openxmlformats.org/officeDocument/2006/relationships/hyperlink" Target="https://www.rheumatology.org/I-Am-A/Patient-Caregiver/Diseases-Conditions/Spondyloarthrit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1908</Words>
  <Characters>10879</Characters>
  <Application>Microsoft Office Word</Application>
  <DocSecurity>0</DocSecurity>
  <Lines>90</Lines>
  <Paragraphs>25</Paragraphs>
  <ScaleCrop>false</ScaleCrop>
  <Company>Windows User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2019-10-02T10:42:00Z</dcterms:created>
  <dcterms:modified xsi:type="dcterms:W3CDTF">2019-10-02T10:43:00Z</dcterms:modified>
</cp:coreProperties>
</file>