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3BA3" w14:textId="77777777" w:rsidR="00E66BF9" w:rsidRPr="00E66BF9" w:rsidRDefault="00E66BF9" w:rsidP="00E66BF9">
      <w:pPr>
        <w:spacing w:after="0" w:line="240" w:lineRule="auto"/>
        <w:jc w:val="center"/>
        <w:outlineLvl w:val="1"/>
        <w:rPr>
          <w:rFonts w:ascii="Arial" w:eastAsia="Times New Roman" w:hAnsi="Arial" w:cs="Times New Roman"/>
          <w:b/>
          <w:bCs/>
          <w:color w:val="000000"/>
          <w:spacing w:val="-5"/>
          <w:sz w:val="24"/>
          <w:szCs w:val="24"/>
        </w:rPr>
      </w:pPr>
      <w:r w:rsidRPr="00E66BF9">
        <w:rPr>
          <w:rFonts w:ascii="inherit" w:eastAsia="Times New Roman" w:hAnsi="inherit" w:cs="Times New Roman"/>
          <w:b/>
          <w:bCs/>
          <w:caps/>
          <w:color w:val="000000"/>
          <w:spacing w:val="-5"/>
          <w:sz w:val="30"/>
          <w:szCs w:val="30"/>
          <w:bdr w:val="single" w:sz="6" w:space="2" w:color="7F7F7F" w:frame="1"/>
          <w:shd w:val="clear" w:color="auto" w:fill="FFFFFF"/>
        </w:rPr>
        <w:t>ACTIVE AGING AND WELLNESS</w:t>
      </w:r>
    </w:p>
    <w:p w14:paraId="6008AEEF" w14:textId="77777777" w:rsidR="00E66BF9" w:rsidRPr="00E66BF9" w:rsidRDefault="00E66BF9" w:rsidP="00E66BF9">
      <w:pPr>
        <w:spacing w:after="96" w:line="240" w:lineRule="auto"/>
        <w:jc w:val="center"/>
        <w:outlineLvl w:val="1"/>
        <w:rPr>
          <w:rFonts w:ascii="inherit" w:eastAsia="Times New Roman" w:hAnsi="inherit" w:cs="Times New Roman"/>
          <w:sz w:val="38"/>
          <w:szCs w:val="38"/>
        </w:rPr>
      </w:pPr>
      <w:r w:rsidRPr="00E66BF9">
        <w:rPr>
          <w:rFonts w:ascii="inherit" w:eastAsia="Times New Roman" w:hAnsi="inherit" w:cs="Times New Roman"/>
          <w:sz w:val="38"/>
          <w:szCs w:val="38"/>
        </w:rPr>
        <w:t>Overview</w:t>
      </w:r>
    </w:p>
    <w:p w14:paraId="482BF50B" w14:textId="0CB6EC34" w:rsidR="00E66BF9" w:rsidRDefault="00E66BF9" w:rsidP="00E66BF9">
      <w:pPr>
        <w:spacing w:after="96" w:line="240" w:lineRule="auto"/>
        <w:jc w:val="center"/>
        <w:outlineLvl w:val="2"/>
        <w:rPr>
          <w:rFonts w:ascii="inherit" w:eastAsia="Times New Roman" w:hAnsi="inherit" w:cs="Times New Roman"/>
          <w:b/>
          <w:bCs/>
          <w:color w:val="000000"/>
          <w:sz w:val="34"/>
          <w:szCs w:val="34"/>
        </w:rPr>
      </w:pPr>
      <w:r w:rsidRPr="00E66BF9">
        <w:rPr>
          <w:rFonts w:ascii="inherit" w:eastAsia="Times New Roman" w:hAnsi="inherit" w:cs="Times New Roman"/>
          <w:b/>
          <w:bCs/>
          <w:color w:val="000000"/>
          <w:sz w:val="34"/>
          <w:szCs w:val="34"/>
        </w:rPr>
        <w:t>The ICAA Model</w:t>
      </w:r>
    </w:p>
    <w:p w14:paraId="6090496D" w14:textId="1A5DBFD4" w:rsidR="00E66BF9" w:rsidRDefault="00E66BF9" w:rsidP="00E66BF9">
      <w:pPr>
        <w:spacing w:after="96" w:line="240" w:lineRule="auto"/>
        <w:jc w:val="center"/>
        <w:outlineLvl w:val="2"/>
        <w:rPr>
          <w:rFonts w:ascii="inherit" w:eastAsia="Times New Roman" w:hAnsi="inherit" w:cs="Times New Roman"/>
          <w:b/>
          <w:bCs/>
          <w:color w:val="000000"/>
          <w:sz w:val="34"/>
          <w:szCs w:val="34"/>
        </w:rPr>
      </w:pPr>
    </w:p>
    <w:p w14:paraId="1994EAB4" w14:textId="77777777" w:rsidR="00E66BF9" w:rsidRPr="00E66BF9" w:rsidRDefault="00E66BF9" w:rsidP="00E66BF9">
      <w:pPr>
        <w:spacing w:after="96" w:line="240" w:lineRule="auto"/>
        <w:jc w:val="center"/>
        <w:outlineLvl w:val="2"/>
        <w:rPr>
          <w:rFonts w:ascii="inherit" w:eastAsia="Times New Roman" w:hAnsi="inherit" w:cs="Times New Roman"/>
          <w:b/>
          <w:bCs/>
          <w:color w:val="000000"/>
          <w:sz w:val="34"/>
          <w:szCs w:val="34"/>
        </w:rPr>
      </w:pPr>
    </w:p>
    <w:p w14:paraId="59648840" w14:textId="77777777" w:rsidR="00E66BF9" w:rsidRPr="00E66BF9" w:rsidRDefault="00E66BF9" w:rsidP="00E66BF9">
      <w:pPr>
        <w:spacing w:after="0" w:line="240" w:lineRule="auto"/>
        <w:rPr>
          <w:rFonts w:ascii="inherit" w:eastAsia="Times New Roman" w:hAnsi="inherit" w:cs="Times New Roman"/>
          <w:sz w:val="24"/>
          <w:szCs w:val="24"/>
        </w:rPr>
      </w:pPr>
      <w:r w:rsidRPr="00E66BF9">
        <w:rPr>
          <w:rFonts w:ascii="inherit" w:eastAsia="Times New Roman" w:hAnsi="inherit" w:cs="Times New Roman"/>
          <w:noProof/>
          <w:sz w:val="24"/>
          <w:szCs w:val="24"/>
        </w:rPr>
        <w:drawing>
          <wp:inline distT="0" distB="0" distL="0" distR="0" wp14:anchorId="3EBE4AA7" wp14:editId="240528C6">
            <wp:extent cx="6236378" cy="3904932"/>
            <wp:effectExtent l="0" t="0" r="0" b="635"/>
            <wp:docPr id="1" name="Picture 1" descr="ICA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A Mod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3981" cy="3909692"/>
                    </a:xfrm>
                    <a:prstGeom prst="rect">
                      <a:avLst/>
                    </a:prstGeom>
                    <a:noFill/>
                    <a:ln>
                      <a:noFill/>
                    </a:ln>
                  </pic:spPr>
                </pic:pic>
              </a:graphicData>
            </a:graphic>
          </wp:inline>
        </w:drawing>
      </w:r>
    </w:p>
    <w:p w14:paraId="3545CEE4" w14:textId="77777777" w:rsidR="00E66BF9" w:rsidRDefault="00E66BF9" w:rsidP="00E66BF9">
      <w:pPr>
        <w:spacing w:after="0" w:line="360" w:lineRule="atLeast"/>
        <w:rPr>
          <w:rFonts w:ascii="inherit" w:eastAsia="Times New Roman" w:hAnsi="inherit" w:cs="Times New Roman"/>
          <w:sz w:val="29"/>
          <w:szCs w:val="29"/>
        </w:rPr>
      </w:pPr>
    </w:p>
    <w:p w14:paraId="018D0844" w14:textId="77777777" w:rsidR="00E66BF9" w:rsidRDefault="00E66BF9" w:rsidP="00E66BF9">
      <w:pPr>
        <w:spacing w:after="0" w:line="360" w:lineRule="atLeast"/>
        <w:rPr>
          <w:rFonts w:ascii="inherit" w:eastAsia="Times New Roman" w:hAnsi="inherit" w:cs="Times New Roman"/>
          <w:sz w:val="29"/>
          <w:szCs w:val="29"/>
        </w:rPr>
      </w:pPr>
    </w:p>
    <w:p w14:paraId="287DBFC3" w14:textId="77777777" w:rsidR="00E66BF9" w:rsidRDefault="00E66BF9" w:rsidP="00E66BF9">
      <w:pPr>
        <w:spacing w:after="0" w:line="360" w:lineRule="atLeast"/>
        <w:rPr>
          <w:rFonts w:ascii="inherit" w:eastAsia="Times New Roman" w:hAnsi="inherit" w:cs="Times New Roman"/>
          <w:sz w:val="29"/>
          <w:szCs w:val="29"/>
        </w:rPr>
      </w:pPr>
    </w:p>
    <w:p w14:paraId="58CF81D8" w14:textId="77777777" w:rsidR="00E66BF9" w:rsidRDefault="00E66BF9" w:rsidP="00E66BF9">
      <w:pPr>
        <w:spacing w:after="0" w:line="360" w:lineRule="atLeast"/>
        <w:rPr>
          <w:rFonts w:ascii="inherit" w:eastAsia="Times New Roman" w:hAnsi="inherit" w:cs="Times New Roman"/>
          <w:sz w:val="29"/>
          <w:szCs w:val="29"/>
        </w:rPr>
      </w:pPr>
    </w:p>
    <w:p w14:paraId="5F71ED2D" w14:textId="77777777" w:rsidR="00E66BF9" w:rsidRDefault="00E66BF9" w:rsidP="00E66BF9">
      <w:pPr>
        <w:spacing w:after="0" w:line="360" w:lineRule="atLeast"/>
        <w:rPr>
          <w:rFonts w:ascii="inherit" w:eastAsia="Times New Roman" w:hAnsi="inherit" w:cs="Times New Roman"/>
          <w:sz w:val="29"/>
          <w:szCs w:val="29"/>
        </w:rPr>
      </w:pPr>
    </w:p>
    <w:p w14:paraId="3C75AA59" w14:textId="77777777" w:rsidR="00E66BF9" w:rsidRDefault="00E66BF9" w:rsidP="00E66BF9">
      <w:pPr>
        <w:spacing w:after="0" w:line="360" w:lineRule="atLeast"/>
        <w:rPr>
          <w:rFonts w:ascii="inherit" w:eastAsia="Times New Roman" w:hAnsi="inherit" w:cs="Times New Roman"/>
          <w:sz w:val="29"/>
          <w:szCs w:val="29"/>
        </w:rPr>
      </w:pPr>
    </w:p>
    <w:p w14:paraId="016DACC0" w14:textId="77777777" w:rsidR="00E66BF9" w:rsidRDefault="00E66BF9" w:rsidP="00E66BF9">
      <w:pPr>
        <w:spacing w:after="0" w:line="360" w:lineRule="atLeast"/>
        <w:rPr>
          <w:rFonts w:ascii="inherit" w:eastAsia="Times New Roman" w:hAnsi="inherit" w:cs="Times New Roman"/>
          <w:sz w:val="29"/>
          <w:szCs w:val="29"/>
        </w:rPr>
      </w:pPr>
    </w:p>
    <w:p w14:paraId="0B378F21" w14:textId="77777777" w:rsidR="00E66BF9" w:rsidRDefault="00E66BF9" w:rsidP="00E66BF9">
      <w:pPr>
        <w:spacing w:after="0" w:line="360" w:lineRule="atLeast"/>
        <w:rPr>
          <w:rFonts w:ascii="inherit" w:eastAsia="Times New Roman" w:hAnsi="inherit" w:cs="Times New Roman"/>
          <w:sz w:val="29"/>
          <w:szCs w:val="29"/>
        </w:rPr>
      </w:pPr>
    </w:p>
    <w:p w14:paraId="11B9901B" w14:textId="77777777" w:rsidR="00E66BF9" w:rsidRDefault="00E66BF9" w:rsidP="00E66BF9">
      <w:pPr>
        <w:spacing w:after="0" w:line="360" w:lineRule="atLeast"/>
        <w:rPr>
          <w:rFonts w:ascii="inherit" w:eastAsia="Times New Roman" w:hAnsi="inherit" w:cs="Times New Roman"/>
          <w:sz w:val="29"/>
          <w:szCs w:val="29"/>
        </w:rPr>
      </w:pPr>
    </w:p>
    <w:p w14:paraId="482162D4" w14:textId="77777777" w:rsidR="00E66BF9" w:rsidRDefault="00E66BF9" w:rsidP="00E66BF9">
      <w:pPr>
        <w:spacing w:after="0" w:line="360" w:lineRule="atLeast"/>
        <w:rPr>
          <w:rFonts w:ascii="inherit" w:eastAsia="Times New Roman" w:hAnsi="inherit" w:cs="Times New Roman"/>
          <w:sz w:val="29"/>
          <w:szCs w:val="29"/>
        </w:rPr>
      </w:pPr>
    </w:p>
    <w:p w14:paraId="7DE00CD1" w14:textId="77777777" w:rsidR="00E66BF9" w:rsidRDefault="00E66BF9" w:rsidP="00E66BF9">
      <w:pPr>
        <w:spacing w:after="0" w:line="360" w:lineRule="atLeast"/>
        <w:rPr>
          <w:rFonts w:ascii="inherit" w:eastAsia="Times New Roman" w:hAnsi="inherit" w:cs="Times New Roman"/>
          <w:sz w:val="29"/>
          <w:szCs w:val="29"/>
        </w:rPr>
      </w:pPr>
    </w:p>
    <w:p w14:paraId="3DCCD460" w14:textId="77777777" w:rsidR="00E66BF9" w:rsidRDefault="00E66BF9" w:rsidP="00E66BF9">
      <w:pPr>
        <w:spacing w:after="0" w:line="360" w:lineRule="atLeast"/>
        <w:rPr>
          <w:rFonts w:ascii="inherit" w:eastAsia="Times New Roman" w:hAnsi="inherit" w:cs="Times New Roman"/>
          <w:sz w:val="29"/>
          <w:szCs w:val="29"/>
        </w:rPr>
      </w:pPr>
    </w:p>
    <w:p w14:paraId="00CBF69D" w14:textId="17589EB2" w:rsidR="00E66BF9" w:rsidRPr="00E66BF9" w:rsidRDefault="00E66BF9" w:rsidP="00E66BF9">
      <w:pPr>
        <w:spacing w:after="0" w:line="360" w:lineRule="atLeast"/>
        <w:rPr>
          <w:rFonts w:ascii="inherit" w:eastAsia="Times New Roman" w:hAnsi="inherit" w:cs="Times New Roman"/>
          <w:sz w:val="29"/>
          <w:szCs w:val="29"/>
        </w:rPr>
      </w:pPr>
      <w:r w:rsidRPr="00E66BF9">
        <w:rPr>
          <w:rFonts w:ascii="inherit" w:eastAsia="Times New Roman" w:hAnsi="inherit" w:cs="Times New Roman"/>
          <w:sz w:val="29"/>
          <w:szCs w:val="29"/>
        </w:rPr>
        <w:lastRenderedPageBreak/>
        <w:t>Population aging is changing societies on a global level. Our current models have fallen short in addressing both challenges and opportunities presented by this demographic shift. Governments and organizations need new implementable models to address the accompanying wave of change. Globally, active aging is recognized as part of the solution.</w:t>
      </w:r>
      <w:r w:rsidRPr="00E66BF9">
        <w:rPr>
          <w:rFonts w:ascii="inherit" w:eastAsia="Times New Roman" w:hAnsi="inherit" w:cs="Times New Roman"/>
          <w:sz w:val="29"/>
          <w:szCs w:val="29"/>
          <w:bdr w:val="none" w:sz="0" w:space="0" w:color="auto" w:frame="1"/>
        </w:rPr>
        <w:t>1</w:t>
      </w:r>
      <w:r w:rsidRPr="00E66BF9">
        <w:rPr>
          <w:rFonts w:ascii="inherit" w:eastAsia="Times New Roman" w:hAnsi="inherit" w:cs="Times New Roman"/>
          <w:sz w:val="29"/>
          <w:szCs w:val="29"/>
        </w:rPr>
        <w:t> Why?</w:t>
      </w:r>
    </w:p>
    <w:p w14:paraId="2BC0A613" w14:textId="77777777" w:rsidR="00E66BF9" w:rsidRPr="00E66BF9" w:rsidRDefault="00E66BF9" w:rsidP="00E66BF9">
      <w:pPr>
        <w:spacing w:after="0" w:line="360" w:lineRule="atLeast"/>
        <w:rPr>
          <w:rFonts w:ascii="inherit" w:eastAsia="Times New Roman" w:hAnsi="inherit" w:cs="Times New Roman"/>
          <w:sz w:val="29"/>
          <w:szCs w:val="29"/>
        </w:rPr>
      </w:pPr>
      <w:r w:rsidRPr="00E66BF9">
        <w:rPr>
          <w:rFonts w:ascii="inherit" w:eastAsia="Times New Roman" w:hAnsi="inherit" w:cs="Times New Roman"/>
          <w:sz w:val="29"/>
          <w:szCs w:val="29"/>
        </w:rPr>
        <w:t xml:space="preserve">Active aging promotes the vision of all individuals—regardless of age, socioeconomic </w:t>
      </w:r>
      <w:proofErr w:type="gramStart"/>
      <w:r w:rsidRPr="00E66BF9">
        <w:rPr>
          <w:rFonts w:ascii="inherit" w:eastAsia="Times New Roman" w:hAnsi="inherit" w:cs="Times New Roman"/>
          <w:sz w:val="29"/>
          <w:szCs w:val="29"/>
        </w:rPr>
        <w:t>status</w:t>
      </w:r>
      <w:proofErr w:type="gramEnd"/>
      <w:r w:rsidRPr="00E66BF9">
        <w:rPr>
          <w:rFonts w:ascii="inherit" w:eastAsia="Times New Roman" w:hAnsi="inherit" w:cs="Times New Roman"/>
          <w:sz w:val="29"/>
          <w:szCs w:val="29"/>
        </w:rPr>
        <w:t xml:space="preserve"> or health—fully engaging in life within all seven dimensions of wellness: emotional, environmental, intellectual/cognitive, physical, professional/vocational, social and spiritual.</w:t>
      </w:r>
      <w:r w:rsidRPr="00E66BF9">
        <w:rPr>
          <w:rFonts w:ascii="inherit" w:eastAsia="Times New Roman" w:hAnsi="inherit" w:cs="Times New Roman"/>
          <w:sz w:val="29"/>
          <w:szCs w:val="29"/>
          <w:bdr w:val="none" w:sz="0" w:space="0" w:color="auto" w:frame="1"/>
        </w:rPr>
        <w:t>2</w:t>
      </w:r>
    </w:p>
    <w:p w14:paraId="18AFF3DC" w14:textId="77777777" w:rsidR="00E66BF9" w:rsidRPr="00E66BF9" w:rsidRDefault="00E66BF9" w:rsidP="00E66BF9">
      <w:pPr>
        <w:spacing w:after="288" w:line="360" w:lineRule="atLeast"/>
        <w:rPr>
          <w:rFonts w:ascii="inherit" w:eastAsia="Times New Roman" w:hAnsi="inherit" w:cs="Times New Roman"/>
          <w:sz w:val="29"/>
          <w:szCs w:val="29"/>
        </w:rPr>
      </w:pPr>
      <w:r w:rsidRPr="00E66BF9">
        <w:rPr>
          <w:rFonts w:ascii="inherit" w:eastAsia="Times New Roman" w:hAnsi="inherit" w:cs="Times New Roman"/>
          <w:sz w:val="29"/>
          <w:szCs w:val="29"/>
        </w:rPr>
        <w:t>Research shows that an active lifestyle can lessen the challenges and increase the opportunities associated with population aging.3 Active aging provides environments, programs and places that support individuals in living well and taking charge of their health and wellness.</w:t>
      </w:r>
    </w:p>
    <w:p w14:paraId="312AEC71" w14:textId="77777777" w:rsidR="00E66BF9" w:rsidRPr="00E66BF9" w:rsidRDefault="00E66BF9" w:rsidP="00E66BF9">
      <w:pPr>
        <w:spacing w:after="0" w:line="360" w:lineRule="atLeast"/>
        <w:rPr>
          <w:rFonts w:ascii="inherit" w:eastAsia="Times New Roman" w:hAnsi="inherit" w:cs="Times New Roman"/>
          <w:sz w:val="29"/>
          <w:szCs w:val="29"/>
        </w:rPr>
      </w:pPr>
      <w:r w:rsidRPr="00E66BF9">
        <w:rPr>
          <w:rFonts w:ascii="inherit" w:eastAsia="Times New Roman" w:hAnsi="inherit" w:cs="Times New Roman"/>
          <w:sz w:val="29"/>
          <w:szCs w:val="29"/>
        </w:rPr>
        <w:t>The International Council on Active Aging® (ICAA) has created </w:t>
      </w:r>
      <w:hyperlink r:id="rId6" w:history="1">
        <w:r w:rsidRPr="00E66BF9">
          <w:rPr>
            <w:rFonts w:ascii="inherit" w:eastAsia="Times New Roman" w:hAnsi="inherit" w:cs="Times New Roman"/>
            <w:color w:val="41AAED"/>
            <w:sz w:val="29"/>
            <w:szCs w:val="29"/>
            <w:u w:val="single"/>
            <w:bdr w:val="none" w:sz="0" w:space="0" w:color="auto" w:frame="1"/>
          </w:rPr>
          <w:t>Nine Principles of Active Aging</w:t>
        </w:r>
      </w:hyperlink>
      <w:r w:rsidRPr="00E66BF9">
        <w:rPr>
          <w:rFonts w:ascii="inherit" w:eastAsia="Times New Roman" w:hAnsi="inherit" w:cs="Times New Roman"/>
          <w:sz w:val="29"/>
          <w:szCs w:val="29"/>
        </w:rPr>
        <w:t>, a model to guide governments, product and service providers, employers, and the healthcare industry in how they respond to population aging. By implementing and operating by these guiding principles, organizations and agencies will be able to build a foundation for their efforts and encourage active, engaged living for people of all ages.</w:t>
      </w:r>
    </w:p>
    <w:p w14:paraId="56BD7F02" w14:textId="77777777" w:rsidR="00E66BF9" w:rsidRPr="00E66BF9" w:rsidRDefault="00E66BF9" w:rsidP="00E66BF9">
      <w:pPr>
        <w:spacing w:after="0" w:line="360" w:lineRule="atLeast"/>
        <w:rPr>
          <w:rFonts w:ascii="inherit" w:eastAsia="Times New Roman" w:hAnsi="inherit" w:cs="Times New Roman"/>
          <w:sz w:val="29"/>
          <w:szCs w:val="29"/>
        </w:rPr>
      </w:pPr>
      <w:r w:rsidRPr="00E66BF9">
        <w:rPr>
          <w:rFonts w:ascii="inherit" w:eastAsia="Times New Roman" w:hAnsi="inherit" w:cs="Times New Roman"/>
          <w:sz w:val="29"/>
          <w:szCs w:val="29"/>
        </w:rPr>
        <w:t>It is also essential, when implementing the nine principles, to incorporate the </w:t>
      </w:r>
      <w:hyperlink r:id="rId7" w:history="1">
        <w:r w:rsidRPr="00E66BF9">
          <w:rPr>
            <w:rFonts w:ascii="inherit" w:eastAsia="Times New Roman" w:hAnsi="inherit" w:cs="Times New Roman"/>
            <w:color w:val="41AAED"/>
            <w:sz w:val="29"/>
            <w:szCs w:val="29"/>
            <w:u w:val="single"/>
            <w:bdr w:val="none" w:sz="0" w:space="0" w:color="auto" w:frame="1"/>
          </w:rPr>
          <w:t>seven dimensions of wellness</w:t>
        </w:r>
      </w:hyperlink>
      <w:r w:rsidRPr="00E66BF9">
        <w:rPr>
          <w:rFonts w:ascii="inherit" w:eastAsia="Times New Roman" w:hAnsi="inherit" w:cs="Times New Roman"/>
          <w:sz w:val="29"/>
          <w:szCs w:val="29"/>
        </w:rPr>
        <w:t xml:space="preserve"> into each principle. This integration is the “spine,” or support structure, of the ICAA Model and is crucial to meeting the needs, capabilities, expectations, </w:t>
      </w:r>
      <w:proofErr w:type="gramStart"/>
      <w:r w:rsidRPr="00E66BF9">
        <w:rPr>
          <w:rFonts w:ascii="inherit" w:eastAsia="Times New Roman" w:hAnsi="inherit" w:cs="Times New Roman"/>
          <w:sz w:val="29"/>
          <w:szCs w:val="29"/>
        </w:rPr>
        <w:t>dreams</w:t>
      </w:r>
      <w:proofErr w:type="gramEnd"/>
      <w:r w:rsidRPr="00E66BF9">
        <w:rPr>
          <w:rFonts w:ascii="inherit" w:eastAsia="Times New Roman" w:hAnsi="inherit" w:cs="Times New Roman"/>
          <w:sz w:val="29"/>
          <w:szCs w:val="29"/>
        </w:rPr>
        <w:t xml:space="preserve"> and desires of the older consumer.</w:t>
      </w:r>
    </w:p>
    <w:p w14:paraId="2D5E965D" w14:textId="77777777" w:rsidR="00E66BF9" w:rsidRDefault="00E66BF9"/>
    <w:sectPr w:rsidR="00E66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F9"/>
    <w:rsid w:val="00E6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F32D"/>
  <w15:chartTrackingRefBased/>
  <w15:docId w15:val="{D87ED189-871B-4F66-8786-53F7059C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9702">
      <w:bodyDiv w:val="1"/>
      <w:marLeft w:val="0"/>
      <w:marRight w:val="0"/>
      <w:marTop w:val="0"/>
      <w:marBottom w:val="0"/>
      <w:divBdr>
        <w:top w:val="none" w:sz="0" w:space="0" w:color="auto"/>
        <w:left w:val="none" w:sz="0" w:space="0" w:color="auto"/>
        <w:bottom w:val="none" w:sz="0" w:space="0" w:color="auto"/>
        <w:right w:val="none" w:sz="0" w:space="0" w:color="auto"/>
      </w:divBdr>
      <w:divsChild>
        <w:div w:id="1372455998">
          <w:marLeft w:val="0"/>
          <w:marRight w:val="0"/>
          <w:marTop w:val="0"/>
          <w:marBottom w:val="0"/>
          <w:divBdr>
            <w:top w:val="none" w:sz="0" w:space="0" w:color="auto"/>
            <w:left w:val="none" w:sz="0" w:space="0" w:color="auto"/>
            <w:bottom w:val="none" w:sz="0" w:space="0" w:color="auto"/>
            <w:right w:val="none" w:sz="0" w:space="0" w:color="auto"/>
          </w:divBdr>
          <w:divsChild>
            <w:div w:id="5140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aa.cc/activeagingandwellness/wellnes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caa.cc/activeagingandwellness/activeaging.ht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16AA-AE22-4118-9DAE-A7AE20E6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Zerbonia</dc:creator>
  <cp:keywords/>
  <dc:description/>
  <cp:lastModifiedBy>Zachary Zerbonia</cp:lastModifiedBy>
  <cp:revision>1</cp:revision>
  <dcterms:created xsi:type="dcterms:W3CDTF">2023-03-24T22:38:00Z</dcterms:created>
  <dcterms:modified xsi:type="dcterms:W3CDTF">2023-03-24T22:40:00Z</dcterms:modified>
</cp:coreProperties>
</file>