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Simon Sinek Secret trick to communicate better  ... (Completed  09/12/23)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12,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80aA68RbKJZWhQGJLcR1-FLxfNJ_LEpL4nQgqqY3dnmkG_UcSw3TpX-0FJbz13gTw_QHVx93nxg1VpVfk_xPFjoBMW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