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AC1E7" w14:textId="77777777" w:rsidR="00EA0C36" w:rsidRDefault="00CD5DDA">
      <w:pPr>
        <w:spacing w:after="80"/>
        <w:jc w:val="center"/>
      </w:pPr>
      <w:r>
        <w:rPr>
          <w:noProof/>
        </w:rPr>
        <w:drawing>
          <wp:inline distT="0" distB="0" distL="0" distR="0" wp14:anchorId="19A1C02B" wp14:editId="6D560431">
            <wp:extent cx="2148840" cy="2148840"/>
            <wp:effectExtent l="0" t="0" r="0" b="0"/>
            <wp:docPr id="1" name="Picture 1" descr="Mere Valley School landscape and sunrise logo with the school name." title="Mere Valley 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vs_logo.png"/>
                    <pic:cNvPicPr/>
                  </pic:nvPicPr>
                  <pic:blipFill>
                    <a:blip r:embed="rId8"/>
                    <a:stretch>
                      <a:fillRect/>
                    </a:stretch>
                  </pic:blipFill>
                  <pic:spPr>
                    <a:xfrm>
                      <a:off x="0" y="0"/>
                      <a:ext cx="2148840" cy="2148840"/>
                    </a:xfrm>
                    <a:prstGeom prst="rect">
                      <a:avLst/>
                    </a:prstGeom>
                  </pic:spPr>
                </pic:pic>
              </a:graphicData>
            </a:graphic>
          </wp:inline>
        </w:drawing>
      </w:r>
    </w:p>
    <w:p w14:paraId="32CD85D9" w14:textId="77777777" w:rsidR="00EA0C36" w:rsidRDefault="00CD5DDA">
      <w:pPr>
        <w:spacing w:after="100"/>
        <w:jc w:val="center"/>
      </w:pPr>
      <w:r>
        <w:rPr>
          <w:rFonts w:eastAsia="Calibri"/>
          <w:b/>
          <w:caps/>
          <w:color w:val="C5A24D"/>
          <w:sz w:val="19"/>
        </w:rPr>
        <w:t>SPECIAL EDUCATIONAL NEEDS AND DISABILITIES</w:t>
      </w:r>
    </w:p>
    <w:p w14:paraId="1194A1E3" w14:textId="77777777" w:rsidR="00EA0C36" w:rsidRDefault="00CD5DDA">
      <w:pPr>
        <w:spacing w:after="140"/>
        <w:jc w:val="center"/>
      </w:pPr>
      <w:r>
        <w:rPr>
          <w:rFonts w:eastAsia="Calibri"/>
          <w:b/>
          <w:color w:val="193B5A"/>
          <w:sz w:val="54"/>
        </w:rPr>
        <w:t>SEND Policy</w:t>
      </w:r>
    </w:p>
    <w:p w14:paraId="0E1342F5" w14:textId="78957A7D" w:rsidR="00EA0C36" w:rsidRDefault="00EA0C36">
      <w:pPr>
        <w:spacing w:after="400"/>
        <w:jc w:val="center"/>
      </w:pPr>
    </w:p>
    <w:tbl>
      <w:tblPr>
        <w:tblW w:w="9360" w:type="dxa"/>
        <w:tblInd w:w="120" w:type="dxa"/>
        <w:tblBorders>
          <w:top w:val="single" w:sz="6" w:space="0" w:color="D5DADF"/>
          <w:left w:val="single" w:sz="6" w:space="0" w:color="D5DADF"/>
          <w:bottom w:val="single" w:sz="6" w:space="0" w:color="D5DADF"/>
          <w:right w:val="single" w:sz="6" w:space="0" w:color="D5DADF"/>
          <w:insideH w:val="single" w:sz="6" w:space="0" w:color="D5DADF"/>
          <w:insideV w:val="single" w:sz="6" w:space="0" w:color="D5DADF"/>
        </w:tblBorders>
        <w:tblLayout w:type="fixed"/>
        <w:tblLook w:val="04A0" w:firstRow="1" w:lastRow="0" w:firstColumn="1" w:lastColumn="0" w:noHBand="0" w:noVBand="1"/>
      </w:tblPr>
      <w:tblGrid>
        <w:gridCol w:w="2660"/>
        <w:gridCol w:w="6700"/>
      </w:tblGrid>
      <w:tr w:rsidR="00EA0C36" w14:paraId="754B2239" w14:textId="77777777">
        <w:trPr>
          <w:cantSplit/>
          <w:tblHeader/>
        </w:trPr>
        <w:tc>
          <w:tcPr>
            <w:tcW w:w="2660" w:type="dxa"/>
            <w:shd w:val="clear" w:color="auto" w:fill="193B5A"/>
            <w:tcMar>
              <w:top w:w="80" w:type="dxa"/>
              <w:left w:w="120" w:type="dxa"/>
              <w:bottom w:w="80" w:type="dxa"/>
              <w:right w:w="120" w:type="dxa"/>
            </w:tcMar>
            <w:vAlign w:val="center"/>
          </w:tcPr>
          <w:p w14:paraId="13FC5B0B" w14:textId="77777777" w:rsidR="00EA0C36" w:rsidRDefault="00CD5DDA">
            <w:pPr>
              <w:spacing w:after="0"/>
            </w:pPr>
            <w:r>
              <w:rPr>
                <w:rFonts w:eastAsia="Calibri"/>
                <w:b/>
                <w:color w:val="FFFFFF"/>
                <w:sz w:val="18"/>
              </w:rPr>
              <w:t>Document control</w:t>
            </w:r>
          </w:p>
        </w:tc>
        <w:tc>
          <w:tcPr>
            <w:tcW w:w="6700" w:type="dxa"/>
            <w:shd w:val="clear" w:color="auto" w:fill="193B5A"/>
            <w:tcMar>
              <w:top w:w="80" w:type="dxa"/>
              <w:left w:w="120" w:type="dxa"/>
              <w:bottom w:w="80" w:type="dxa"/>
              <w:right w:w="120" w:type="dxa"/>
            </w:tcMar>
            <w:vAlign w:val="center"/>
          </w:tcPr>
          <w:p w14:paraId="533D64A6" w14:textId="77777777" w:rsidR="00EA0C36" w:rsidRDefault="00CD5DDA">
            <w:pPr>
              <w:spacing w:after="0"/>
            </w:pPr>
            <w:r>
              <w:rPr>
                <w:rFonts w:eastAsia="Calibri"/>
                <w:b/>
                <w:color w:val="FFFFFF"/>
                <w:sz w:val="18"/>
              </w:rPr>
              <w:t>Current position</w:t>
            </w:r>
          </w:p>
        </w:tc>
      </w:tr>
      <w:tr w:rsidR="00EA0C36" w14:paraId="1C1A2068" w14:textId="77777777">
        <w:trPr>
          <w:cantSplit/>
        </w:trPr>
        <w:tc>
          <w:tcPr>
            <w:tcW w:w="2660" w:type="dxa"/>
            <w:tcMar>
              <w:top w:w="80" w:type="dxa"/>
              <w:left w:w="120" w:type="dxa"/>
              <w:bottom w:w="80" w:type="dxa"/>
              <w:right w:w="120" w:type="dxa"/>
            </w:tcMar>
            <w:vAlign w:val="center"/>
          </w:tcPr>
          <w:p w14:paraId="5E6CD074" w14:textId="77777777" w:rsidR="00EA0C36" w:rsidRDefault="00CD5DDA">
            <w:pPr>
              <w:spacing w:after="0" w:line="252" w:lineRule="auto"/>
            </w:pPr>
            <w:r>
              <w:rPr>
                <w:rFonts w:eastAsia="Calibri"/>
                <w:b/>
                <w:color w:val="164B42"/>
                <w:sz w:val="19"/>
              </w:rPr>
              <w:t>Policy owner</w:t>
            </w:r>
          </w:p>
        </w:tc>
        <w:tc>
          <w:tcPr>
            <w:tcW w:w="6700" w:type="dxa"/>
            <w:tcMar>
              <w:top w:w="80" w:type="dxa"/>
              <w:left w:w="120" w:type="dxa"/>
              <w:bottom w:w="80" w:type="dxa"/>
              <w:right w:w="120" w:type="dxa"/>
            </w:tcMar>
            <w:vAlign w:val="center"/>
          </w:tcPr>
          <w:p w14:paraId="0F85D3C7" w14:textId="77777777" w:rsidR="00EA0C36" w:rsidRDefault="00CD5DDA">
            <w:pPr>
              <w:spacing w:after="0" w:line="252" w:lineRule="auto"/>
            </w:pPr>
            <w:r>
              <w:rPr>
                <w:rFonts w:eastAsia="Calibri"/>
                <w:sz w:val="19"/>
              </w:rPr>
              <w:t>Head of School and SENCO / Inclusion Lead</w:t>
            </w:r>
          </w:p>
        </w:tc>
      </w:tr>
      <w:tr w:rsidR="00EA0C36" w14:paraId="57D951FD" w14:textId="77777777">
        <w:trPr>
          <w:cantSplit/>
        </w:trPr>
        <w:tc>
          <w:tcPr>
            <w:tcW w:w="2660" w:type="dxa"/>
            <w:shd w:val="clear" w:color="auto" w:fill="FAFBFC"/>
            <w:tcMar>
              <w:top w:w="80" w:type="dxa"/>
              <w:left w:w="120" w:type="dxa"/>
              <w:bottom w:w="80" w:type="dxa"/>
              <w:right w:w="120" w:type="dxa"/>
            </w:tcMar>
            <w:vAlign w:val="center"/>
          </w:tcPr>
          <w:p w14:paraId="315A0894" w14:textId="77777777" w:rsidR="00EA0C36" w:rsidRDefault="00CD5DDA">
            <w:pPr>
              <w:spacing w:after="0" w:line="252" w:lineRule="auto"/>
            </w:pPr>
            <w:r>
              <w:rPr>
                <w:rFonts w:eastAsia="Calibri"/>
                <w:b/>
                <w:color w:val="164B42"/>
                <w:sz w:val="19"/>
              </w:rPr>
              <w:t>Accountable body</w:t>
            </w:r>
          </w:p>
        </w:tc>
        <w:tc>
          <w:tcPr>
            <w:tcW w:w="6700" w:type="dxa"/>
            <w:shd w:val="clear" w:color="auto" w:fill="FAFBFC"/>
            <w:tcMar>
              <w:top w:w="80" w:type="dxa"/>
              <w:left w:w="120" w:type="dxa"/>
              <w:bottom w:w="80" w:type="dxa"/>
              <w:right w:w="120" w:type="dxa"/>
            </w:tcMar>
            <w:vAlign w:val="center"/>
          </w:tcPr>
          <w:p w14:paraId="6607E497" w14:textId="77777777" w:rsidR="00EA0C36" w:rsidRDefault="00CD5DDA">
            <w:pPr>
              <w:spacing w:after="0" w:line="252" w:lineRule="auto"/>
            </w:pPr>
            <w:r>
              <w:rPr>
                <w:rFonts w:eastAsia="Calibri"/>
                <w:sz w:val="19"/>
              </w:rPr>
              <w:t>Proprietor</w:t>
            </w:r>
          </w:p>
        </w:tc>
      </w:tr>
      <w:tr w:rsidR="00EA0C36" w14:paraId="18BA9E00" w14:textId="77777777">
        <w:trPr>
          <w:cantSplit/>
        </w:trPr>
        <w:tc>
          <w:tcPr>
            <w:tcW w:w="2660" w:type="dxa"/>
            <w:tcMar>
              <w:top w:w="80" w:type="dxa"/>
              <w:left w:w="120" w:type="dxa"/>
              <w:bottom w:w="80" w:type="dxa"/>
              <w:right w:w="120" w:type="dxa"/>
            </w:tcMar>
            <w:vAlign w:val="center"/>
          </w:tcPr>
          <w:p w14:paraId="472B4EA5" w14:textId="77777777" w:rsidR="00EA0C36" w:rsidRDefault="00CD5DDA">
            <w:pPr>
              <w:spacing w:after="0" w:line="252" w:lineRule="auto"/>
            </w:pPr>
            <w:r>
              <w:rPr>
                <w:rFonts w:eastAsia="Calibri"/>
                <w:b/>
                <w:color w:val="164B42"/>
                <w:sz w:val="19"/>
              </w:rPr>
              <w:t>Version and issue date</w:t>
            </w:r>
          </w:p>
        </w:tc>
        <w:tc>
          <w:tcPr>
            <w:tcW w:w="6700" w:type="dxa"/>
            <w:tcMar>
              <w:top w:w="80" w:type="dxa"/>
              <w:left w:w="120" w:type="dxa"/>
              <w:bottom w:w="80" w:type="dxa"/>
              <w:right w:w="120" w:type="dxa"/>
            </w:tcMar>
            <w:vAlign w:val="center"/>
          </w:tcPr>
          <w:p w14:paraId="6374F3D2" w14:textId="77777777" w:rsidR="00EA0C36" w:rsidRDefault="00CD5DDA">
            <w:pPr>
              <w:spacing w:after="0" w:line="252" w:lineRule="auto"/>
            </w:pPr>
            <w:r>
              <w:rPr>
                <w:rFonts w:eastAsia="Calibri"/>
                <w:sz w:val="19"/>
              </w:rPr>
              <w:t>Version 1.0 | 3 September 2026</w:t>
            </w:r>
          </w:p>
        </w:tc>
      </w:tr>
      <w:tr w:rsidR="00EA0C36" w14:paraId="32075E6D" w14:textId="77777777">
        <w:trPr>
          <w:cantSplit/>
        </w:trPr>
        <w:tc>
          <w:tcPr>
            <w:tcW w:w="2660" w:type="dxa"/>
            <w:shd w:val="clear" w:color="auto" w:fill="FAFBFC"/>
            <w:tcMar>
              <w:top w:w="80" w:type="dxa"/>
              <w:left w:w="120" w:type="dxa"/>
              <w:bottom w:w="80" w:type="dxa"/>
              <w:right w:w="120" w:type="dxa"/>
            </w:tcMar>
            <w:vAlign w:val="center"/>
          </w:tcPr>
          <w:p w14:paraId="4A4C3041" w14:textId="77777777" w:rsidR="00EA0C36" w:rsidRDefault="00CD5DDA">
            <w:pPr>
              <w:spacing w:after="0" w:line="252" w:lineRule="auto"/>
            </w:pPr>
            <w:r>
              <w:rPr>
                <w:rFonts w:eastAsia="Calibri"/>
                <w:b/>
                <w:color w:val="164B42"/>
                <w:sz w:val="19"/>
              </w:rPr>
              <w:t>Status</w:t>
            </w:r>
          </w:p>
        </w:tc>
        <w:tc>
          <w:tcPr>
            <w:tcW w:w="6700" w:type="dxa"/>
            <w:shd w:val="clear" w:color="auto" w:fill="FAFBFC"/>
            <w:tcMar>
              <w:top w:w="80" w:type="dxa"/>
              <w:left w:w="120" w:type="dxa"/>
              <w:bottom w:w="80" w:type="dxa"/>
              <w:right w:w="120" w:type="dxa"/>
            </w:tcMar>
            <w:vAlign w:val="center"/>
          </w:tcPr>
          <w:p w14:paraId="67E407AD" w14:textId="77777777" w:rsidR="00EA0C36" w:rsidRDefault="00CD5DDA">
            <w:pPr>
              <w:spacing w:after="0" w:line="252" w:lineRule="auto"/>
            </w:pPr>
            <w:r>
              <w:rPr>
                <w:rFonts w:eastAsia="Calibri"/>
                <w:sz w:val="19"/>
              </w:rPr>
              <w:t>Draft for proprietor approval and implementation from opening</w:t>
            </w:r>
          </w:p>
        </w:tc>
      </w:tr>
      <w:tr w:rsidR="00EA0C36" w14:paraId="4CE09682" w14:textId="77777777">
        <w:trPr>
          <w:cantSplit/>
        </w:trPr>
        <w:tc>
          <w:tcPr>
            <w:tcW w:w="2660" w:type="dxa"/>
            <w:tcMar>
              <w:top w:w="80" w:type="dxa"/>
              <w:left w:w="120" w:type="dxa"/>
              <w:bottom w:w="80" w:type="dxa"/>
              <w:right w:w="120" w:type="dxa"/>
            </w:tcMar>
            <w:vAlign w:val="center"/>
          </w:tcPr>
          <w:p w14:paraId="5FBE489F" w14:textId="77777777" w:rsidR="00EA0C36" w:rsidRDefault="00CD5DDA">
            <w:pPr>
              <w:spacing w:after="0" w:line="252" w:lineRule="auto"/>
            </w:pPr>
            <w:r>
              <w:rPr>
                <w:rFonts w:eastAsia="Calibri"/>
                <w:b/>
                <w:color w:val="164B42"/>
                <w:sz w:val="19"/>
              </w:rPr>
              <w:t>Approval date</w:t>
            </w:r>
          </w:p>
        </w:tc>
        <w:tc>
          <w:tcPr>
            <w:tcW w:w="6700" w:type="dxa"/>
            <w:tcMar>
              <w:top w:w="80" w:type="dxa"/>
              <w:left w:w="120" w:type="dxa"/>
              <w:bottom w:w="80" w:type="dxa"/>
              <w:right w:w="120" w:type="dxa"/>
            </w:tcMar>
            <w:vAlign w:val="center"/>
          </w:tcPr>
          <w:p w14:paraId="21F4F17A" w14:textId="77777777" w:rsidR="00EA0C36" w:rsidRDefault="00CD5DDA">
            <w:pPr>
              <w:spacing w:after="0" w:line="252" w:lineRule="auto"/>
            </w:pPr>
            <w:r>
              <w:rPr>
                <w:rFonts w:eastAsia="Calibri"/>
                <w:sz w:val="19"/>
              </w:rPr>
              <w:t>To be completed on formal adoption</w:t>
            </w:r>
          </w:p>
        </w:tc>
      </w:tr>
      <w:tr w:rsidR="00EA0C36" w14:paraId="6D209CB0" w14:textId="77777777">
        <w:trPr>
          <w:cantSplit/>
        </w:trPr>
        <w:tc>
          <w:tcPr>
            <w:tcW w:w="2660" w:type="dxa"/>
            <w:shd w:val="clear" w:color="auto" w:fill="FAFBFC"/>
            <w:tcMar>
              <w:top w:w="80" w:type="dxa"/>
              <w:left w:w="120" w:type="dxa"/>
              <w:bottom w:w="80" w:type="dxa"/>
              <w:right w:w="120" w:type="dxa"/>
            </w:tcMar>
            <w:vAlign w:val="center"/>
          </w:tcPr>
          <w:p w14:paraId="5EFAD41D" w14:textId="77777777" w:rsidR="00EA0C36" w:rsidRDefault="00CD5DDA">
            <w:pPr>
              <w:spacing w:after="0" w:line="252" w:lineRule="auto"/>
            </w:pPr>
            <w:r>
              <w:rPr>
                <w:rFonts w:eastAsia="Calibri"/>
                <w:b/>
                <w:color w:val="164B42"/>
                <w:sz w:val="19"/>
              </w:rPr>
              <w:t>Review date</w:t>
            </w:r>
          </w:p>
        </w:tc>
        <w:tc>
          <w:tcPr>
            <w:tcW w:w="6700" w:type="dxa"/>
            <w:shd w:val="clear" w:color="auto" w:fill="FAFBFC"/>
            <w:tcMar>
              <w:top w:w="80" w:type="dxa"/>
              <w:left w:w="120" w:type="dxa"/>
              <w:bottom w:w="80" w:type="dxa"/>
              <w:right w:w="120" w:type="dxa"/>
            </w:tcMar>
            <w:vAlign w:val="center"/>
          </w:tcPr>
          <w:p w14:paraId="57A84309" w14:textId="77777777" w:rsidR="00EA0C36" w:rsidRDefault="00CD5DDA">
            <w:pPr>
              <w:spacing w:after="0" w:line="252" w:lineRule="auto"/>
            </w:pPr>
            <w:r>
              <w:rPr>
                <w:rFonts w:eastAsia="Calibri"/>
                <w:sz w:val="19"/>
              </w:rPr>
              <w:t>September 2027, or sooner following legal, registration or material service change</w:t>
            </w:r>
          </w:p>
        </w:tc>
      </w:tr>
    </w:tbl>
    <w:p w14:paraId="172805C6" w14:textId="77777777" w:rsidR="00EA0C36" w:rsidRDefault="00EA0C36">
      <w:pPr>
        <w:spacing w:after="0"/>
      </w:pPr>
    </w:p>
    <w:tbl>
      <w:tblPr>
        <w:tblW w:w="9360" w:type="dxa"/>
        <w:tblInd w:w="120" w:type="dxa"/>
        <w:tblBorders>
          <w:top w:val="single" w:sz="6" w:space="0" w:color="D5DADF"/>
          <w:left w:val="single" w:sz="6" w:space="0" w:color="D5DADF"/>
          <w:bottom w:val="single" w:sz="6" w:space="0" w:color="D5DADF"/>
          <w:right w:val="single" w:sz="6" w:space="0" w:color="D5DADF"/>
          <w:insideH w:val="single" w:sz="6" w:space="0" w:color="D5DADF"/>
          <w:insideV w:val="single" w:sz="6" w:space="0" w:color="D5DADF"/>
        </w:tblBorders>
        <w:tblLayout w:type="fixed"/>
        <w:tblLook w:val="04A0" w:firstRow="1" w:lastRow="0" w:firstColumn="1" w:lastColumn="0" w:noHBand="0" w:noVBand="1"/>
      </w:tblPr>
      <w:tblGrid>
        <w:gridCol w:w="9360"/>
      </w:tblGrid>
      <w:tr w:rsidR="00EA0C36" w14:paraId="0953CB01" w14:textId="77777777">
        <w:trPr>
          <w:cantSplit/>
        </w:trPr>
        <w:tc>
          <w:tcPr>
            <w:tcW w:w="9360" w:type="dxa"/>
            <w:tcBorders>
              <w:left w:val="single" w:sz="22" w:space="0" w:color="C5A24D"/>
            </w:tcBorders>
            <w:shd w:val="clear" w:color="auto" w:fill="F7F2E6"/>
            <w:tcMar>
              <w:top w:w="80" w:type="dxa"/>
              <w:left w:w="120" w:type="dxa"/>
              <w:bottom w:w="80" w:type="dxa"/>
              <w:right w:w="120" w:type="dxa"/>
            </w:tcMar>
            <w:vAlign w:val="center"/>
          </w:tcPr>
          <w:p w14:paraId="75723DE4" w14:textId="77777777" w:rsidR="00EA0C36" w:rsidRDefault="00CD5DDA">
            <w:pPr>
              <w:spacing w:after="40"/>
            </w:pPr>
            <w:r>
              <w:rPr>
                <w:rFonts w:eastAsia="Calibri"/>
                <w:b/>
                <w:caps/>
                <w:color w:val="C5A24D"/>
                <w:sz w:val="18"/>
              </w:rPr>
              <w:t>POLICY PROMISE</w:t>
            </w:r>
          </w:p>
          <w:p w14:paraId="3ABD402D" w14:textId="77777777" w:rsidR="00EA0C36" w:rsidRDefault="00CD5DDA">
            <w:pPr>
              <w:spacing w:after="0" w:line="269" w:lineRule="auto"/>
            </w:pPr>
            <w:r>
              <w:rPr>
                <w:rFonts w:eastAsia="Calibri"/>
                <w:sz w:val="20"/>
              </w:rPr>
              <w:t>Mere Valley School will know each pupil well, secure the provision agreed for them, remove barriers to participation and keep ambition high. SEND is never used to explain away weak progress, poor attendance, exclusion from learning or avoidable safeguarding risk.</w:t>
            </w:r>
          </w:p>
        </w:tc>
      </w:tr>
    </w:tbl>
    <w:p w14:paraId="6E9F91DE" w14:textId="77777777" w:rsidR="00EA0C36" w:rsidRDefault="00EA0C36">
      <w:pPr>
        <w:spacing w:after="0"/>
      </w:pPr>
    </w:p>
    <w:p w14:paraId="0931ECE4" w14:textId="77777777" w:rsidR="00EA0C36" w:rsidRDefault="00CD5DDA">
      <w:r>
        <w:br w:type="page"/>
      </w:r>
    </w:p>
    <w:p w14:paraId="4A8F5731" w14:textId="77777777" w:rsidR="00EA0C36" w:rsidRDefault="00CD5DDA">
      <w:pPr>
        <w:pStyle w:val="Heading1"/>
      </w:pPr>
      <w:r>
        <w:lastRenderedPageBreak/>
        <w:t>Contents</w:t>
      </w:r>
    </w:p>
    <w:p w14:paraId="7810D434" w14:textId="77777777" w:rsidR="00EA0C36" w:rsidRDefault="00CD5DDA">
      <w:pPr>
        <w:pStyle w:val="MVSTOC1"/>
      </w:pPr>
      <w:r>
        <w:rPr>
          <w:rFonts w:eastAsia="Calibri"/>
        </w:rPr>
        <w:t>1. Purpose and commitments</w:t>
      </w:r>
    </w:p>
    <w:p w14:paraId="38A9D430" w14:textId="77777777" w:rsidR="00EA0C36" w:rsidRDefault="00CD5DDA">
      <w:pPr>
        <w:pStyle w:val="MVSTOC1"/>
      </w:pPr>
      <w:r>
        <w:rPr>
          <w:rFonts w:eastAsia="Calibri"/>
        </w:rPr>
        <w:t>2. Scope and definitions</w:t>
      </w:r>
    </w:p>
    <w:p w14:paraId="663E14AB" w14:textId="77777777" w:rsidR="00EA0C36" w:rsidRDefault="00CD5DDA">
      <w:pPr>
        <w:pStyle w:val="MVSTOC1"/>
      </w:pPr>
      <w:r>
        <w:rPr>
          <w:rFonts w:eastAsia="Calibri"/>
        </w:rPr>
        <w:t>3. Legal and regulatory framework</w:t>
      </w:r>
    </w:p>
    <w:p w14:paraId="76ABDF26" w14:textId="77777777" w:rsidR="00EA0C36" w:rsidRDefault="00CD5DDA">
      <w:pPr>
        <w:pStyle w:val="MVSTOC1"/>
      </w:pPr>
      <w:r>
        <w:rPr>
          <w:rFonts w:eastAsia="Calibri"/>
        </w:rPr>
        <w:t>4. MVS SEND model</w:t>
      </w:r>
    </w:p>
    <w:p w14:paraId="3A9CBEC0" w14:textId="77777777" w:rsidR="00EA0C36" w:rsidRDefault="00CD5DDA">
      <w:pPr>
        <w:pStyle w:val="MVSTOC1"/>
      </w:pPr>
      <w:r>
        <w:rPr>
          <w:rFonts w:eastAsia="Calibri"/>
        </w:rPr>
        <w:t>5. Leadership and accountability</w:t>
      </w:r>
    </w:p>
    <w:p w14:paraId="2A4E8EAA" w14:textId="77777777" w:rsidR="00EA0C36" w:rsidRDefault="00CD5DDA">
      <w:pPr>
        <w:pStyle w:val="MVSTOC1"/>
      </w:pPr>
      <w:r>
        <w:rPr>
          <w:rFonts w:eastAsia="Calibri"/>
        </w:rPr>
        <w:t>6. Admissions and placement</w:t>
      </w:r>
    </w:p>
    <w:p w14:paraId="22C3CB1A" w14:textId="77777777" w:rsidR="00EA0C36" w:rsidRDefault="00CD5DDA">
      <w:pPr>
        <w:pStyle w:val="MVSTOC1"/>
      </w:pPr>
      <w:r>
        <w:rPr>
          <w:rFonts w:eastAsia="Calibri"/>
        </w:rPr>
        <w:t>7. Assessment and graduated response</w:t>
      </w:r>
    </w:p>
    <w:p w14:paraId="4C5378E4" w14:textId="77777777" w:rsidR="00EA0C36" w:rsidRDefault="00CD5DDA">
      <w:pPr>
        <w:pStyle w:val="MVSTOC1"/>
      </w:pPr>
      <w:r>
        <w:rPr>
          <w:rFonts w:eastAsia="Calibri"/>
        </w:rPr>
        <w:t>8. Curriculum and intervention</w:t>
      </w:r>
    </w:p>
    <w:p w14:paraId="39519181" w14:textId="77777777" w:rsidR="00EA0C36" w:rsidRDefault="00CD5DDA">
      <w:pPr>
        <w:pStyle w:val="MVSTOC1"/>
      </w:pPr>
      <w:r>
        <w:rPr>
          <w:rFonts w:eastAsia="Calibri"/>
        </w:rPr>
        <w:t>9. EHCP delivery and annual review</w:t>
      </w:r>
    </w:p>
    <w:p w14:paraId="0947D111" w14:textId="77777777" w:rsidR="00EA0C36" w:rsidRDefault="00CD5DDA">
      <w:pPr>
        <w:pStyle w:val="MVSTOC1"/>
      </w:pPr>
      <w:r>
        <w:rPr>
          <w:rFonts w:eastAsia="Calibri"/>
        </w:rPr>
        <w:t>10. Equality and reasonable adjustments</w:t>
      </w:r>
    </w:p>
    <w:p w14:paraId="232C2C6E" w14:textId="77777777" w:rsidR="00EA0C36" w:rsidRDefault="00CD5DDA">
      <w:pPr>
        <w:pStyle w:val="MVSTOC1"/>
      </w:pPr>
      <w:r>
        <w:rPr>
          <w:rFonts w:eastAsia="Calibri"/>
        </w:rPr>
        <w:t>11. Pupil voice and communication</w:t>
      </w:r>
    </w:p>
    <w:p w14:paraId="70B134BA" w14:textId="77777777" w:rsidR="00EA0C36" w:rsidRDefault="00CD5DDA">
      <w:pPr>
        <w:pStyle w:val="MVSTOC1"/>
      </w:pPr>
      <w:r>
        <w:rPr>
          <w:rFonts w:eastAsia="Calibri"/>
        </w:rPr>
        <w:t>12. Parents and carers</w:t>
      </w:r>
    </w:p>
    <w:p w14:paraId="5940A952" w14:textId="77777777" w:rsidR="00EA0C36" w:rsidRDefault="00CD5DDA">
      <w:pPr>
        <w:pStyle w:val="MVSTOC1"/>
      </w:pPr>
      <w:r>
        <w:rPr>
          <w:rFonts w:eastAsia="Calibri"/>
        </w:rPr>
        <w:t>13. Safeguarding</w:t>
      </w:r>
    </w:p>
    <w:p w14:paraId="20ACA268" w14:textId="77777777" w:rsidR="00EA0C36" w:rsidRDefault="00CD5DDA">
      <w:pPr>
        <w:pStyle w:val="MVSTOC1"/>
      </w:pPr>
      <w:r>
        <w:rPr>
          <w:rFonts w:eastAsia="Calibri"/>
        </w:rPr>
        <w:t>14. Behaviour, attendance and exclusion risk</w:t>
      </w:r>
    </w:p>
    <w:p w14:paraId="19DF2DAD" w14:textId="77777777" w:rsidR="00EA0C36" w:rsidRDefault="00CD5DDA">
      <w:pPr>
        <w:pStyle w:val="MVSTOC1"/>
      </w:pPr>
      <w:r>
        <w:rPr>
          <w:rFonts w:eastAsia="Calibri"/>
        </w:rPr>
        <w:t>15. Health, therapy and multi-disciplinary working</w:t>
      </w:r>
    </w:p>
    <w:p w14:paraId="21E7FAAD" w14:textId="77777777" w:rsidR="00EA0C36" w:rsidRDefault="00CD5DDA">
      <w:pPr>
        <w:pStyle w:val="MVSTOC1"/>
      </w:pPr>
      <w:r>
        <w:rPr>
          <w:rFonts w:eastAsia="Calibri"/>
        </w:rPr>
        <w:t>16. Preparation for adulthood and transition</w:t>
      </w:r>
    </w:p>
    <w:p w14:paraId="5B88747F" w14:textId="77777777" w:rsidR="00EA0C36" w:rsidRDefault="00CD5DDA">
      <w:pPr>
        <w:pStyle w:val="MVSTOC1"/>
      </w:pPr>
      <w:r>
        <w:rPr>
          <w:rFonts w:eastAsia="Calibri"/>
        </w:rPr>
        <w:t>17. Workforce knowledge and supervision</w:t>
      </w:r>
    </w:p>
    <w:p w14:paraId="1CEA0814" w14:textId="77777777" w:rsidR="00EA0C36" w:rsidRDefault="00CD5DDA">
      <w:pPr>
        <w:pStyle w:val="MVSTOC1"/>
      </w:pPr>
      <w:r>
        <w:rPr>
          <w:rFonts w:eastAsia="Calibri"/>
        </w:rPr>
        <w:t>18. Records and information sharing</w:t>
      </w:r>
    </w:p>
    <w:p w14:paraId="594495DF" w14:textId="77777777" w:rsidR="00EA0C36" w:rsidRDefault="00CD5DDA">
      <w:pPr>
        <w:pStyle w:val="MVSTOC1"/>
      </w:pPr>
      <w:r>
        <w:rPr>
          <w:rFonts w:eastAsia="Calibri"/>
        </w:rPr>
        <w:t>19. Concerns and complaints</w:t>
      </w:r>
    </w:p>
    <w:p w14:paraId="3736651A" w14:textId="77777777" w:rsidR="00EA0C36" w:rsidRDefault="00CD5DDA">
      <w:pPr>
        <w:pStyle w:val="MVSTOC1"/>
      </w:pPr>
      <w:r>
        <w:rPr>
          <w:rFonts w:eastAsia="Calibri"/>
        </w:rPr>
        <w:t>20. Monitoring and review</w:t>
      </w:r>
    </w:p>
    <w:p w14:paraId="3CD16F29" w14:textId="77777777" w:rsidR="00EA0C36" w:rsidRDefault="00CD5DDA">
      <w:pPr>
        <w:pStyle w:val="MVSTOC1"/>
      </w:pPr>
      <w:r>
        <w:rPr>
          <w:rFonts w:eastAsia="Calibri"/>
          <w:b/>
          <w:color w:val="164B42"/>
        </w:rPr>
        <w:t>Appendix A. Assess-plan-do-review</w:t>
      </w:r>
    </w:p>
    <w:p w14:paraId="49A25422" w14:textId="77777777" w:rsidR="00EA0C36" w:rsidRDefault="00CD5DDA">
      <w:pPr>
        <w:pStyle w:val="MVSTOC1"/>
      </w:pPr>
      <w:r>
        <w:rPr>
          <w:rFonts w:eastAsia="Calibri"/>
          <w:b/>
          <w:color w:val="164B42"/>
        </w:rPr>
        <w:t>Appendix B. Minimum pupil evidence</w:t>
      </w:r>
    </w:p>
    <w:p w14:paraId="738266D4" w14:textId="77777777" w:rsidR="00EA0C36" w:rsidRDefault="00CD5DDA">
      <w:pPr>
        <w:pStyle w:val="MVSTOC1"/>
      </w:pPr>
      <w:r>
        <w:rPr>
          <w:rFonts w:eastAsia="Calibri"/>
          <w:b/>
          <w:color w:val="164B42"/>
        </w:rPr>
        <w:t>Appendix C. Annual review standard</w:t>
      </w:r>
    </w:p>
    <w:p w14:paraId="6CAFC1FB" w14:textId="77777777" w:rsidR="00EA0C36" w:rsidRDefault="00CD5DDA">
      <w:pPr>
        <w:pStyle w:val="MVSTOC1"/>
      </w:pPr>
      <w:r>
        <w:rPr>
          <w:rFonts w:eastAsia="Calibri"/>
          <w:b/>
          <w:color w:val="164B42"/>
        </w:rPr>
        <w:t>Appendix D. Compliance schedule</w:t>
      </w:r>
    </w:p>
    <w:p w14:paraId="2DB1BAD6" w14:textId="77777777" w:rsidR="00EA0C36" w:rsidRDefault="00CD5DDA">
      <w:pPr>
        <w:pStyle w:val="MVSTOC1"/>
      </w:pPr>
      <w:r>
        <w:rPr>
          <w:rFonts w:eastAsia="Calibri"/>
          <w:b/>
          <w:color w:val="164B42"/>
        </w:rPr>
        <w:t>Appendix E. References</w:t>
      </w:r>
    </w:p>
    <w:p w14:paraId="165978F0" w14:textId="77777777" w:rsidR="00EA0C36" w:rsidRDefault="00CD5DDA">
      <w:r>
        <w:br w:type="page"/>
      </w:r>
    </w:p>
    <w:p w14:paraId="018156D3" w14:textId="77777777" w:rsidR="00EA0C36" w:rsidRDefault="00CD5DDA">
      <w:pPr>
        <w:pStyle w:val="Heading1"/>
      </w:pPr>
      <w:r>
        <w:lastRenderedPageBreak/>
        <w:t>1. Purpose and policy commitments</w:t>
      </w:r>
    </w:p>
    <w:p w14:paraId="59EC82A4" w14:textId="77777777" w:rsidR="00EA0C36" w:rsidRDefault="00CD5DDA">
      <w:r>
        <w:rPr>
          <w:rFonts w:eastAsia="Calibri"/>
        </w:rPr>
        <w:t>This policy explains how MVS translates SEND law, equality duties, Education, Health and Care Plan (EHCP) provision and specialist practice into consistent day-to-day education. It is intended to be operational: staff should be able to use it to make decisions, evidence provision and challenge drift.</w:t>
      </w:r>
    </w:p>
    <w:p w14:paraId="615CAAF0" w14:textId="77777777" w:rsidR="00EA0C36" w:rsidRDefault="00CD5DDA">
      <w:r>
        <w:rPr>
          <w:rFonts w:eastAsia="Calibri"/>
        </w:rPr>
        <w:t>MVS will:</w:t>
      </w:r>
    </w:p>
    <w:p w14:paraId="3B16AAEE" w14:textId="77777777" w:rsidR="00EA0C36" w:rsidRDefault="00CD5DDA">
      <w:pPr>
        <w:pStyle w:val="MVSBullet"/>
        <w:numPr>
          <w:ilvl w:val="0"/>
          <w:numId w:val="1"/>
        </w:numPr>
      </w:pPr>
      <w:r>
        <w:rPr>
          <w:rFonts w:eastAsia="Calibri"/>
        </w:rPr>
        <w:t xml:space="preserve">place the pupil's views, wishes, feelings, strengths and aspirations at the </w:t>
      </w:r>
      <w:proofErr w:type="spellStart"/>
      <w:r>
        <w:rPr>
          <w:rFonts w:eastAsia="Calibri"/>
        </w:rPr>
        <w:t>centre</w:t>
      </w:r>
      <w:proofErr w:type="spellEnd"/>
      <w:r>
        <w:rPr>
          <w:rFonts w:eastAsia="Calibri"/>
        </w:rPr>
        <w:t xml:space="preserve"> of decisions;</w:t>
      </w:r>
    </w:p>
    <w:p w14:paraId="6FA83BF5" w14:textId="77777777" w:rsidR="00EA0C36" w:rsidRDefault="00CD5DDA">
      <w:pPr>
        <w:pStyle w:val="MVSBullet"/>
        <w:numPr>
          <w:ilvl w:val="0"/>
          <w:numId w:val="1"/>
        </w:numPr>
      </w:pPr>
      <w:r>
        <w:rPr>
          <w:rFonts w:eastAsia="Calibri"/>
        </w:rPr>
        <w:t>work in genuine partnership with parents, carers, local authorities and relevant health and social care professionals;</w:t>
      </w:r>
    </w:p>
    <w:p w14:paraId="24111B7E" w14:textId="77777777" w:rsidR="00EA0C36" w:rsidRDefault="00CD5DDA">
      <w:pPr>
        <w:pStyle w:val="MVSBullet"/>
        <w:numPr>
          <w:ilvl w:val="0"/>
          <w:numId w:val="1"/>
        </w:numPr>
      </w:pPr>
      <w:r>
        <w:rPr>
          <w:rFonts w:eastAsia="Calibri"/>
        </w:rPr>
        <w:t>deliver an ambitious curriculum and make the adjustments needed for meaningful access, participation and progress;</w:t>
      </w:r>
    </w:p>
    <w:p w14:paraId="3F58836B" w14:textId="77777777" w:rsidR="00EA0C36" w:rsidRDefault="00CD5DDA">
      <w:pPr>
        <w:pStyle w:val="MVSBullet"/>
        <w:numPr>
          <w:ilvl w:val="0"/>
          <w:numId w:val="1"/>
        </w:numPr>
      </w:pPr>
      <w:r>
        <w:rPr>
          <w:rFonts w:eastAsia="Calibri"/>
        </w:rPr>
        <w:t>translate each EHCP into clear provision, named responsibility, timetabled delivery and reviewable evidence;</w:t>
      </w:r>
    </w:p>
    <w:p w14:paraId="41B6871F" w14:textId="77777777" w:rsidR="00EA0C36" w:rsidRDefault="00CD5DDA">
      <w:pPr>
        <w:pStyle w:val="MVSBullet"/>
        <w:numPr>
          <w:ilvl w:val="0"/>
          <w:numId w:val="1"/>
        </w:numPr>
      </w:pPr>
      <w:r>
        <w:rPr>
          <w:rFonts w:eastAsia="Calibri"/>
        </w:rPr>
        <w:t>identify changes in need early and respond through assess-plan-do-review;</w:t>
      </w:r>
    </w:p>
    <w:p w14:paraId="126A95A5" w14:textId="77777777" w:rsidR="00EA0C36" w:rsidRDefault="00CD5DDA">
      <w:pPr>
        <w:pStyle w:val="MVSBullet"/>
        <w:numPr>
          <w:ilvl w:val="0"/>
          <w:numId w:val="1"/>
        </w:numPr>
      </w:pPr>
      <w:r>
        <w:rPr>
          <w:rFonts w:eastAsia="Calibri"/>
        </w:rPr>
        <w:t>use communication-informed, sensory-informed, trauma-informed and Positive Behaviour Support (PBS)-informed practice;</w:t>
      </w:r>
    </w:p>
    <w:p w14:paraId="1DFB8534" w14:textId="77777777" w:rsidR="00EA0C36" w:rsidRDefault="00CD5DDA">
      <w:pPr>
        <w:pStyle w:val="MVSBullet"/>
        <w:numPr>
          <w:ilvl w:val="0"/>
          <w:numId w:val="1"/>
        </w:numPr>
      </w:pPr>
      <w:r>
        <w:rPr>
          <w:rFonts w:eastAsia="Calibri"/>
        </w:rPr>
        <w:t>recognise behaviour, attendance and engagement patterns as information about need, safety and the learning environment;</w:t>
      </w:r>
    </w:p>
    <w:p w14:paraId="5531E073" w14:textId="77777777" w:rsidR="00EA0C36" w:rsidRDefault="00CD5DDA">
      <w:pPr>
        <w:pStyle w:val="MVSBullet"/>
        <w:numPr>
          <w:ilvl w:val="0"/>
          <w:numId w:val="1"/>
        </w:numPr>
      </w:pPr>
      <w:r>
        <w:rPr>
          <w:rFonts w:eastAsia="Calibri"/>
        </w:rPr>
        <w:t>prepare pupils for adult life, employment, community participation, relationships, health and increasing independence; and</w:t>
      </w:r>
    </w:p>
    <w:p w14:paraId="757C7D55" w14:textId="77777777" w:rsidR="00EA0C36" w:rsidRDefault="00CD5DDA">
      <w:pPr>
        <w:pStyle w:val="MVSBullet"/>
        <w:numPr>
          <w:ilvl w:val="0"/>
          <w:numId w:val="1"/>
        </w:numPr>
      </w:pPr>
      <w:r>
        <w:rPr>
          <w:rFonts w:eastAsia="Calibri"/>
        </w:rPr>
        <w:t>evaluate impact rather than equating support hours or activity with success.</w:t>
      </w:r>
    </w:p>
    <w:p w14:paraId="43E112C0" w14:textId="77777777" w:rsidR="00EA0C36" w:rsidRDefault="00CD5DDA">
      <w:pPr>
        <w:pStyle w:val="Heading1"/>
      </w:pPr>
      <w:r>
        <w:t>2. Scope, language and definitions</w:t>
      </w:r>
    </w:p>
    <w:p w14:paraId="2C9926BE" w14:textId="77777777" w:rsidR="00EA0C36" w:rsidRDefault="00CD5DDA">
      <w:pPr>
        <w:pStyle w:val="Heading2"/>
      </w:pPr>
      <w:r>
        <w:t>2.1 Special educational needs</w:t>
      </w:r>
    </w:p>
    <w:p w14:paraId="0A701C72" w14:textId="77777777" w:rsidR="00EA0C36" w:rsidRDefault="00CD5DDA">
      <w:r>
        <w:rPr>
          <w:rFonts w:eastAsia="Calibri"/>
        </w:rPr>
        <w:t>A child or young person has special educational needs where they have a learning difficulty or disability that calls for special educational provision. For pupils of compulsory school age, this includes significantly greater difficulty in learning than most others of the same age, or a disability that prevents or hinders use of facilities generally provided for others of the same age.</w:t>
      </w:r>
    </w:p>
    <w:p w14:paraId="09FFF797" w14:textId="77777777" w:rsidR="00EA0C36" w:rsidRDefault="00CD5DDA">
      <w:pPr>
        <w:pStyle w:val="Heading2"/>
      </w:pPr>
      <w:r>
        <w:t>2.2 Disability</w:t>
      </w:r>
    </w:p>
    <w:p w14:paraId="3BCA1BD8" w14:textId="77777777" w:rsidR="00EA0C36" w:rsidRDefault="00CD5DDA">
      <w:r>
        <w:rPr>
          <w:rFonts w:eastAsia="Calibri"/>
        </w:rPr>
        <w:t>A person is disabled under the Equality Act 2010 where they have a physical or mental impairment with a substantial and long-term adverse effect on their ability to carry out normal day-to-day activities. A pupil may be disabled without having SEN, have SEN without meeting the disability definition, or meet both definitions.</w:t>
      </w:r>
    </w:p>
    <w:p w14:paraId="539B0BF4" w14:textId="77777777" w:rsidR="00EA0C36" w:rsidRDefault="00CD5DDA">
      <w:pPr>
        <w:pStyle w:val="Heading2"/>
      </w:pPr>
      <w:r>
        <w:lastRenderedPageBreak/>
        <w:t>2.3 Four broad areas of need</w:t>
      </w:r>
    </w:p>
    <w:p w14:paraId="7E266B59" w14:textId="77777777" w:rsidR="00EA0C36" w:rsidRDefault="00CD5DDA">
      <w:r>
        <w:rPr>
          <w:rFonts w:eastAsia="Calibri"/>
        </w:rPr>
        <w:t>MVS uses the SEND Code of Practice's four broad areas - communication and interaction; cognition and learning; social, emotional and mental health; and sensory and/or physical needs - as prompts for whole-person assessment. They are not diagnoses, eligibility gates or fixed labels. Needs commonly overlap and change over time.</w:t>
      </w:r>
    </w:p>
    <w:p w14:paraId="22F14220" w14:textId="77777777" w:rsidR="00EA0C36" w:rsidRDefault="00CD5DDA">
      <w:pPr>
        <w:pStyle w:val="Heading2"/>
      </w:pPr>
      <w:r>
        <w:t>2.4 Language</w:t>
      </w:r>
    </w:p>
    <w:p w14:paraId="1C8284CB" w14:textId="77777777" w:rsidR="00EA0C36" w:rsidRDefault="00CD5DDA">
      <w:r>
        <w:rPr>
          <w:rFonts w:eastAsia="Calibri"/>
        </w:rPr>
        <w:t>In this policy, 'pupil' includes a young person on roll; 'parent' includes carers and others with parental responsibility; and 'provision' includes teaching, interventions, therapy-informed work, environmental adjustments, communication support, pastoral support and preparation for adulthood. MVS uses respectful, person-</w:t>
      </w:r>
      <w:proofErr w:type="spellStart"/>
      <w:r>
        <w:rPr>
          <w:rFonts w:eastAsia="Calibri"/>
        </w:rPr>
        <w:t>centred</w:t>
      </w:r>
      <w:proofErr w:type="spellEnd"/>
      <w:r>
        <w:rPr>
          <w:rFonts w:eastAsia="Calibri"/>
        </w:rPr>
        <w:t xml:space="preserve"> language and </w:t>
      </w:r>
      <w:proofErr w:type="spellStart"/>
      <w:r>
        <w:rPr>
          <w:rFonts w:eastAsia="Calibri"/>
        </w:rPr>
        <w:t>honours</w:t>
      </w:r>
      <w:proofErr w:type="spellEnd"/>
      <w:r>
        <w:rPr>
          <w:rFonts w:eastAsia="Calibri"/>
        </w:rPr>
        <w:t xml:space="preserve"> an individual's stated language preferences.</w:t>
      </w:r>
    </w:p>
    <w:p w14:paraId="562D17F1" w14:textId="77777777" w:rsidR="00EA0C36" w:rsidRDefault="00CD5DDA">
      <w:pPr>
        <w:pStyle w:val="Heading1"/>
      </w:pPr>
      <w:r>
        <w:t>3. Legal and regulatory framework</w:t>
      </w:r>
    </w:p>
    <w:p w14:paraId="1AFC5B3C" w14:textId="77777777" w:rsidR="00EA0C36" w:rsidRDefault="00CD5DDA">
      <w:r>
        <w:rPr>
          <w:rFonts w:eastAsia="Calibri"/>
        </w:rPr>
        <w:t>The policy should be read alongside the latest versions of the following legislation and guidance. The reference schedule in Appendix E contains live official links.</w:t>
      </w:r>
    </w:p>
    <w:p w14:paraId="5E44C8BD" w14:textId="77777777" w:rsidR="00EA0C36" w:rsidRDefault="00CD5DDA">
      <w:pPr>
        <w:pStyle w:val="MVSBullet"/>
        <w:numPr>
          <w:ilvl w:val="0"/>
          <w:numId w:val="1"/>
        </w:numPr>
      </w:pPr>
      <w:r>
        <w:rPr>
          <w:rFonts w:eastAsia="Calibri"/>
        </w:rPr>
        <w:t>Children and Families Act 2014, Part 3, including the participation principles and the statutory EHCP framework;</w:t>
      </w:r>
    </w:p>
    <w:p w14:paraId="0FD5E07E" w14:textId="77777777" w:rsidR="00EA0C36" w:rsidRDefault="00CD5DDA">
      <w:pPr>
        <w:pStyle w:val="MVSBullet"/>
        <w:numPr>
          <w:ilvl w:val="0"/>
          <w:numId w:val="1"/>
        </w:numPr>
      </w:pPr>
      <w:r>
        <w:rPr>
          <w:rFonts w:eastAsia="Calibri"/>
        </w:rPr>
        <w:t>Special Educational Needs and Disability Regulations 2014;</w:t>
      </w:r>
    </w:p>
    <w:p w14:paraId="1B11EF7B" w14:textId="77777777" w:rsidR="00EA0C36" w:rsidRDefault="00CD5DDA">
      <w:pPr>
        <w:pStyle w:val="MVSBullet"/>
        <w:numPr>
          <w:ilvl w:val="0"/>
          <w:numId w:val="1"/>
        </w:numPr>
      </w:pPr>
      <w:r>
        <w:rPr>
          <w:rFonts w:eastAsia="Calibri"/>
        </w:rPr>
        <w:t>Special educational needs and disability code of practice: 0 to 25 years;</w:t>
      </w:r>
    </w:p>
    <w:p w14:paraId="1A1D13E2" w14:textId="77777777" w:rsidR="00EA0C36" w:rsidRDefault="00CD5DDA">
      <w:pPr>
        <w:pStyle w:val="MVSBullet"/>
        <w:numPr>
          <w:ilvl w:val="0"/>
          <w:numId w:val="1"/>
        </w:numPr>
      </w:pPr>
      <w:r>
        <w:rPr>
          <w:rFonts w:eastAsia="Calibri"/>
        </w:rPr>
        <w:t>Equality Act 2010, including non-discrimination, reasonable-adjustment and accessibility-planning duties;</w:t>
      </w:r>
    </w:p>
    <w:p w14:paraId="6890828A" w14:textId="77777777" w:rsidR="00EA0C36" w:rsidRDefault="00CD5DDA">
      <w:pPr>
        <w:pStyle w:val="MVSBullet"/>
        <w:numPr>
          <w:ilvl w:val="0"/>
          <w:numId w:val="1"/>
        </w:numPr>
      </w:pPr>
      <w:r>
        <w:rPr>
          <w:rFonts w:eastAsia="Calibri"/>
        </w:rPr>
        <w:t>Education (Independent School Standards) Regulations 2014 and current DfE standards guidance;</w:t>
      </w:r>
    </w:p>
    <w:p w14:paraId="0AECE63E" w14:textId="77777777" w:rsidR="00EA0C36" w:rsidRDefault="00CD5DDA">
      <w:pPr>
        <w:pStyle w:val="MVSBullet"/>
        <w:numPr>
          <w:ilvl w:val="0"/>
          <w:numId w:val="1"/>
        </w:numPr>
      </w:pPr>
      <w:r>
        <w:rPr>
          <w:rFonts w:eastAsia="Calibri"/>
        </w:rPr>
        <w:t>Keeping Children Safe in Education 2026 and Working Together to Safeguard Children 2026;</w:t>
      </w:r>
    </w:p>
    <w:p w14:paraId="3D498089" w14:textId="77777777" w:rsidR="00EA0C36" w:rsidRDefault="00CD5DDA">
      <w:pPr>
        <w:pStyle w:val="MVSBullet"/>
        <w:numPr>
          <w:ilvl w:val="0"/>
          <w:numId w:val="1"/>
        </w:numPr>
      </w:pPr>
      <w:r>
        <w:rPr>
          <w:rFonts w:eastAsia="Calibri"/>
        </w:rPr>
        <w:t>Children Acts 1989 and 2004, Human Rights Act 1998, UK GDPR and Data Protection Act 2018; and</w:t>
      </w:r>
    </w:p>
    <w:p w14:paraId="47D4E175" w14:textId="77777777" w:rsidR="00EA0C36" w:rsidRDefault="00CD5DDA">
      <w:pPr>
        <w:pStyle w:val="MVSBullet"/>
        <w:numPr>
          <w:ilvl w:val="0"/>
          <w:numId w:val="1"/>
        </w:numPr>
      </w:pPr>
      <w:r>
        <w:rPr>
          <w:rFonts w:eastAsia="Calibri"/>
        </w:rPr>
        <w:t>Mental Capacity Act 2005 for relevant decisions involving young people aged 16 and over.</w:t>
      </w:r>
    </w:p>
    <w:tbl>
      <w:tblPr>
        <w:tblW w:w="9360" w:type="dxa"/>
        <w:tblInd w:w="120" w:type="dxa"/>
        <w:tblBorders>
          <w:top w:val="single" w:sz="6" w:space="0" w:color="D5DADF"/>
          <w:left w:val="single" w:sz="6" w:space="0" w:color="D5DADF"/>
          <w:bottom w:val="single" w:sz="6" w:space="0" w:color="D5DADF"/>
          <w:right w:val="single" w:sz="6" w:space="0" w:color="D5DADF"/>
          <w:insideH w:val="single" w:sz="6" w:space="0" w:color="D5DADF"/>
          <w:insideV w:val="single" w:sz="6" w:space="0" w:color="D5DADF"/>
        </w:tblBorders>
        <w:tblLayout w:type="fixed"/>
        <w:tblLook w:val="04A0" w:firstRow="1" w:lastRow="0" w:firstColumn="1" w:lastColumn="0" w:noHBand="0" w:noVBand="1"/>
      </w:tblPr>
      <w:tblGrid>
        <w:gridCol w:w="9360"/>
      </w:tblGrid>
      <w:tr w:rsidR="00EA0C36" w14:paraId="4A92E33E" w14:textId="77777777">
        <w:trPr>
          <w:cantSplit/>
        </w:trPr>
        <w:tc>
          <w:tcPr>
            <w:tcW w:w="9360" w:type="dxa"/>
            <w:tcBorders>
              <w:left w:val="single" w:sz="22" w:space="0" w:color="164B42"/>
            </w:tcBorders>
            <w:shd w:val="clear" w:color="auto" w:fill="EAF2EF"/>
            <w:tcMar>
              <w:top w:w="80" w:type="dxa"/>
              <w:left w:w="120" w:type="dxa"/>
              <w:bottom w:w="80" w:type="dxa"/>
              <w:right w:w="120" w:type="dxa"/>
            </w:tcMar>
            <w:vAlign w:val="center"/>
          </w:tcPr>
          <w:p w14:paraId="4CDA2F9A" w14:textId="77777777" w:rsidR="00EA0C36" w:rsidRDefault="00CD5DDA">
            <w:pPr>
              <w:spacing w:after="40"/>
            </w:pPr>
            <w:r>
              <w:rPr>
                <w:rFonts w:eastAsia="Calibri"/>
                <w:b/>
                <w:caps/>
                <w:color w:val="164B42"/>
                <w:sz w:val="18"/>
              </w:rPr>
              <w:t>COMPLIANCE RULE</w:t>
            </w:r>
          </w:p>
          <w:p w14:paraId="69610893" w14:textId="77777777" w:rsidR="00EA0C36" w:rsidRDefault="00CD5DDA">
            <w:pPr>
              <w:spacing w:after="0" w:line="269" w:lineRule="auto"/>
            </w:pPr>
            <w:r>
              <w:rPr>
                <w:rFonts w:eastAsia="Calibri"/>
                <w:sz w:val="20"/>
              </w:rPr>
              <w:t xml:space="preserve">The policy must be read with MVS's Safeguarding, Admissions, Curriculum, Assessment, Behaviour/PBS, Anti-bullying, Attendance, Accessibility, Equality, Medical Needs, Personal Care, Data Protection and Complaints policies. Where documents conflict, the law and current statutory guidance take </w:t>
            </w:r>
            <w:proofErr w:type="gramStart"/>
            <w:r>
              <w:rPr>
                <w:rFonts w:eastAsia="Calibri"/>
                <w:sz w:val="20"/>
              </w:rPr>
              <w:t>priority</w:t>
            </w:r>
            <w:proofErr w:type="gramEnd"/>
            <w:r>
              <w:rPr>
                <w:rFonts w:eastAsia="Calibri"/>
                <w:sz w:val="20"/>
              </w:rPr>
              <w:t xml:space="preserve"> and the policy owner must arrange prompt correction.</w:t>
            </w:r>
          </w:p>
        </w:tc>
      </w:tr>
    </w:tbl>
    <w:p w14:paraId="00249453" w14:textId="77777777" w:rsidR="00EA0C36" w:rsidRDefault="00EA0C36">
      <w:pPr>
        <w:spacing w:after="0"/>
      </w:pPr>
    </w:p>
    <w:p w14:paraId="165ADC9E" w14:textId="77777777" w:rsidR="00EA0C36" w:rsidRDefault="00CD5DDA">
      <w:r>
        <w:br w:type="page"/>
      </w:r>
    </w:p>
    <w:p w14:paraId="36CE502C" w14:textId="77777777" w:rsidR="00EA0C36" w:rsidRDefault="00CD5DDA">
      <w:pPr>
        <w:pStyle w:val="Heading1"/>
      </w:pPr>
      <w:r>
        <w:lastRenderedPageBreak/>
        <w:t>4. The MVS SEND model</w:t>
      </w:r>
    </w:p>
    <w:p w14:paraId="23E687BA" w14:textId="77777777" w:rsidR="00EA0C36" w:rsidRDefault="00CD5DDA">
      <w:r>
        <w:rPr>
          <w:rFonts w:eastAsia="Calibri"/>
        </w:rPr>
        <w:t xml:space="preserve">MVS is a specialist setting. All pupils are expected to arrive with identified </w:t>
      </w:r>
      <w:proofErr w:type="gramStart"/>
      <w:r>
        <w:rPr>
          <w:rFonts w:eastAsia="Calibri"/>
        </w:rPr>
        <w:t>SEND</w:t>
      </w:r>
      <w:proofErr w:type="gramEnd"/>
      <w:r>
        <w:rPr>
          <w:rFonts w:eastAsia="Calibri"/>
        </w:rPr>
        <w:t xml:space="preserve"> and most placements will be commissioned through an EHCP. This does not remove the need for continuing assessment. Identification at MVS means refining the pupil's current profile, noticing unmet or changing need, testing hypotheses and matching provision more precisely.</w:t>
      </w:r>
    </w:p>
    <w:tbl>
      <w:tblPr>
        <w:tblW w:w="9360" w:type="dxa"/>
        <w:tblInd w:w="120" w:type="dxa"/>
        <w:tblBorders>
          <w:top w:val="single" w:sz="6" w:space="0" w:color="D5DADF"/>
          <w:left w:val="single" w:sz="6" w:space="0" w:color="D5DADF"/>
          <w:bottom w:val="single" w:sz="6" w:space="0" w:color="D5DADF"/>
          <w:right w:val="single" w:sz="6" w:space="0" w:color="D5DADF"/>
          <w:insideH w:val="single" w:sz="6" w:space="0" w:color="D5DADF"/>
          <w:insideV w:val="single" w:sz="6" w:space="0" w:color="D5DADF"/>
        </w:tblBorders>
        <w:tblLayout w:type="fixed"/>
        <w:tblLook w:val="04A0" w:firstRow="1" w:lastRow="0" w:firstColumn="1" w:lastColumn="0" w:noHBand="0" w:noVBand="1"/>
      </w:tblPr>
      <w:tblGrid>
        <w:gridCol w:w="1900"/>
        <w:gridCol w:w="2600"/>
        <w:gridCol w:w="4860"/>
      </w:tblGrid>
      <w:tr w:rsidR="00EA0C36" w14:paraId="046D8553" w14:textId="77777777">
        <w:trPr>
          <w:cantSplit/>
          <w:tblHeader/>
        </w:trPr>
        <w:tc>
          <w:tcPr>
            <w:tcW w:w="1900" w:type="dxa"/>
            <w:shd w:val="clear" w:color="auto" w:fill="164B42"/>
            <w:tcMar>
              <w:top w:w="80" w:type="dxa"/>
              <w:left w:w="120" w:type="dxa"/>
              <w:bottom w:w="80" w:type="dxa"/>
              <w:right w:w="120" w:type="dxa"/>
            </w:tcMar>
            <w:vAlign w:val="center"/>
          </w:tcPr>
          <w:p w14:paraId="5DF1AB28" w14:textId="77777777" w:rsidR="00EA0C36" w:rsidRDefault="00CD5DDA">
            <w:pPr>
              <w:spacing w:after="0"/>
            </w:pPr>
            <w:r>
              <w:rPr>
                <w:rFonts w:eastAsia="Calibri"/>
                <w:b/>
                <w:color w:val="FFFFFF"/>
                <w:sz w:val="18"/>
              </w:rPr>
              <w:t>Layer</w:t>
            </w:r>
          </w:p>
        </w:tc>
        <w:tc>
          <w:tcPr>
            <w:tcW w:w="2600" w:type="dxa"/>
            <w:shd w:val="clear" w:color="auto" w:fill="164B42"/>
            <w:tcMar>
              <w:top w:w="80" w:type="dxa"/>
              <w:left w:w="120" w:type="dxa"/>
              <w:bottom w:w="80" w:type="dxa"/>
              <w:right w:w="120" w:type="dxa"/>
            </w:tcMar>
            <w:vAlign w:val="center"/>
          </w:tcPr>
          <w:p w14:paraId="1B400D67" w14:textId="77777777" w:rsidR="00EA0C36" w:rsidRDefault="00CD5DDA">
            <w:pPr>
              <w:spacing w:after="0"/>
            </w:pPr>
            <w:r>
              <w:rPr>
                <w:rFonts w:eastAsia="Calibri"/>
                <w:b/>
                <w:color w:val="FFFFFF"/>
                <w:sz w:val="18"/>
              </w:rPr>
              <w:t>Purpose</w:t>
            </w:r>
          </w:p>
        </w:tc>
        <w:tc>
          <w:tcPr>
            <w:tcW w:w="4860" w:type="dxa"/>
            <w:shd w:val="clear" w:color="auto" w:fill="164B42"/>
            <w:tcMar>
              <w:top w:w="80" w:type="dxa"/>
              <w:left w:w="120" w:type="dxa"/>
              <w:bottom w:w="80" w:type="dxa"/>
              <w:right w:w="120" w:type="dxa"/>
            </w:tcMar>
            <w:vAlign w:val="center"/>
          </w:tcPr>
          <w:p w14:paraId="034EE32A" w14:textId="77777777" w:rsidR="00EA0C36" w:rsidRDefault="00CD5DDA">
            <w:pPr>
              <w:spacing w:after="0"/>
            </w:pPr>
            <w:r>
              <w:rPr>
                <w:rFonts w:eastAsia="Calibri"/>
                <w:b/>
                <w:color w:val="FFFFFF"/>
                <w:sz w:val="18"/>
              </w:rPr>
              <w:t>Typical MVS practice</w:t>
            </w:r>
          </w:p>
        </w:tc>
      </w:tr>
      <w:tr w:rsidR="00EA0C36" w14:paraId="10EBE8EC" w14:textId="77777777">
        <w:trPr>
          <w:cantSplit/>
        </w:trPr>
        <w:tc>
          <w:tcPr>
            <w:tcW w:w="1900" w:type="dxa"/>
            <w:tcMar>
              <w:top w:w="80" w:type="dxa"/>
              <w:left w:w="120" w:type="dxa"/>
              <w:bottom w:w="80" w:type="dxa"/>
              <w:right w:w="120" w:type="dxa"/>
            </w:tcMar>
            <w:vAlign w:val="center"/>
          </w:tcPr>
          <w:p w14:paraId="78A06411" w14:textId="77777777" w:rsidR="00EA0C36" w:rsidRDefault="00CD5DDA">
            <w:pPr>
              <w:spacing w:after="0" w:line="252" w:lineRule="auto"/>
            </w:pPr>
            <w:r>
              <w:rPr>
                <w:rFonts w:eastAsia="Calibri"/>
                <w:b/>
                <w:color w:val="164B42"/>
                <w:sz w:val="17"/>
              </w:rPr>
              <w:t>Universal specialist provision</w:t>
            </w:r>
          </w:p>
        </w:tc>
        <w:tc>
          <w:tcPr>
            <w:tcW w:w="2600" w:type="dxa"/>
            <w:tcMar>
              <w:top w:w="80" w:type="dxa"/>
              <w:left w:w="120" w:type="dxa"/>
              <w:bottom w:w="80" w:type="dxa"/>
              <w:right w:w="120" w:type="dxa"/>
            </w:tcMar>
            <w:vAlign w:val="center"/>
          </w:tcPr>
          <w:p w14:paraId="3C2BE9BC" w14:textId="77777777" w:rsidR="00EA0C36" w:rsidRDefault="00CD5DDA">
            <w:pPr>
              <w:spacing w:after="0" w:line="252" w:lineRule="auto"/>
            </w:pPr>
            <w:r>
              <w:rPr>
                <w:rFonts w:eastAsia="Calibri"/>
                <w:sz w:val="17"/>
              </w:rPr>
              <w:t>Creates predictable access for every pupil.</w:t>
            </w:r>
          </w:p>
        </w:tc>
        <w:tc>
          <w:tcPr>
            <w:tcW w:w="4860" w:type="dxa"/>
            <w:tcMar>
              <w:top w:w="80" w:type="dxa"/>
              <w:left w:w="120" w:type="dxa"/>
              <w:bottom w:w="80" w:type="dxa"/>
              <w:right w:w="120" w:type="dxa"/>
            </w:tcMar>
            <w:vAlign w:val="center"/>
          </w:tcPr>
          <w:p w14:paraId="7BB2AEE1" w14:textId="77777777" w:rsidR="00EA0C36" w:rsidRDefault="00CD5DDA">
            <w:pPr>
              <w:spacing w:after="0" w:line="252" w:lineRule="auto"/>
            </w:pPr>
            <w:r>
              <w:rPr>
                <w:rFonts w:eastAsia="Calibri"/>
                <w:sz w:val="17"/>
              </w:rPr>
              <w:t xml:space="preserve">Small-group teaching; structured routines; visual and communication </w:t>
            </w:r>
            <w:proofErr w:type="gramStart"/>
            <w:r>
              <w:rPr>
                <w:rFonts w:eastAsia="Calibri"/>
                <w:sz w:val="17"/>
              </w:rPr>
              <w:t>supports</w:t>
            </w:r>
            <w:proofErr w:type="gramEnd"/>
            <w:r>
              <w:rPr>
                <w:rFonts w:eastAsia="Calibri"/>
                <w:sz w:val="17"/>
              </w:rPr>
              <w:t>; regulation-aware environments; explicit literacy, numeracy and personal development; relational practice.</w:t>
            </w:r>
          </w:p>
        </w:tc>
      </w:tr>
      <w:tr w:rsidR="00EA0C36" w14:paraId="703529BA" w14:textId="77777777">
        <w:trPr>
          <w:cantSplit/>
        </w:trPr>
        <w:tc>
          <w:tcPr>
            <w:tcW w:w="1900" w:type="dxa"/>
            <w:shd w:val="clear" w:color="auto" w:fill="FAFBFC"/>
            <w:tcMar>
              <w:top w:w="80" w:type="dxa"/>
              <w:left w:w="120" w:type="dxa"/>
              <w:bottom w:w="80" w:type="dxa"/>
              <w:right w:w="120" w:type="dxa"/>
            </w:tcMar>
            <w:vAlign w:val="center"/>
          </w:tcPr>
          <w:p w14:paraId="455370E3" w14:textId="77777777" w:rsidR="00EA0C36" w:rsidRDefault="00CD5DDA">
            <w:pPr>
              <w:spacing w:after="0" w:line="252" w:lineRule="auto"/>
            </w:pPr>
            <w:r>
              <w:rPr>
                <w:rFonts w:eastAsia="Calibri"/>
                <w:b/>
                <w:color w:val="164B42"/>
                <w:sz w:val="17"/>
              </w:rPr>
              <w:t>Targeted provision</w:t>
            </w:r>
          </w:p>
        </w:tc>
        <w:tc>
          <w:tcPr>
            <w:tcW w:w="2600" w:type="dxa"/>
            <w:shd w:val="clear" w:color="auto" w:fill="FAFBFC"/>
            <w:tcMar>
              <w:top w:w="80" w:type="dxa"/>
              <w:left w:w="120" w:type="dxa"/>
              <w:bottom w:w="80" w:type="dxa"/>
              <w:right w:w="120" w:type="dxa"/>
            </w:tcMar>
            <w:vAlign w:val="center"/>
          </w:tcPr>
          <w:p w14:paraId="2D1E956C" w14:textId="77777777" w:rsidR="00EA0C36" w:rsidRDefault="00CD5DDA">
            <w:pPr>
              <w:spacing w:after="0" w:line="252" w:lineRule="auto"/>
            </w:pPr>
            <w:r>
              <w:rPr>
                <w:rFonts w:eastAsia="Calibri"/>
                <w:sz w:val="17"/>
              </w:rPr>
              <w:t>Responds to a defined barrier or outcome.</w:t>
            </w:r>
          </w:p>
        </w:tc>
        <w:tc>
          <w:tcPr>
            <w:tcW w:w="4860" w:type="dxa"/>
            <w:shd w:val="clear" w:color="auto" w:fill="FAFBFC"/>
            <w:tcMar>
              <w:top w:w="80" w:type="dxa"/>
              <w:left w:w="120" w:type="dxa"/>
              <w:bottom w:w="80" w:type="dxa"/>
              <w:right w:w="120" w:type="dxa"/>
            </w:tcMar>
            <w:vAlign w:val="center"/>
          </w:tcPr>
          <w:p w14:paraId="09572BBA" w14:textId="77777777" w:rsidR="00EA0C36" w:rsidRDefault="00CD5DDA">
            <w:pPr>
              <w:spacing w:after="0" w:line="252" w:lineRule="auto"/>
            </w:pPr>
            <w:r>
              <w:rPr>
                <w:rFonts w:eastAsia="Calibri"/>
                <w:sz w:val="17"/>
              </w:rPr>
              <w:t>Time-limited or reviewed intervention; focused communication, literacy, numeracy, emotional regulation, social understanding, independence or attendance support.</w:t>
            </w:r>
          </w:p>
        </w:tc>
      </w:tr>
      <w:tr w:rsidR="00EA0C36" w14:paraId="18EE0694" w14:textId="77777777">
        <w:trPr>
          <w:cantSplit/>
        </w:trPr>
        <w:tc>
          <w:tcPr>
            <w:tcW w:w="1900" w:type="dxa"/>
            <w:tcMar>
              <w:top w:w="80" w:type="dxa"/>
              <w:left w:w="120" w:type="dxa"/>
              <w:bottom w:w="80" w:type="dxa"/>
              <w:right w:w="120" w:type="dxa"/>
            </w:tcMar>
            <w:vAlign w:val="center"/>
          </w:tcPr>
          <w:p w14:paraId="428EB663" w14:textId="77777777" w:rsidR="00EA0C36" w:rsidRDefault="00CD5DDA">
            <w:pPr>
              <w:spacing w:after="0" w:line="252" w:lineRule="auto"/>
            </w:pPr>
            <w:r>
              <w:rPr>
                <w:rFonts w:eastAsia="Calibri"/>
                <w:b/>
                <w:color w:val="164B42"/>
                <w:sz w:val="17"/>
              </w:rPr>
              <w:t>Individual / specialist provision</w:t>
            </w:r>
          </w:p>
        </w:tc>
        <w:tc>
          <w:tcPr>
            <w:tcW w:w="2600" w:type="dxa"/>
            <w:tcMar>
              <w:top w:w="80" w:type="dxa"/>
              <w:left w:w="120" w:type="dxa"/>
              <w:bottom w:w="80" w:type="dxa"/>
              <w:right w:w="120" w:type="dxa"/>
            </w:tcMar>
            <w:vAlign w:val="center"/>
          </w:tcPr>
          <w:p w14:paraId="77F7CA81" w14:textId="77777777" w:rsidR="00EA0C36" w:rsidRDefault="00CD5DDA">
            <w:pPr>
              <w:spacing w:after="0" w:line="252" w:lineRule="auto"/>
            </w:pPr>
            <w:r>
              <w:rPr>
                <w:rFonts w:eastAsia="Calibri"/>
                <w:sz w:val="17"/>
              </w:rPr>
              <w:t>Secures provision particular to the pupil's EHCP, risks or clinical formulation.</w:t>
            </w:r>
          </w:p>
        </w:tc>
        <w:tc>
          <w:tcPr>
            <w:tcW w:w="4860" w:type="dxa"/>
            <w:tcMar>
              <w:top w:w="80" w:type="dxa"/>
              <w:left w:w="120" w:type="dxa"/>
              <w:bottom w:w="80" w:type="dxa"/>
              <w:right w:w="120" w:type="dxa"/>
            </w:tcMar>
            <w:vAlign w:val="center"/>
          </w:tcPr>
          <w:p w14:paraId="7820AF32" w14:textId="77777777" w:rsidR="00EA0C36" w:rsidRDefault="00CD5DDA">
            <w:pPr>
              <w:spacing w:after="0" w:line="252" w:lineRule="auto"/>
            </w:pPr>
            <w:r>
              <w:rPr>
                <w:rFonts w:eastAsia="Calibri"/>
                <w:sz w:val="17"/>
              </w:rPr>
              <w:t>Individual teaching or support; specialist assessment; therapy; personalised communication system; sensory programme; health or personal-care plan; enhanced transition or risk plan.</w:t>
            </w:r>
          </w:p>
        </w:tc>
      </w:tr>
    </w:tbl>
    <w:p w14:paraId="7E7F2784" w14:textId="77777777" w:rsidR="00EA0C36" w:rsidRDefault="00EA0C36">
      <w:pPr>
        <w:spacing w:after="0"/>
      </w:pPr>
    </w:p>
    <w:p w14:paraId="6F1BE54B" w14:textId="77777777" w:rsidR="00EA0C36" w:rsidRDefault="00CD5DDA">
      <w:r>
        <w:rPr>
          <w:rFonts w:eastAsia="Calibri"/>
        </w:rPr>
        <w:t>Support is not allocated solely by diagnosis, funding band or historical staffing pattern. Decisions draw on the EHCP, current assessment, pupil and family voice, direct observation, risk information, professional advice, cohort context and evidence of what helps the pupil learn and participate.</w:t>
      </w:r>
    </w:p>
    <w:p w14:paraId="1C384F48" w14:textId="77777777" w:rsidR="00EA0C36" w:rsidRDefault="00CD5DDA">
      <w:pPr>
        <w:pStyle w:val="Heading1"/>
      </w:pPr>
      <w:r>
        <w:t>5. Leadership, governance and responsibilities</w:t>
      </w:r>
    </w:p>
    <w:tbl>
      <w:tblPr>
        <w:tblW w:w="9360" w:type="dxa"/>
        <w:tblInd w:w="120" w:type="dxa"/>
        <w:tblBorders>
          <w:top w:val="single" w:sz="6" w:space="0" w:color="D5DADF"/>
          <w:left w:val="single" w:sz="6" w:space="0" w:color="D5DADF"/>
          <w:bottom w:val="single" w:sz="6" w:space="0" w:color="D5DADF"/>
          <w:right w:val="single" w:sz="6" w:space="0" w:color="D5DADF"/>
          <w:insideH w:val="single" w:sz="6" w:space="0" w:color="D5DADF"/>
          <w:insideV w:val="single" w:sz="6" w:space="0" w:color="D5DADF"/>
        </w:tblBorders>
        <w:tblLayout w:type="fixed"/>
        <w:tblLook w:val="04A0" w:firstRow="1" w:lastRow="0" w:firstColumn="1" w:lastColumn="0" w:noHBand="0" w:noVBand="1"/>
      </w:tblPr>
      <w:tblGrid>
        <w:gridCol w:w="2250"/>
        <w:gridCol w:w="7110"/>
      </w:tblGrid>
      <w:tr w:rsidR="00EA0C36" w14:paraId="789E5162" w14:textId="77777777">
        <w:trPr>
          <w:cantSplit/>
          <w:tblHeader/>
        </w:trPr>
        <w:tc>
          <w:tcPr>
            <w:tcW w:w="2250" w:type="dxa"/>
            <w:shd w:val="clear" w:color="auto" w:fill="193B5A"/>
            <w:tcMar>
              <w:top w:w="80" w:type="dxa"/>
              <w:left w:w="120" w:type="dxa"/>
              <w:bottom w:w="80" w:type="dxa"/>
              <w:right w:w="120" w:type="dxa"/>
            </w:tcMar>
            <w:vAlign w:val="center"/>
          </w:tcPr>
          <w:p w14:paraId="37463953" w14:textId="77777777" w:rsidR="00EA0C36" w:rsidRDefault="00CD5DDA">
            <w:pPr>
              <w:spacing w:after="0"/>
            </w:pPr>
            <w:r>
              <w:rPr>
                <w:rFonts w:eastAsia="Calibri"/>
                <w:b/>
                <w:color w:val="FFFFFF"/>
                <w:sz w:val="18"/>
              </w:rPr>
              <w:t>Role</w:t>
            </w:r>
          </w:p>
        </w:tc>
        <w:tc>
          <w:tcPr>
            <w:tcW w:w="7110" w:type="dxa"/>
            <w:shd w:val="clear" w:color="auto" w:fill="193B5A"/>
            <w:tcMar>
              <w:top w:w="80" w:type="dxa"/>
              <w:left w:w="120" w:type="dxa"/>
              <w:bottom w:w="80" w:type="dxa"/>
              <w:right w:w="120" w:type="dxa"/>
            </w:tcMar>
            <w:vAlign w:val="center"/>
          </w:tcPr>
          <w:p w14:paraId="1C11F986" w14:textId="77777777" w:rsidR="00EA0C36" w:rsidRDefault="00CD5DDA">
            <w:pPr>
              <w:spacing w:after="0"/>
            </w:pPr>
            <w:r>
              <w:rPr>
                <w:rFonts w:eastAsia="Calibri"/>
                <w:b/>
                <w:color w:val="FFFFFF"/>
                <w:sz w:val="18"/>
              </w:rPr>
              <w:t>Core accountability</w:t>
            </w:r>
          </w:p>
        </w:tc>
      </w:tr>
      <w:tr w:rsidR="00EA0C36" w14:paraId="13804435" w14:textId="77777777">
        <w:trPr>
          <w:cantSplit/>
        </w:trPr>
        <w:tc>
          <w:tcPr>
            <w:tcW w:w="2250" w:type="dxa"/>
            <w:tcMar>
              <w:top w:w="80" w:type="dxa"/>
              <w:left w:w="120" w:type="dxa"/>
              <w:bottom w:w="80" w:type="dxa"/>
              <w:right w:w="120" w:type="dxa"/>
            </w:tcMar>
            <w:vAlign w:val="center"/>
          </w:tcPr>
          <w:p w14:paraId="6CA51648" w14:textId="77777777" w:rsidR="00EA0C36" w:rsidRDefault="00CD5DDA">
            <w:pPr>
              <w:spacing w:after="0" w:line="252" w:lineRule="auto"/>
            </w:pPr>
            <w:r>
              <w:rPr>
                <w:rFonts w:eastAsia="Calibri"/>
                <w:b/>
                <w:color w:val="164B42"/>
                <w:sz w:val="17"/>
              </w:rPr>
              <w:t>Proprietor</w:t>
            </w:r>
          </w:p>
        </w:tc>
        <w:tc>
          <w:tcPr>
            <w:tcW w:w="7110" w:type="dxa"/>
            <w:tcMar>
              <w:top w:w="80" w:type="dxa"/>
              <w:left w:w="120" w:type="dxa"/>
              <w:bottom w:w="80" w:type="dxa"/>
              <w:right w:w="120" w:type="dxa"/>
            </w:tcMar>
            <w:vAlign w:val="center"/>
          </w:tcPr>
          <w:p w14:paraId="1454C7C3" w14:textId="77777777" w:rsidR="00EA0C36" w:rsidRDefault="00CD5DDA">
            <w:pPr>
              <w:spacing w:after="0" w:line="252" w:lineRule="auto"/>
            </w:pPr>
            <w:r>
              <w:rPr>
                <w:rFonts w:eastAsia="Calibri"/>
                <w:sz w:val="17"/>
              </w:rPr>
              <w:t>Secures compliance, resources and strategic oversight; approves the policy; assures itself that the Independent School Standards, equality and safeguarding duties are met; receives regular SEND impact and risk information.</w:t>
            </w:r>
          </w:p>
        </w:tc>
      </w:tr>
      <w:tr w:rsidR="00EA0C36" w14:paraId="7DEE7B0E" w14:textId="77777777">
        <w:trPr>
          <w:cantSplit/>
        </w:trPr>
        <w:tc>
          <w:tcPr>
            <w:tcW w:w="2250" w:type="dxa"/>
            <w:shd w:val="clear" w:color="auto" w:fill="FAFBFC"/>
            <w:tcMar>
              <w:top w:w="80" w:type="dxa"/>
              <w:left w:w="120" w:type="dxa"/>
              <w:bottom w:w="80" w:type="dxa"/>
              <w:right w:w="120" w:type="dxa"/>
            </w:tcMar>
            <w:vAlign w:val="center"/>
          </w:tcPr>
          <w:p w14:paraId="3AC559DB" w14:textId="77777777" w:rsidR="00EA0C36" w:rsidRDefault="00CD5DDA">
            <w:pPr>
              <w:spacing w:after="0" w:line="252" w:lineRule="auto"/>
            </w:pPr>
            <w:r>
              <w:rPr>
                <w:rFonts w:eastAsia="Calibri"/>
                <w:b/>
                <w:color w:val="164B42"/>
                <w:sz w:val="17"/>
              </w:rPr>
              <w:t>Head of School</w:t>
            </w:r>
          </w:p>
        </w:tc>
        <w:tc>
          <w:tcPr>
            <w:tcW w:w="7110" w:type="dxa"/>
            <w:shd w:val="clear" w:color="auto" w:fill="FAFBFC"/>
            <w:tcMar>
              <w:top w:w="80" w:type="dxa"/>
              <w:left w:w="120" w:type="dxa"/>
              <w:bottom w:w="80" w:type="dxa"/>
              <w:right w:w="120" w:type="dxa"/>
            </w:tcMar>
            <w:vAlign w:val="center"/>
          </w:tcPr>
          <w:p w14:paraId="4014EDAA" w14:textId="77777777" w:rsidR="00EA0C36" w:rsidRDefault="00CD5DDA">
            <w:pPr>
              <w:spacing w:after="0" w:line="252" w:lineRule="auto"/>
            </w:pPr>
            <w:r>
              <w:rPr>
                <w:rFonts w:eastAsia="Calibri"/>
                <w:sz w:val="17"/>
              </w:rPr>
              <w:t>Has operational accountability for policy implementation, culture, staffing, curriculum access, placement decisions and escalation where provision cannot be secured.</w:t>
            </w:r>
          </w:p>
        </w:tc>
      </w:tr>
      <w:tr w:rsidR="00EA0C36" w14:paraId="3B533998" w14:textId="77777777">
        <w:trPr>
          <w:cantSplit/>
        </w:trPr>
        <w:tc>
          <w:tcPr>
            <w:tcW w:w="2250" w:type="dxa"/>
            <w:tcMar>
              <w:top w:w="80" w:type="dxa"/>
              <w:left w:w="120" w:type="dxa"/>
              <w:bottom w:w="80" w:type="dxa"/>
              <w:right w:w="120" w:type="dxa"/>
            </w:tcMar>
            <w:vAlign w:val="center"/>
          </w:tcPr>
          <w:p w14:paraId="40F3C24B" w14:textId="77777777" w:rsidR="00EA0C36" w:rsidRDefault="00CD5DDA">
            <w:pPr>
              <w:spacing w:after="0" w:line="252" w:lineRule="auto"/>
            </w:pPr>
            <w:r>
              <w:rPr>
                <w:rFonts w:eastAsia="Calibri"/>
                <w:b/>
                <w:color w:val="164B42"/>
                <w:sz w:val="17"/>
              </w:rPr>
              <w:t>SENCO / Inclusion Lead</w:t>
            </w:r>
          </w:p>
        </w:tc>
        <w:tc>
          <w:tcPr>
            <w:tcW w:w="7110" w:type="dxa"/>
            <w:tcMar>
              <w:top w:w="80" w:type="dxa"/>
              <w:left w:w="120" w:type="dxa"/>
              <w:bottom w:w="80" w:type="dxa"/>
              <w:right w:w="120" w:type="dxa"/>
            </w:tcMar>
            <w:vAlign w:val="center"/>
          </w:tcPr>
          <w:p w14:paraId="62719AF9" w14:textId="77777777" w:rsidR="00EA0C36" w:rsidRDefault="00CD5DDA">
            <w:pPr>
              <w:spacing w:after="0" w:line="252" w:lineRule="auto"/>
            </w:pPr>
            <w:r>
              <w:rPr>
                <w:rFonts w:eastAsia="Calibri"/>
                <w:sz w:val="17"/>
              </w:rPr>
              <w:t xml:space="preserve">Coordinates pupil-level SEND systems; maintains the EHCP-to-provision process; supports assessment and planning; advises staff; coordinates reviews and professionals; monitors provision, outcomes and reasonable adjustments. MVS designates this role </w:t>
            </w:r>
            <w:proofErr w:type="gramStart"/>
            <w:r>
              <w:rPr>
                <w:rFonts w:eastAsia="Calibri"/>
                <w:sz w:val="17"/>
              </w:rPr>
              <w:t>whether or not</w:t>
            </w:r>
            <w:proofErr w:type="gramEnd"/>
            <w:r>
              <w:rPr>
                <w:rFonts w:eastAsia="Calibri"/>
                <w:sz w:val="17"/>
              </w:rPr>
              <w:t xml:space="preserve"> a statutory SENCO appointment duty applies to its legal status.</w:t>
            </w:r>
          </w:p>
        </w:tc>
      </w:tr>
      <w:tr w:rsidR="00EA0C36" w14:paraId="591AA85E" w14:textId="77777777">
        <w:trPr>
          <w:cantSplit/>
        </w:trPr>
        <w:tc>
          <w:tcPr>
            <w:tcW w:w="2250" w:type="dxa"/>
            <w:shd w:val="clear" w:color="auto" w:fill="FAFBFC"/>
            <w:tcMar>
              <w:top w:w="80" w:type="dxa"/>
              <w:left w:w="120" w:type="dxa"/>
              <w:bottom w:w="80" w:type="dxa"/>
              <w:right w:w="120" w:type="dxa"/>
            </w:tcMar>
            <w:vAlign w:val="center"/>
          </w:tcPr>
          <w:p w14:paraId="02D54EB8" w14:textId="77777777" w:rsidR="00EA0C36" w:rsidRDefault="00CD5DDA">
            <w:pPr>
              <w:spacing w:after="0" w:line="252" w:lineRule="auto"/>
            </w:pPr>
            <w:r>
              <w:rPr>
                <w:rFonts w:eastAsia="Calibri"/>
                <w:b/>
                <w:color w:val="164B42"/>
                <w:sz w:val="17"/>
              </w:rPr>
              <w:t>Designated Safeguarding Lead</w:t>
            </w:r>
          </w:p>
        </w:tc>
        <w:tc>
          <w:tcPr>
            <w:tcW w:w="7110" w:type="dxa"/>
            <w:shd w:val="clear" w:color="auto" w:fill="FAFBFC"/>
            <w:tcMar>
              <w:top w:w="80" w:type="dxa"/>
              <w:left w:w="120" w:type="dxa"/>
              <w:bottom w:w="80" w:type="dxa"/>
              <w:right w:w="120" w:type="dxa"/>
            </w:tcMar>
            <w:vAlign w:val="center"/>
          </w:tcPr>
          <w:p w14:paraId="4C399BCB" w14:textId="77777777" w:rsidR="00EA0C36" w:rsidRDefault="00CD5DDA">
            <w:pPr>
              <w:spacing w:after="0" w:line="252" w:lineRule="auto"/>
            </w:pPr>
            <w:r>
              <w:rPr>
                <w:rFonts w:eastAsia="Calibri"/>
                <w:sz w:val="17"/>
              </w:rPr>
              <w:t>Ensures SEND-related safeguarding vulnerabilities and communication barriers are reflected in safeguarding systems, staff training, safety planning and referrals.</w:t>
            </w:r>
          </w:p>
        </w:tc>
      </w:tr>
      <w:tr w:rsidR="00EA0C36" w14:paraId="7C8D047E" w14:textId="77777777">
        <w:trPr>
          <w:cantSplit/>
        </w:trPr>
        <w:tc>
          <w:tcPr>
            <w:tcW w:w="2250" w:type="dxa"/>
            <w:tcMar>
              <w:top w:w="80" w:type="dxa"/>
              <w:left w:w="120" w:type="dxa"/>
              <w:bottom w:w="80" w:type="dxa"/>
              <w:right w:w="120" w:type="dxa"/>
            </w:tcMar>
            <w:vAlign w:val="center"/>
          </w:tcPr>
          <w:p w14:paraId="6EBA0506" w14:textId="77777777" w:rsidR="00EA0C36" w:rsidRDefault="00CD5DDA">
            <w:pPr>
              <w:spacing w:after="0" w:line="252" w:lineRule="auto"/>
            </w:pPr>
            <w:r>
              <w:rPr>
                <w:rFonts w:eastAsia="Calibri"/>
                <w:b/>
                <w:color w:val="164B42"/>
                <w:sz w:val="17"/>
              </w:rPr>
              <w:t>Teachers</w:t>
            </w:r>
          </w:p>
        </w:tc>
        <w:tc>
          <w:tcPr>
            <w:tcW w:w="7110" w:type="dxa"/>
            <w:tcMar>
              <w:top w:w="80" w:type="dxa"/>
              <w:left w:w="120" w:type="dxa"/>
              <w:bottom w:w="80" w:type="dxa"/>
              <w:right w:w="120" w:type="dxa"/>
            </w:tcMar>
            <w:vAlign w:val="center"/>
          </w:tcPr>
          <w:p w14:paraId="715FA014" w14:textId="77777777" w:rsidR="00EA0C36" w:rsidRDefault="00CD5DDA">
            <w:pPr>
              <w:spacing w:after="0" w:line="252" w:lineRule="auto"/>
            </w:pPr>
            <w:r>
              <w:rPr>
                <w:rFonts w:eastAsia="Calibri"/>
                <w:sz w:val="17"/>
              </w:rPr>
              <w:t>Remain responsible and accountable for progress and participation of pupils they teach, including when support staff or specialists are involved; adapt teaching, assess impact and maintain evidence.</w:t>
            </w:r>
          </w:p>
        </w:tc>
      </w:tr>
      <w:tr w:rsidR="00EA0C36" w14:paraId="606519B5" w14:textId="77777777">
        <w:trPr>
          <w:cantSplit/>
        </w:trPr>
        <w:tc>
          <w:tcPr>
            <w:tcW w:w="2250" w:type="dxa"/>
            <w:shd w:val="clear" w:color="auto" w:fill="FAFBFC"/>
            <w:tcMar>
              <w:top w:w="80" w:type="dxa"/>
              <w:left w:w="120" w:type="dxa"/>
              <w:bottom w:w="80" w:type="dxa"/>
              <w:right w:w="120" w:type="dxa"/>
            </w:tcMar>
            <w:vAlign w:val="center"/>
          </w:tcPr>
          <w:p w14:paraId="48F23EE6" w14:textId="77777777" w:rsidR="00EA0C36" w:rsidRDefault="00CD5DDA">
            <w:pPr>
              <w:spacing w:after="0" w:line="252" w:lineRule="auto"/>
            </w:pPr>
            <w:r>
              <w:rPr>
                <w:rFonts w:eastAsia="Calibri"/>
                <w:b/>
                <w:color w:val="164B42"/>
                <w:sz w:val="17"/>
              </w:rPr>
              <w:t>Therapy, PBS and specialist leads</w:t>
            </w:r>
          </w:p>
        </w:tc>
        <w:tc>
          <w:tcPr>
            <w:tcW w:w="7110" w:type="dxa"/>
            <w:shd w:val="clear" w:color="auto" w:fill="FAFBFC"/>
            <w:tcMar>
              <w:top w:w="80" w:type="dxa"/>
              <w:left w:w="120" w:type="dxa"/>
              <w:bottom w:w="80" w:type="dxa"/>
              <w:right w:w="120" w:type="dxa"/>
            </w:tcMar>
            <w:vAlign w:val="center"/>
          </w:tcPr>
          <w:p w14:paraId="1063D167" w14:textId="77777777" w:rsidR="00EA0C36" w:rsidRDefault="00CD5DDA">
            <w:pPr>
              <w:spacing w:after="0" w:line="252" w:lineRule="auto"/>
            </w:pPr>
            <w:r>
              <w:rPr>
                <w:rFonts w:eastAsia="Calibri"/>
                <w:sz w:val="17"/>
              </w:rPr>
              <w:t>Provide assessment, advice, programmes, modelling and review within professional competence; make recommendations clear, practical, consent-based and evaluable.</w:t>
            </w:r>
          </w:p>
        </w:tc>
      </w:tr>
      <w:tr w:rsidR="00EA0C36" w14:paraId="325D7DA3" w14:textId="77777777">
        <w:trPr>
          <w:cantSplit/>
        </w:trPr>
        <w:tc>
          <w:tcPr>
            <w:tcW w:w="2250" w:type="dxa"/>
            <w:tcMar>
              <w:top w:w="80" w:type="dxa"/>
              <w:left w:w="120" w:type="dxa"/>
              <w:bottom w:w="80" w:type="dxa"/>
              <w:right w:w="120" w:type="dxa"/>
            </w:tcMar>
            <w:vAlign w:val="center"/>
          </w:tcPr>
          <w:p w14:paraId="219824EC" w14:textId="77777777" w:rsidR="00EA0C36" w:rsidRDefault="00CD5DDA">
            <w:pPr>
              <w:spacing w:after="0" w:line="252" w:lineRule="auto"/>
            </w:pPr>
            <w:r>
              <w:rPr>
                <w:rFonts w:eastAsia="Calibri"/>
                <w:b/>
                <w:color w:val="164B42"/>
                <w:sz w:val="17"/>
              </w:rPr>
              <w:lastRenderedPageBreak/>
              <w:t>Support staff and key workers</w:t>
            </w:r>
          </w:p>
        </w:tc>
        <w:tc>
          <w:tcPr>
            <w:tcW w:w="7110" w:type="dxa"/>
            <w:tcMar>
              <w:top w:w="80" w:type="dxa"/>
              <w:left w:w="120" w:type="dxa"/>
              <w:bottom w:w="80" w:type="dxa"/>
              <w:right w:w="120" w:type="dxa"/>
            </w:tcMar>
            <w:vAlign w:val="center"/>
          </w:tcPr>
          <w:p w14:paraId="64CD4859" w14:textId="77777777" w:rsidR="00EA0C36" w:rsidRDefault="00CD5DDA">
            <w:pPr>
              <w:spacing w:after="0" w:line="252" w:lineRule="auto"/>
            </w:pPr>
            <w:r>
              <w:rPr>
                <w:rFonts w:eastAsia="Calibri"/>
                <w:sz w:val="17"/>
              </w:rPr>
              <w:t>Implement agreed strategies, promote independence, record material evidence, communicate emerging concerns and avoid creating unnecessary dependence.</w:t>
            </w:r>
          </w:p>
        </w:tc>
      </w:tr>
      <w:tr w:rsidR="00EA0C36" w14:paraId="6C32F9D7" w14:textId="77777777">
        <w:trPr>
          <w:cantSplit/>
        </w:trPr>
        <w:tc>
          <w:tcPr>
            <w:tcW w:w="2250" w:type="dxa"/>
            <w:shd w:val="clear" w:color="auto" w:fill="FAFBFC"/>
            <w:tcMar>
              <w:top w:w="80" w:type="dxa"/>
              <w:left w:w="120" w:type="dxa"/>
              <w:bottom w:w="80" w:type="dxa"/>
              <w:right w:w="120" w:type="dxa"/>
            </w:tcMar>
            <w:vAlign w:val="center"/>
          </w:tcPr>
          <w:p w14:paraId="47A9A0FE" w14:textId="77777777" w:rsidR="00EA0C36" w:rsidRDefault="00CD5DDA">
            <w:pPr>
              <w:spacing w:after="0" w:line="252" w:lineRule="auto"/>
            </w:pPr>
            <w:r>
              <w:rPr>
                <w:rFonts w:eastAsia="Calibri"/>
                <w:b/>
                <w:color w:val="164B42"/>
                <w:sz w:val="17"/>
              </w:rPr>
              <w:t>All staff</w:t>
            </w:r>
          </w:p>
        </w:tc>
        <w:tc>
          <w:tcPr>
            <w:tcW w:w="7110" w:type="dxa"/>
            <w:shd w:val="clear" w:color="auto" w:fill="FAFBFC"/>
            <w:tcMar>
              <w:top w:w="80" w:type="dxa"/>
              <w:left w:w="120" w:type="dxa"/>
              <w:bottom w:w="80" w:type="dxa"/>
              <w:right w:w="120" w:type="dxa"/>
            </w:tcMar>
            <w:vAlign w:val="center"/>
          </w:tcPr>
          <w:p w14:paraId="519214C0" w14:textId="77777777" w:rsidR="00EA0C36" w:rsidRDefault="00CD5DDA">
            <w:pPr>
              <w:spacing w:after="0" w:line="252" w:lineRule="auto"/>
            </w:pPr>
            <w:r>
              <w:rPr>
                <w:rFonts w:eastAsia="Calibri"/>
                <w:sz w:val="17"/>
              </w:rPr>
              <w:t>Know each pupil's essential plan, make agreed adjustments, protect dignity and safety, record accurately and escalate any gap between planned and delivered provision.</w:t>
            </w:r>
          </w:p>
        </w:tc>
      </w:tr>
    </w:tbl>
    <w:p w14:paraId="7AA7A31D" w14:textId="77777777" w:rsidR="00EA0C36" w:rsidRDefault="00EA0C36">
      <w:pPr>
        <w:spacing w:after="0"/>
      </w:pPr>
    </w:p>
    <w:p w14:paraId="0C29930A" w14:textId="77777777" w:rsidR="00EA0C36" w:rsidRDefault="00CD5DDA">
      <w:pPr>
        <w:pStyle w:val="Heading2"/>
      </w:pPr>
      <w:r>
        <w:t>5.1 Governance assurance</w:t>
      </w:r>
    </w:p>
    <w:p w14:paraId="31FA91B8" w14:textId="77777777" w:rsidR="00EA0C36" w:rsidRDefault="00CD5DDA">
      <w:r>
        <w:rPr>
          <w:rFonts w:eastAsia="Calibri"/>
        </w:rPr>
        <w:t>The proprietor will receive at least termly assurance covering EHCP delivery, curriculum and destination outcomes, attendance, suspensions or removals, safeguarding patterns, restrictive interventions, complaints, workforce capacity, therapy delivery, training and overdue actions. Reports will identify differences between groups and avoid publishing information that could identify individual pupils.</w:t>
      </w:r>
    </w:p>
    <w:p w14:paraId="74B50453" w14:textId="77777777" w:rsidR="00EA0C36" w:rsidRDefault="00CD5DDA">
      <w:pPr>
        <w:pStyle w:val="Heading1"/>
      </w:pPr>
      <w:r>
        <w:t>6. Admissions, consultation and placement decisions</w:t>
      </w:r>
    </w:p>
    <w:p w14:paraId="5F73E51A" w14:textId="77777777" w:rsidR="00EA0C36" w:rsidRDefault="00CD5DDA">
      <w:r>
        <w:rPr>
          <w:rFonts w:eastAsia="Calibri"/>
        </w:rPr>
        <w:t>Admissions are governed by the school's registration, Admissions Policy, equality duties, safeguarding responsibilities and commissioning agreement. A funding offer alone does not establish suitability. MVS will make an evidence-led decision and record the rationale.</w:t>
      </w:r>
    </w:p>
    <w:p w14:paraId="7C290782" w14:textId="77777777" w:rsidR="00EA0C36" w:rsidRDefault="00CD5DDA">
      <w:pPr>
        <w:pStyle w:val="Heading2"/>
      </w:pPr>
      <w:r>
        <w:t>6.1 Placement pathway</w:t>
      </w:r>
    </w:p>
    <w:p w14:paraId="4D120A1A" w14:textId="77777777" w:rsidR="00EA0C36" w:rsidRDefault="00CD5DDA">
      <w:pPr>
        <w:pStyle w:val="MVSNumbered"/>
        <w:numPr>
          <w:ilvl w:val="0"/>
          <w:numId w:val="1"/>
        </w:numPr>
      </w:pPr>
      <w:r>
        <w:rPr>
          <w:rFonts w:eastAsia="Calibri"/>
          <w:b/>
          <w:color w:val="164B42"/>
        </w:rPr>
        <w:t xml:space="preserve">Initial enquiry. </w:t>
      </w:r>
      <w:r>
        <w:rPr>
          <w:rFonts w:eastAsia="Calibri"/>
        </w:rPr>
        <w:t xml:space="preserve">The referral or local authority consultation is </w:t>
      </w:r>
      <w:proofErr w:type="gramStart"/>
      <w:r>
        <w:rPr>
          <w:rFonts w:eastAsia="Calibri"/>
        </w:rPr>
        <w:t>logged</w:t>
      </w:r>
      <w:proofErr w:type="gramEnd"/>
      <w:r>
        <w:rPr>
          <w:rFonts w:eastAsia="Calibri"/>
        </w:rPr>
        <w:t xml:space="preserve"> and a named contact is identified.</w:t>
      </w:r>
    </w:p>
    <w:p w14:paraId="481A554C" w14:textId="77777777" w:rsidR="00EA0C36" w:rsidRDefault="00CD5DDA">
      <w:pPr>
        <w:pStyle w:val="MVSNumbered"/>
        <w:numPr>
          <w:ilvl w:val="0"/>
          <w:numId w:val="1"/>
        </w:numPr>
      </w:pPr>
      <w:r>
        <w:rPr>
          <w:rFonts w:eastAsia="Calibri"/>
          <w:b/>
          <w:color w:val="164B42"/>
        </w:rPr>
        <w:t xml:space="preserve">Document review. </w:t>
      </w:r>
      <w:r>
        <w:rPr>
          <w:rFonts w:eastAsia="Calibri"/>
        </w:rPr>
        <w:t xml:space="preserve">The EHCP, professional reports, education history, attendance, behaviour, health, </w:t>
      </w:r>
      <w:proofErr w:type="gramStart"/>
      <w:r>
        <w:rPr>
          <w:rFonts w:eastAsia="Calibri"/>
        </w:rPr>
        <w:t>safeguarding</w:t>
      </w:r>
      <w:proofErr w:type="gramEnd"/>
      <w:r>
        <w:rPr>
          <w:rFonts w:eastAsia="Calibri"/>
        </w:rPr>
        <w:t xml:space="preserve"> and risk information are reviewed securely. Missing evidence is requested; absence of evidence is not converted into an assumption of low need.</w:t>
      </w:r>
    </w:p>
    <w:p w14:paraId="354713E2" w14:textId="77777777" w:rsidR="00EA0C36" w:rsidRDefault="00CD5DDA">
      <w:pPr>
        <w:pStyle w:val="MVSNumbered"/>
        <w:numPr>
          <w:ilvl w:val="0"/>
          <w:numId w:val="1"/>
        </w:numPr>
      </w:pPr>
      <w:r>
        <w:rPr>
          <w:rFonts w:eastAsia="Calibri"/>
          <w:b/>
          <w:color w:val="164B42"/>
        </w:rPr>
        <w:t xml:space="preserve">Multi-disciplinary screening. </w:t>
      </w:r>
      <w:r>
        <w:rPr>
          <w:rFonts w:eastAsia="Calibri"/>
        </w:rPr>
        <w:t>The Head of School, DSL and SENCO/Inclusion Lead consider registered range, suitability, safeguarding, cohort compatibility, workforce capacity, clinical delivery, environmental adjustments and affordability.</w:t>
      </w:r>
    </w:p>
    <w:p w14:paraId="02D2A5B0" w14:textId="77777777" w:rsidR="00EA0C36" w:rsidRDefault="00CD5DDA">
      <w:pPr>
        <w:pStyle w:val="MVSNumbered"/>
        <w:numPr>
          <w:ilvl w:val="0"/>
          <w:numId w:val="1"/>
        </w:numPr>
      </w:pPr>
      <w:r>
        <w:rPr>
          <w:rFonts w:eastAsia="Calibri"/>
          <w:b/>
          <w:color w:val="164B42"/>
        </w:rPr>
        <w:t xml:space="preserve">Visit and assessment. </w:t>
      </w:r>
      <w:r>
        <w:rPr>
          <w:rFonts w:eastAsia="Calibri"/>
        </w:rPr>
        <w:t xml:space="preserve">Where appropriate, the pupil is supported to experience the environment. Pupil communication, family knowledge and professional evidence are used to understand </w:t>
      </w:r>
      <w:proofErr w:type="gramStart"/>
      <w:r>
        <w:rPr>
          <w:rFonts w:eastAsia="Calibri"/>
        </w:rPr>
        <w:t>fit</w:t>
      </w:r>
      <w:proofErr w:type="gramEnd"/>
      <w:r>
        <w:rPr>
          <w:rFonts w:eastAsia="Calibri"/>
        </w:rPr>
        <w:t>; the visit is not a compliance test.</w:t>
      </w:r>
    </w:p>
    <w:p w14:paraId="662B0995" w14:textId="77777777" w:rsidR="00EA0C36" w:rsidRDefault="00CD5DDA">
      <w:pPr>
        <w:pStyle w:val="MVSNumbered"/>
        <w:numPr>
          <w:ilvl w:val="0"/>
          <w:numId w:val="1"/>
        </w:numPr>
      </w:pPr>
      <w:r>
        <w:rPr>
          <w:rFonts w:eastAsia="Calibri"/>
          <w:b/>
          <w:color w:val="164B42"/>
        </w:rPr>
        <w:t xml:space="preserve">Decision and rationale. </w:t>
      </w:r>
      <w:r>
        <w:rPr>
          <w:rFonts w:eastAsia="Calibri"/>
        </w:rPr>
        <w:t xml:space="preserve">MVS issues a clear, timely and evidenced response: able to meet </w:t>
      </w:r>
      <w:proofErr w:type="gramStart"/>
      <w:r>
        <w:rPr>
          <w:rFonts w:eastAsia="Calibri"/>
        </w:rPr>
        <w:t>need</w:t>
      </w:r>
      <w:proofErr w:type="gramEnd"/>
      <w:r>
        <w:rPr>
          <w:rFonts w:eastAsia="Calibri"/>
        </w:rPr>
        <w:t>; able to meet subject to specified information or arrangements; or unable to meet, with lawful and non-discriminatory reasons.</w:t>
      </w:r>
    </w:p>
    <w:p w14:paraId="1C1B7F43" w14:textId="77777777" w:rsidR="00EA0C36" w:rsidRDefault="00CD5DDA">
      <w:pPr>
        <w:pStyle w:val="MVSNumbered"/>
        <w:numPr>
          <w:ilvl w:val="0"/>
          <w:numId w:val="1"/>
        </w:numPr>
      </w:pPr>
      <w:r>
        <w:rPr>
          <w:rFonts w:eastAsia="Calibri"/>
          <w:b/>
          <w:color w:val="164B42"/>
        </w:rPr>
        <w:t xml:space="preserve">Transition and onboarding. </w:t>
      </w:r>
      <w:r>
        <w:rPr>
          <w:rFonts w:eastAsia="Calibri"/>
        </w:rPr>
        <w:t>Provision, risk controls, communication, medication, transport interfaces, staffing, baseline assessment and first review are planned before or immediately on admission.</w:t>
      </w:r>
    </w:p>
    <w:p w14:paraId="65EDE78F" w14:textId="77777777" w:rsidR="00EA0C36" w:rsidRDefault="00CD5DDA">
      <w:pPr>
        <w:pStyle w:val="Heading2"/>
      </w:pPr>
      <w:r>
        <w:lastRenderedPageBreak/>
        <w:t>6.2 Statutory consultation and Section 41</w:t>
      </w:r>
    </w:p>
    <w:p w14:paraId="72D937F5" w14:textId="77777777" w:rsidR="00EA0C36" w:rsidRDefault="00CD5DDA">
      <w:r>
        <w:rPr>
          <w:rFonts w:eastAsia="Calibri"/>
        </w:rPr>
        <w:t xml:space="preserve">Where MVS is approved under section 41 of the Children and Families Act 2014, it will respond to statutory consultation in accordance with the Act and Code. Where it is not </w:t>
      </w:r>
      <w:proofErr w:type="gramStart"/>
      <w:r>
        <w:rPr>
          <w:rFonts w:eastAsia="Calibri"/>
        </w:rPr>
        <w:t>section 41 approved</w:t>
      </w:r>
      <w:proofErr w:type="gramEnd"/>
      <w:r>
        <w:rPr>
          <w:rFonts w:eastAsia="Calibri"/>
        </w:rPr>
        <w:t>, a placement can proceed only through agreement with the school and commissioning authority. In every case, MVS will consider reasonable steps and adjustments, will not refuse for a discriminatory reason and will not offer provision outside its registered range or safe operational capacity.</w:t>
      </w:r>
    </w:p>
    <w:tbl>
      <w:tblPr>
        <w:tblW w:w="9360" w:type="dxa"/>
        <w:tblInd w:w="120" w:type="dxa"/>
        <w:tblBorders>
          <w:top w:val="single" w:sz="6" w:space="0" w:color="D5DADF"/>
          <w:left w:val="single" w:sz="6" w:space="0" w:color="D5DADF"/>
          <w:bottom w:val="single" w:sz="6" w:space="0" w:color="D5DADF"/>
          <w:right w:val="single" w:sz="6" w:space="0" w:color="D5DADF"/>
          <w:insideH w:val="single" w:sz="6" w:space="0" w:color="D5DADF"/>
          <w:insideV w:val="single" w:sz="6" w:space="0" w:color="D5DADF"/>
        </w:tblBorders>
        <w:tblLayout w:type="fixed"/>
        <w:tblLook w:val="04A0" w:firstRow="1" w:lastRow="0" w:firstColumn="1" w:lastColumn="0" w:noHBand="0" w:noVBand="1"/>
      </w:tblPr>
      <w:tblGrid>
        <w:gridCol w:w="9360"/>
      </w:tblGrid>
      <w:tr w:rsidR="00EA0C36" w14:paraId="7C2B8767" w14:textId="77777777">
        <w:trPr>
          <w:cantSplit/>
        </w:trPr>
        <w:tc>
          <w:tcPr>
            <w:tcW w:w="9360" w:type="dxa"/>
            <w:tcBorders>
              <w:left w:val="single" w:sz="22" w:space="0" w:color="C5A24D"/>
            </w:tcBorders>
            <w:shd w:val="clear" w:color="auto" w:fill="F7F2E6"/>
            <w:tcMar>
              <w:top w:w="80" w:type="dxa"/>
              <w:left w:w="120" w:type="dxa"/>
              <w:bottom w:w="80" w:type="dxa"/>
              <w:right w:w="120" w:type="dxa"/>
            </w:tcMar>
            <w:vAlign w:val="center"/>
          </w:tcPr>
          <w:p w14:paraId="12449822" w14:textId="77777777" w:rsidR="00EA0C36" w:rsidRDefault="00CD5DDA">
            <w:pPr>
              <w:spacing w:after="40"/>
            </w:pPr>
            <w:r>
              <w:rPr>
                <w:rFonts w:eastAsia="Calibri"/>
                <w:b/>
                <w:caps/>
                <w:color w:val="C5A24D"/>
                <w:sz w:val="18"/>
              </w:rPr>
              <w:t>DECISION CONTROL</w:t>
            </w:r>
          </w:p>
          <w:p w14:paraId="6C8D1A01" w14:textId="77777777" w:rsidR="00EA0C36" w:rsidRDefault="00CD5DDA">
            <w:pPr>
              <w:spacing w:after="0" w:line="269" w:lineRule="auto"/>
            </w:pPr>
            <w:r>
              <w:rPr>
                <w:rFonts w:eastAsia="Calibri"/>
                <w:sz w:val="20"/>
              </w:rPr>
              <w:t xml:space="preserve">Any costing or </w:t>
            </w:r>
            <w:proofErr w:type="gramStart"/>
            <w:r>
              <w:rPr>
                <w:rFonts w:eastAsia="Calibri"/>
                <w:sz w:val="20"/>
              </w:rPr>
              <w:t>needs</w:t>
            </w:r>
            <w:proofErr w:type="gramEnd"/>
            <w:r>
              <w:rPr>
                <w:rFonts w:eastAsia="Calibri"/>
                <w:sz w:val="20"/>
              </w:rPr>
              <w:t>-scoring tool is a structured prompt, not an automated placement decision. Professional judgement, registration, safeguarding, cohort compatibility, workforce capacity, clinical deliverability and delegated approval remain decisive.</w:t>
            </w:r>
          </w:p>
        </w:tc>
      </w:tr>
    </w:tbl>
    <w:p w14:paraId="2CF6821D" w14:textId="77777777" w:rsidR="00EA0C36" w:rsidRDefault="00EA0C36">
      <w:pPr>
        <w:spacing w:after="0"/>
      </w:pPr>
    </w:p>
    <w:p w14:paraId="07EA6A94" w14:textId="77777777" w:rsidR="00EA0C36" w:rsidRDefault="00CD5DDA">
      <w:pPr>
        <w:pStyle w:val="Heading1"/>
      </w:pPr>
      <w:r>
        <w:t>7. Identification, assessment and the graduated response</w:t>
      </w:r>
    </w:p>
    <w:p w14:paraId="470773A7" w14:textId="77777777" w:rsidR="00EA0C36" w:rsidRDefault="00CD5DDA">
      <w:pPr>
        <w:pStyle w:val="Heading2"/>
      </w:pPr>
      <w:r>
        <w:t>7.1 Baseline and ongoing assessment</w:t>
      </w:r>
    </w:p>
    <w:p w14:paraId="03EC96E0" w14:textId="77777777" w:rsidR="00EA0C36" w:rsidRDefault="00CD5DDA">
      <w:r>
        <w:rPr>
          <w:rFonts w:eastAsia="Calibri"/>
        </w:rPr>
        <w:t>Within the first six school weeks, or sooner where risk or provision requires, MVS will establish a proportionate baseline across learning, communication, regulation, sensory/physical access, social understanding, wellbeing, attendance, independence and preparation for adulthood. The baseline must distinguish current attainment from barriers created by anxiety, interrupted education, communication mismatch, sensory load or unfamiliarity.</w:t>
      </w:r>
    </w:p>
    <w:p w14:paraId="2664D49C" w14:textId="77777777" w:rsidR="00EA0C36" w:rsidRDefault="00CD5DDA">
      <w:r>
        <w:rPr>
          <w:rFonts w:eastAsia="Calibri"/>
        </w:rPr>
        <w:t xml:space="preserve">Assessment is drawn from multiple sources. It should include the pupil's own account in an accessible form, parent/carer knowledge, prior records, EHCP outcomes and Section F provision, teacher assessment, observation across contexts, and relevant specialist advice. </w:t>
      </w:r>
      <w:proofErr w:type="spellStart"/>
      <w:r>
        <w:rPr>
          <w:rFonts w:eastAsia="Calibri"/>
        </w:rPr>
        <w:t>Standardised</w:t>
      </w:r>
      <w:proofErr w:type="spellEnd"/>
      <w:r>
        <w:rPr>
          <w:rFonts w:eastAsia="Calibri"/>
        </w:rPr>
        <w:t xml:space="preserve"> tools may contribute but do not replace professional judgement.</w:t>
      </w:r>
    </w:p>
    <w:p w14:paraId="053D3839" w14:textId="77777777" w:rsidR="00EA0C36" w:rsidRDefault="00CD5DDA">
      <w:pPr>
        <w:pStyle w:val="Heading2"/>
      </w:pPr>
      <w:r>
        <w:t>7.2 Assess-plan-do-review</w:t>
      </w:r>
    </w:p>
    <w:p w14:paraId="18A28421" w14:textId="77777777" w:rsidR="00EA0C36" w:rsidRDefault="00CD5DDA">
      <w:r>
        <w:rPr>
          <w:rFonts w:eastAsia="Calibri"/>
        </w:rPr>
        <w:t>The graduated approach is used for all material changes in need or support, including where a pupil already has an EHCP.</w:t>
      </w:r>
    </w:p>
    <w:p w14:paraId="2DB399EA" w14:textId="77777777" w:rsidR="00EA0C36" w:rsidRDefault="00CD5DDA">
      <w:pPr>
        <w:pStyle w:val="MVSNumbered"/>
        <w:numPr>
          <w:ilvl w:val="0"/>
          <w:numId w:val="1"/>
        </w:numPr>
      </w:pPr>
      <w:r>
        <w:rPr>
          <w:rFonts w:eastAsia="Calibri"/>
          <w:b/>
          <w:color w:val="164B42"/>
        </w:rPr>
        <w:t xml:space="preserve">Assess. </w:t>
      </w:r>
      <w:r>
        <w:rPr>
          <w:rFonts w:eastAsia="Calibri"/>
        </w:rPr>
        <w:t>Define the barrier, establish a baseline, gather pupil and family views, review the environment and consider safeguarding, health, communication and attendance information.</w:t>
      </w:r>
    </w:p>
    <w:p w14:paraId="5E247B20" w14:textId="77777777" w:rsidR="00EA0C36" w:rsidRDefault="00CD5DDA">
      <w:pPr>
        <w:pStyle w:val="MVSNumbered"/>
        <w:numPr>
          <w:ilvl w:val="0"/>
          <w:numId w:val="1"/>
        </w:numPr>
      </w:pPr>
      <w:r>
        <w:rPr>
          <w:rFonts w:eastAsia="Calibri"/>
          <w:b/>
          <w:color w:val="164B42"/>
        </w:rPr>
        <w:t xml:space="preserve">Plan. </w:t>
      </w:r>
      <w:proofErr w:type="gramStart"/>
      <w:r>
        <w:rPr>
          <w:rFonts w:eastAsia="Calibri"/>
        </w:rPr>
        <w:t>Agree</w:t>
      </w:r>
      <w:proofErr w:type="gramEnd"/>
      <w:r>
        <w:rPr>
          <w:rFonts w:eastAsia="Calibri"/>
        </w:rPr>
        <w:t xml:space="preserve"> a specific outcome, provision, frequency, duration, responsible person, adjustments, evidence measure and review date. Record consent where required.</w:t>
      </w:r>
    </w:p>
    <w:p w14:paraId="389461A7" w14:textId="77777777" w:rsidR="00EA0C36" w:rsidRDefault="00CD5DDA">
      <w:pPr>
        <w:pStyle w:val="MVSNumbered"/>
        <w:numPr>
          <w:ilvl w:val="0"/>
          <w:numId w:val="1"/>
        </w:numPr>
      </w:pPr>
      <w:r>
        <w:rPr>
          <w:rFonts w:eastAsia="Calibri"/>
          <w:b/>
          <w:color w:val="164B42"/>
        </w:rPr>
        <w:t xml:space="preserve">Do. </w:t>
      </w:r>
      <w:r>
        <w:rPr>
          <w:rFonts w:eastAsia="Calibri"/>
        </w:rPr>
        <w:t xml:space="preserve">Teachers retain responsibility. Staff deliver consistently, </w:t>
      </w:r>
      <w:proofErr w:type="gramStart"/>
      <w:r>
        <w:rPr>
          <w:rFonts w:eastAsia="Calibri"/>
        </w:rPr>
        <w:t>specialists</w:t>
      </w:r>
      <w:proofErr w:type="gramEnd"/>
      <w:r>
        <w:rPr>
          <w:rFonts w:eastAsia="Calibri"/>
        </w:rPr>
        <w:t xml:space="preserve"> model or advise, and material deviations or non-delivery are recorded and escalated.</w:t>
      </w:r>
    </w:p>
    <w:p w14:paraId="2F731424" w14:textId="77777777" w:rsidR="00EA0C36" w:rsidRDefault="00CD5DDA">
      <w:pPr>
        <w:pStyle w:val="MVSNumbered"/>
        <w:numPr>
          <w:ilvl w:val="0"/>
          <w:numId w:val="1"/>
        </w:numPr>
      </w:pPr>
      <w:r>
        <w:rPr>
          <w:rFonts w:eastAsia="Calibri"/>
          <w:b/>
          <w:color w:val="164B42"/>
        </w:rPr>
        <w:t xml:space="preserve">Review. </w:t>
      </w:r>
      <w:r>
        <w:rPr>
          <w:rFonts w:eastAsia="Calibri"/>
        </w:rPr>
        <w:t>Compare evidence with the baseline and intended outcome; seek pupil and parent views; decide to continue, adapt, intensify, fade or stop; and update plans.</w:t>
      </w:r>
    </w:p>
    <w:p w14:paraId="6CD88610" w14:textId="77777777" w:rsidR="00EA0C36" w:rsidRDefault="00CD5DDA">
      <w:proofErr w:type="gramStart"/>
      <w:r>
        <w:rPr>
          <w:rFonts w:eastAsia="Calibri"/>
        </w:rPr>
        <w:lastRenderedPageBreak/>
        <w:t>The full</w:t>
      </w:r>
      <w:proofErr w:type="gramEnd"/>
      <w:r>
        <w:rPr>
          <w:rFonts w:eastAsia="Calibri"/>
        </w:rPr>
        <w:t xml:space="preserve"> operational standard appears at Appendix A. Where progress is limited, staff first test the quality, fidelity and appropriateness of provision. The response is not automatically to add adult support; the best next step may be better teaching, </w:t>
      </w:r>
      <w:proofErr w:type="gramStart"/>
      <w:r>
        <w:rPr>
          <w:rFonts w:eastAsia="Calibri"/>
        </w:rPr>
        <w:t>a communication</w:t>
      </w:r>
      <w:proofErr w:type="gramEnd"/>
      <w:r>
        <w:rPr>
          <w:rFonts w:eastAsia="Calibri"/>
        </w:rPr>
        <w:t xml:space="preserve"> change, environmental adjustment, specialist assessment, curriculum redesign or a more carefully planned increase in independence.</w:t>
      </w:r>
    </w:p>
    <w:p w14:paraId="499BFD9C" w14:textId="77777777" w:rsidR="00EA0C36" w:rsidRDefault="00CD5DDA">
      <w:pPr>
        <w:pStyle w:val="Heading2"/>
      </w:pPr>
      <w:r>
        <w:t>7.3 Emerging, changing or unmet need</w:t>
      </w:r>
    </w:p>
    <w:p w14:paraId="005D35CC" w14:textId="77777777" w:rsidR="00EA0C36" w:rsidRDefault="00CD5DDA">
      <w:r>
        <w:rPr>
          <w:rFonts w:eastAsia="Calibri"/>
        </w:rPr>
        <w:t xml:space="preserve">Any member of staff may raise </w:t>
      </w:r>
      <w:proofErr w:type="gramStart"/>
      <w:r>
        <w:rPr>
          <w:rFonts w:eastAsia="Calibri"/>
        </w:rPr>
        <w:t>a concern</w:t>
      </w:r>
      <w:proofErr w:type="gramEnd"/>
      <w:r>
        <w:rPr>
          <w:rFonts w:eastAsia="Calibri"/>
        </w:rPr>
        <w:t>. The SENCO/Inclusion Lead will triage concerns with the teacher/key worker and, where relevant, the DSL or health lead. Urgent safeguarding or health matters are acted on immediately. Other concerns are recorded, assessed and reviewed within an agreed timescale. Where the EHCP may no longer describe needs or provision accurately, MVS will request early review or reassessment through the responsible local authority and supply evidence.</w:t>
      </w:r>
    </w:p>
    <w:p w14:paraId="12E58AB6" w14:textId="77777777" w:rsidR="00EA0C36" w:rsidRDefault="00CD5DDA">
      <w:pPr>
        <w:pStyle w:val="Heading1"/>
      </w:pPr>
      <w:r>
        <w:t>8. Education, curriculum and intervention</w:t>
      </w:r>
    </w:p>
    <w:p w14:paraId="0B07130E" w14:textId="77777777" w:rsidR="00EA0C36" w:rsidRDefault="00CD5DDA">
      <w:pPr>
        <w:pStyle w:val="Heading2"/>
      </w:pPr>
      <w:r>
        <w:t>8.1 Curriculum entitlement</w:t>
      </w:r>
    </w:p>
    <w:p w14:paraId="2972C501" w14:textId="77777777" w:rsidR="00EA0C36" w:rsidRDefault="00CD5DDA">
      <w:r>
        <w:rPr>
          <w:rFonts w:eastAsia="Calibri"/>
        </w:rPr>
        <w:t>Every pupil is entitled to a broad, coherent and ambitious education that reflects the Independent School Standards and their individual pathway. The MVS curriculum integrates functional English, mathematics, science and ICT; accreditation where appropriate; personal, social and health education; communication; regulation; enterprise and project learning; and preparation for adult life.</w:t>
      </w:r>
    </w:p>
    <w:p w14:paraId="32FC76E3" w14:textId="77777777" w:rsidR="00EA0C36" w:rsidRDefault="00CD5DDA">
      <w:r>
        <w:rPr>
          <w:rFonts w:eastAsia="Calibri"/>
        </w:rPr>
        <w:t xml:space="preserve">Curriculum pathways may differ in route, pace, scaffolding, sensory demand and accreditation, but not in seriousness of purpose. Staff must avoid low-expectation tasks, repetitive activity without progression, or </w:t>
      </w:r>
      <w:proofErr w:type="gramStart"/>
      <w:r>
        <w:rPr>
          <w:rFonts w:eastAsia="Calibri"/>
        </w:rPr>
        <w:t>removing</w:t>
      </w:r>
      <w:proofErr w:type="gramEnd"/>
      <w:r>
        <w:rPr>
          <w:rFonts w:eastAsia="Calibri"/>
        </w:rPr>
        <w:t xml:space="preserve"> pupils from curriculum learning simply because support is difficult to </w:t>
      </w:r>
      <w:proofErr w:type="spellStart"/>
      <w:r>
        <w:rPr>
          <w:rFonts w:eastAsia="Calibri"/>
        </w:rPr>
        <w:t>organise</w:t>
      </w:r>
      <w:proofErr w:type="spellEnd"/>
      <w:r>
        <w:rPr>
          <w:rFonts w:eastAsia="Calibri"/>
        </w:rPr>
        <w:t>.</w:t>
      </w:r>
    </w:p>
    <w:p w14:paraId="1A699F02" w14:textId="77777777" w:rsidR="00EA0C36" w:rsidRDefault="00CD5DDA">
      <w:pPr>
        <w:pStyle w:val="Heading2"/>
      </w:pPr>
      <w:r>
        <w:t>8.2 High-quality specialist teaching</w:t>
      </w:r>
    </w:p>
    <w:p w14:paraId="6105E093" w14:textId="77777777" w:rsidR="00EA0C36" w:rsidRDefault="00CD5DDA">
      <w:pPr>
        <w:pStyle w:val="MVSBullet"/>
        <w:numPr>
          <w:ilvl w:val="0"/>
          <w:numId w:val="1"/>
        </w:numPr>
      </w:pPr>
      <w:r>
        <w:rPr>
          <w:rFonts w:eastAsia="Calibri"/>
        </w:rPr>
        <w:t>make learning intentions and success criteria accessible;</w:t>
      </w:r>
    </w:p>
    <w:p w14:paraId="398540DE" w14:textId="77777777" w:rsidR="00EA0C36" w:rsidRDefault="00CD5DDA">
      <w:pPr>
        <w:pStyle w:val="MVSBullet"/>
        <w:numPr>
          <w:ilvl w:val="0"/>
          <w:numId w:val="1"/>
        </w:numPr>
      </w:pPr>
      <w:r>
        <w:rPr>
          <w:rFonts w:eastAsia="Calibri"/>
        </w:rPr>
        <w:t>activate prior knowledge and teach vocabulary and concepts explicitly;</w:t>
      </w:r>
    </w:p>
    <w:p w14:paraId="481659D7" w14:textId="77777777" w:rsidR="00EA0C36" w:rsidRDefault="00CD5DDA">
      <w:pPr>
        <w:pStyle w:val="MVSBullet"/>
        <w:numPr>
          <w:ilvl w:val="0"/>
          <w:numId w:val="1"/>
        </w:numPr>
      </w:pPr>
      <w:r>
        <w:rPr>
          <w:rFonts w:eastAsia="Calibri"/>
        </w:rPr>
        <w:t>break learning into manageable sequences without losing the overall purpose;</w:t>
      </w:r>
    </w:p>
    <w:p w14:paraId="1C817B1A" w14:textId="77777777" w:rsidR="00EA0C36" w:rsidRDefault="00CD5DDA">
      <w:pPr>
        <w:pStyle w:val="MVSBullet"/>
        <w:numPr>
          <w:ilvl w:val="0"/>
          <w:numId w:val="1"/>
        </w:numPr>
      </w:pPr>
      <w:r>
        <w:rPr>
          <w:rFonts w:eastAsia="Calibri"/>
        </w:rPr>
        <w:t>use modelling, guided practice, retrieval and feedback;</w:t>
      </w:r>
    </w:p>
    <w:p w14:paraId="2E5C60CC" w14:textId="77777777" w:rsidR="00EA0C36" w:rsidRDefault="00CD5DDA">
      <w:pPr>
        <w:pStyle w:val="MVSBullet"/>
        <w:numPr>
          <w:ilvl w:val="0"/>
          <w:numId w:val="1"/>
        </w:numPr>
      </w:pPr>
      <w:r>
        <w:rPr>
          <w:rFonts w:eastAsia="Calibri"/>
        </w:rPr>
        <w:t>support expressive and receptive communication, including augmentative and alternative communication where required;</w:t>
      </w:r>
    </w:p>
    <w:p w14:paraId="28FA4F79" w14:textId="77777777" w:rsidR="00EA0C36" w:rsidRDefault="00CD5DDA">
      <w:pPr>
        <w:pStyle w:val="MVSBullet"/>
        <w:numPr>
          <w:ilvl w:val="0"/>
          <w:numId w:val="1"/>
        </w:numPr>
      </w:pPr>
      <w:r>
        <w:rPr>
          <w:rFonts w:eastAsia="Calibri"/>
        </w:rPr>
        <w:t>anticipate sensory, executive-function and emotional-regulation barriers;</w:t>
      </w:r>
    </w:p>
    <w:p w14:paraId="25C794DF" w14:textId="77777777" w:rsidR="00EA0C36" w:rsidRDefault="00CD5DDA">
      <w:pPr>
        <w:pStyle w:val="MVSBullet"/>
        <w:numPr>
          <w:ilvl w:val="0"/>
          <w:numId w:val="1"/>
        </w:numPr>
      </w:pPr>
      <w:r>
        <w:rPr>
          <w:rFonts w:eastAsia="Calibri"/>
        </w:rPr>
        <w:t>provide meaningful choice and sufficient processing time;</w:t>
      </w:r>
    </w:p>
    <w:p w14:paraId="74A70686" w14:textId="77777777" w:rsidR="00EA0C36" w:rsidRDefault="00CD5DDA">
      <w:pPr>
        <w:pStyle w:val="MVSBullet"/>
        <w:numPr>
          <w:ilvl w:val="0"/>
          <w:numId w:val="1"/>
        </w:numPr>
      </w:pPr>
      <w:r>
        <w:rPr>
          <w:rFonts w:eastAsia="Calibri"/>
        </w:rPr>
        <w:t>build independence and avoid prompt dependency; and</w:t>
      </w:r>
    </w:p>
    <w:p w14:paraId="46B248E0" w14:textId="77777777" w:rsidR="00EA0C36" w:rsidRDefault="00CD5DDA">
      <w:pPr>
        <w:pStyle w:val="MVSBullet"/>
        <w:numPr>
          <w:ilvl w:val="0"/>
          <w:numId w:val="1"/>
        </w:numPr>
      </w:pPr>
      <w:r>
        <w:rPr>
          <w:rFonts w:eastAsia="Calibri"/>
        </w:rPr>
        <w:t xml:space="preserve">assess what the pupil has learned and can </w:t>
      </w:r>
      <w:proofErr w:type="spellStart"/>
      <w:r>
        <w:rPr>
          <w:rFonts w:eastAsia="Calibri"/>
        </w:rPr>
        <w:t>generalise</w:t>
      </w:r>
      <w:proofErr w:type="spellEnd"/>
      <w:r>
        <w:rPr>
          <w:rFonts w:eastAsia="Calibri"/>
        </w:rPr>
        <w:t>, not only whether they completed an activity.</w:t>
      </w:r>
    </w:p>
    <w:p w14:paraId="40A29F81" w14:textId="77777777" w:rsidR="00EA0C36" w:rsidRDefault="00CD5DDA">
      <w:pPr>
        <w:pStyle w:val="Heading2"/>
      </w:pPr>
      <w:r>
        <w:lastRenderedPageBreak/>
        <w:t>8.3 Intervention standard</w:t>
      </w:r>
    </w:p>
    <w:p w14:paraId="39CDE172" w14:textId="77777777" w:rsidR="00EA0C36" w:rsidRDefault="00CD5DDA">
      <w:r>
        <w:rPr>
          <w:rFonts w:eastAsia="Calibri"/>
        </w:rPr>
        <w:t>An intervention must have a defined rationale, entry baseline, intended outcome, delivery pattern, responsible practitioner, review date and exit/fade criteria. Intervention records should be proportionate and useful. If an intervention repeatedly displaces core learning, MVS will review whether the balance remains in the pupil's best interests and consistent with the EHCP.</w:t>
      </w:r>
    </w:p>
    <w:p w14:paraId="2A4E9421" w14:textId="77777777" w:rsidR="00EA0C36" w:rsidRDefault="00CD5DDA">
      <w:pPr>
        <w:pStyle w:val="Heading2"/>
      </w:pPr>
      <w:r>
        <w:t>8.4 Remote or off-site learning</w:t>
      </w:r>
    </w:p>
    <w:p w14:paraId="239574EE" w14:textId="77777777" w:rsidR="00EA0C36" w:rsidRDefault="00CD5DDA">
      <w:r>
        <w:rPr>
          <w:rFonts w:eastAsia="Calibri"/>
        </w:rPr>
        <w:t>Where learning occurs remotely, off-site or with an external provider, MVS retains oversight of safeguarding, suitability, curriculum quality, attendance, reasonable adjustments and progress. Commissioning another provider does not outsource the school's duty to know what education and support the pupil receives.</w:t>
      </w:r>
    </w:p>
    <w:p w14:paraId="37B3981E" w14:textId="77777777" w:rsidR="00EA0C36" w:rsidRDefault="00CD5DDA">
      <w:pPr>
        <w:pStyle w:val="Heading1"/>
      </w:pPr>
      <w:r>
        <w:t>9. EHCP implementation and annual review</w:t>
      </w:r>
    </w:p>
    <w:p w14:paraId="7FDF7F93" w14:textId="77777777" w:rsidR="00EA0C36" w:rsidRDefault="00CD5DDA">
      <w:pPr>
        <w:pStyle w:val="Heading2"/>
      </w:pPr>
      <w:r>
        <w:t>9.1 Translating the plan into delivery</w:t>
      </w:r>
    </w:p>
    <w:p w14:paraId="3C2E31F3" w14:textId="77777777" w:rsidR="00EA0C36" w:rsidRDefault="00CD5DDA">
      <w:r>
        <w:rPr>
          <w:rFonts w:eastAsia="Calibri"/>
        </w:rPr>
        <w:t>Before admission or as soon as the final EHCP is received, the SENCO/Inclusion Lead will produce an accessible EHCP implementation map. This will identify each outcome and item of specified special educational provision, the responsible role, frequency or staffing where specified, delivery setting, evidence source and review point.</w:t>
      </w:r>
    </w:p>
    <w:p w14:paraId="533F0161" w14:textId="77777777" w:rsidR="00EA0C36" w:rsidRDefault="00CD5DDA">
      <w:pPr>
        <w:pStyle w:val="MVSBullet"/>
        <w:numPr>
          <w:ilvl w:val="0"/>
          <w:numId w:val="1"/>
        </w:numPr>
      </w:pPr>
      <w:r>
        <w:rPr>
          <w:rFonts w:eastAsia="Calibri"/>
        </w:rPr>
        <w:t>Section F provision is treated as provision to be secured, not as an optional menu or an aspiration;</w:t>
      </w:r>
    </w:p>
    <w:p w14:paraId="3324D8BB" w14:textId="77777777" w:rsidR="00EA0C36" w:rsidRDefault="00CD5DDA">
      <w:pPr>
        <w:pStyle w:val="MVSBullet"/>
        <w:numPr>
          <w:ilvl w:val="0"/>
          <w:numId w:val="1"/>
        </w:numPr>
      </w:pPr>
      <w:r>
        <w:rPr>
          <w:rFonts w:eastAsia="Calibri"/>
        </w:rPr>
        <w:t>the wording of the EHCP is not diluted through internal plans;</w:t>
      </w:r>
    </w:p>
    <w:p w14:paraId="279B4664" w14:textId="77777777" w:rsidR="00EA0C36" w:rsidRDefault="00CD5DDA">
      <w:pPr>
        <w:pStyle w:val="MVSBullet"/>
        <w:numPr>
          <w:ilvl w:val="0"/>
          <w:numId w:val="1"/>
        </w:numPr>
      </w:pPr>
      <w:r>
        <w:rPr>
          <w:rFonts w:eastAsia="Calibri"/>
        </w:rPr>
        <w:t xml:space="preserve">material non-delivery, staffing gaps or professional-capacity concerns are escalated immediately to the Head of School and </w:t>
      </w:r>
      <w:proofErr w:type="gramStart"/>
      <w:r>
        <w:rPr>
          <w:rFonts w:eastAsia="Calibri"/>
        </w:rPr>
        <w:t>responsible local authority</w:t>
      </w:r>
      <w:proofErr w:type="gramEnd"/>
      <w:r>
        <w:rPr>
          <w:rFonts w:eastAsia="Calibri"/>
        </w:rPr>
        <w:t>;</w:t>
      </w:r>
    </w:p>
    <w:p w14:paraId="0AE8369C" w14:textId="77777777" w:rsidR="00EA0C36" w:rsidRDefault="00CD5DDA">
      <w:pPr>
        <w:pStyle w:val="MVSBullet"/>
        <w:numPr>
          <w:ilvl w:val="0"/>
          <w:numId w:val="1"/>
        </w:numPr>
      </w:pPr>
      <w:proofErr w:type="gramStart"/>
      <w:r>
        <w:rPr>
          <w:rFonts w:eastAsia="Calibri"/>
        </w:rPr>
        <w:t>temporary</w:t>
      </w:r>
      <w:proofErr w:type="gramEnd"/>
      <w:r>
        <w:rPr>
          <w:rFonts w:eastAsia="Calibri"/>
        </w:rPr>
        <w:t xml:space="preserve"> alternatives are risk-assessed, time-limited, agreed where required and do not silently become permanent substitutions;</w:t>
      </w:r>
    </w:p>
    <w:p w14:paraId="0983AEB4" w14:textId="77777777" w:rsidR="00EA0C36" w:rsidRDefault="00CD5DDA">
      <w:pPr>
        <w:pStyle w:val="MVSBullet"/>
        <w:numPr>
          <w:ilvl w:val="0"/>
          <w:numId w:val="1"/>
        </w:numPr>
      </w:pPr>
      <w:r>
        <w:rPr>
          <w:rFonts w:eastAsia="Calibri"/>
        </w:rPr>
        <w:t>changes to statutory provision are pursued through the lawful review/amendment process; and</w:t>
      </w:r>
    </w:p>
    <w:p w14:paraId="1BD1F36E" w14:textId="77777777" w:rsidR="00EA0C36" w:rsidRDefault="00CD5DDA">
      <w:pPr>
        <w:pStyle w:val="MVSBullet"/>
        <w:numPr>
          <w:ilvl w:val="0"/>
          <w:numId w:val="1"/>
        </w:numPr>
      </w:pPr>
      <w:r>
        <w:rPr>
          <w:rFonts w:eastAsia="Calibri"/>
        </w:rPr>
        <w:t>evidence focuses on both delivery and impact.</w:t>
      </w:r>
    </w:p>
    <w:p w14:paraId="607473BD" w14:textId="77777777" w:rsidR="00EA0C36" w:rsidRDefault="00CD5DDA">
      <w:pPr>
        <w:pStyle w:val="Heading2"/>
      </w:pPr>
      <w:r>
        <w:t>9.2 Annual and early reviews</w:t>
      </w:r>
    </w:p>
    <w:p w14:paraId="6E88FD03" w14:textId="77777777" w:rsidR="00EA0C36" w:rsidRDefault="00CD5DDA">
      <w:r>
        <w:rPr>
          <w:rFonts w:eastAsia="Calibri"/>
        </w:rPr>
        <w:t>MVS will cooperate fully with the responsible local authority and, where asked or commissioned to convene the review, follow the statutory timetable. Reviews will be person-</w:t>
      </w:r>
      <w:proofErr w:type="spellStart"/>
      <w:r>
        <w:rPr>
          <w:rFonts w:eastAsia="Calibri"/>
        </w:rPr>
        <w:t>centred</w:t>
      </w:r>
      <w:proofErr w:type="spellEnd"/>
      <w:r>
        <w:rPr>
          <w:rFonts w:eastAsia="Calibri"/>
        </w:rPr>
        <w:t xml:space="preserve"> and accessible. Advice will be requested and circulated in advance in line with the applicable timetable; the meeting will examine progress towards outcomes, continued appropriateness of provision, aspirations, placement, health/social care interfaces and preparation for adulthood. The school's report and recommendations will be sent to the local authority promptly </w:t>
      </w:r>
      <w:proofErr w:type="gramStart"/>
      <w:r>
        <w:rPr>
          <w:rFonts w:eastAsia="Calibri"/>
        </w:rPr>
        <w:t>and,</w:t>
      </w:r>
      <w:proofErr w:type="gramEnd"/>
      <w:r>
        <w:rPr>
          <w:rFonts w:eastAsia="Calibri"/>
        </w:rPr>
        <w:t xml:space="preserve"> where MVS convenes the meeting, normally within two weeks.</w:t>
      </w:r>
    </w:p>
    <w:p w14:paraId="185F56C0" w14:textId="77777777" w:rsidR="00EA0C36" w:rsidRDefault="00CD5DDA">
      <w:r>
        <w:rPr>
          <w:rFonts w:eastAsia="Calibri"/>
        </w:rPr>
        <w:lastRenderedPageBreak/>
        <w:t>An early review will be requested where need, risk, placement viability, attendance, health, safeguarding, provision or aspirations have changed materially; where provision cannot be delivered; or where the plan is no longer specific enough to guide safe and effective support. An annual review is not delayed because internal evidence is incomplete.</w:t>
      </w:r>
    </w:p>
    <w:p w14:paraId="1C8FC491" w14:textId="77777777" w:rsidR="00EA0C36" w:rsidRDefault="00CD5DDA">
      <w:pPr>
        <w:pStyle w:val="Heading2"/>
      </w:pPr>
      <w:r>
        <w:t>9.3 Funding and provision</w:t>
      </w:r>
    </w:p>
    <w:p w14:paraId="5274A6B9" w14:textId="77777777" w:rsidR="00EA0C36" w:rsidRDefault="00CD5DDA">
      <w:r>
        <w:rPr>
          <w:rFonts w:eastAsia="Calibri"/>
        </w:rPr>
        <w:t xml:space="preserve">MVS will use transparent costing and commissioning processes. Funding discussion will not obscure what the pupil requires. Where </w:t>
      </w:r>
      <w:proofErr w:type="gramStart"/>
      <w:r>
        <w:rPr>
          <w:rFonts w:eastAsia="Calibri"/>
        </w:rPr>
        <w:t>a requested</w:t>
      </w:r>
      <w:proofErr w:type="gramEnd"/>
      <w:r>
        <w:rPr>
          <w:rFonts w:eastAsia="Calibri"/>
        </w:rPr>
        <w:t xml:space="preserve"> provision is not included in the agreed fee, the school will identify the gap clearly, explain the evidence and seek resolution before admission or immediately when a new need emerges. Staff must not promise provision outside delegated authority.</w:t>
      </w:r>
    </w:p>
    <w:p w14:paraId="602CDBF3" w14:textId="77777777" w:rsidR="00EA0C36" w:rsidRDefault="00CD5DDA">
      <w:pPr>
        <w:pStyle w:val="Heading1"/>
      </w:pPr>
      <w:r>
        <w:t>10. Equality, accessibility and reasonable adjustments</w:t>
      </w:r>
    </w:p>
    <w:p w14:paraId="33FEE3D4" w14:textId="77777777" w:rsidR="00EA0C36" w:rsidRDefault="00CD5DDA">
      <w:r>
        <w:rPr>
          <w:rFonts w:eastAsia="Calibri"/>
        </w:rPr>
        <w:t>MVS will not discriminate unlawfully in admissions, education, access to benefits, facilities or services, or in decisions about suspension, removal or exclusion. The duty to make reasonable adjustments is anticipatory: the school considers likely barriers for disabled pupils generally as well as the known needs of individuals.</w:t>
      </w:r>
    </w:p>
    <w:p w14:paraId="5476FABB" w14:textId="77777777" w:rsidR="00EA0C36" w:rsidRDefault="00CD5DDA">
      <w:pPr>
        <w:pStyle w:val="Heading2"/>
      </w:pPr>
      <w:r>
        <w:t>10.1 Adjustment process</w:t>
      </w:r>
    </w:p>
    <w:p w14:paraId="737DB30B" w14:textId="77777777" w:rsidR="00EA0C36" w:rsidRDefault="00CD5DDA">
      <w:pPr>
        <w:pStyle w:val="MVSNumbered"/>
        <w:numPr>
          <w:ilvl w:val="0"/>
          <w:numId w:val="1"/>
        </w:numPr>
      </w:pPr>
      <w:r>
        <w:rPr>
          <w:rFonts w:eastAsia="Calibri"/>
          <w:b/>
          <w:color w:val="164B42"/>
        </w:rPr>
        <w:t xml:space="preserve">Identify the disadvantage. </w:t>
      </w:r>
      <w:r>
        <w:rPr>
          <w:rFonts w:eastAsia="Calibri"/>
        </w:rPr>
        <w:t>Use pupil voice, evidence and observation to describe how a policy, practice, environment, communication method or absence of an aid places the pupil at a substantial disadvantage.</w:t>
      </w:r>
    </w:p>
    <w:p w14:paraId="384AA867" w14:textId="77777777" w:rsidR="00EA0C36" w:rsidRDefault="00CD5DDA">
      <w:pPr>
        <w:pStyle w:val="MVSNumbered"/>
        <w:numPr>
          <w:ilvl w:val="0"/>
          <w:numId w:val="1"/>
        </w:numPr>
      </w:pPr>
      <w:r>
        <w:rPr>
          <w:rFonts w:eastAsia="Calibri"/>
          <w:b/>
          <w:color w:val="164B42"/>
        </w:rPr>
        <w:t xml:space="preserve">Consider effective options. </w:t>
      </w:r>
      <w:r>
        <w:rPr>
          <w:rFonts w:eastAsia="Calibri"/>
        </w:rPr>
        <w:t>Include changes to teaching, timetable, environment, communication, assessment, routines, staffing deployment, auxiliary aids or access arrangements.</w:t>
      </w:r>
    </w:p>
    <w:p w14:paraId="232B578E" w14:textId="77777777" w:rsidR="00EA0C36" w:rsidRDefault="00CD5DDA">
      <w:pPr>
        <w:pStyle w:val="MVSNumbered"/>
        <w:numPr>
          <w:ilvl w:val="0"/>
          <w:numId w:val="1"/>
        </w:numPr>
      </w:pPr>
      <w:r>
        <w:rPr>
          <w:rFonts w:eastAsia="Calibri"/>
          <w:b/>
          <w:color w:val="164B42"/>
        </w:rPr>
        <w:t xml:space="preserve">Decide and record. </w:t>
      </w:r>
      <w:r>
        <w:rPr>
          <w:rFonts w:eastAsia="Calibri"/>
        </w:rPr>
        <w:t>Consider effectiveness, practicality, cost and resources, disruption, health and safety and the interests of others. Cost alone is not a complete rationale.</w:t>
      </w:r>
    </w:p>
    <w:p w14:paraId="50CA97C9" w14:textId="77777777" w:rsidR="00EA0C36" w:rsidRDefault="00CD5DDA">
      <w:pPr>
        <w:pStyle w:val="MVSNumbered"/>
        <w:numPr>
          <w:ilvl w:val="0"/>
          <w:numId w:val="1"/>
        </w:numPr>
      </w:pPr>
      <w:r>
        <w:rPr>
          <w:rFonts w:eastAsia="Calibri"/>
          <w:b/>
          <w:color w:val="164B42"/>
        </w:rPr>
        <w:t xml:space="preserve">Implement and review. </w:t>
      </w:r>
      <w:r>
        <w:rPr>
          <w:rFonts w:eastAsia="Calibri"/>
        </w:rPr>
        <w:t>Name responsibility, tell relevant staff, check the adjustment works and revise it when circumstances change.</w:t>
      </w:r>
    </w:p>
    <w:p w14:paraId="072DD283" w14:textId="77777777" w:rsidR="00EA0C36" w:rsidRDefault="00CD5DDA">
      <w:r>
        <w:rPr>
          <w:rFonts w:eastAsia="Calibri"/>
        </w:rPr>
        <w:t xml:space="preserve">Health and safety </w:t>
      </w:r>
      <w:proofErr w:type="gramStart"/>
      <w:r>
        <w:rPr>
          <w:rFonts w:eastAsia="Calibri"/>
        </w:rPr>
        <w:t>is</w:t>
      </w:r>
      <w:proofErr w:type="gramEnd"/>
      <w:r>
        <w:rPr>
          <w:rFonts w:eastAsia="Calibri"/>
        </w:rPr>
        <w:t xml:space="preserve"> considered through individual, proportionate risk assessment; it must not be used as a blanket reason to exclude a pupil from a curriculum area, visit, placement opportunity or wider school life. The Accessibility Plan will address curriculum access, the physical environment and accessible information over time.</w:t>
      </w:r>
    </w:p>
    <w:p w14:paraId="03F1B2ED" w14:textId="77777777" w:rsidR="00EA0C36" w:rsidRDefault="00CD5DDA">
      <w:pPr>
        <w:pStyle w:val="Heading2"/>
      </w:pPr>
      <w:r>
        <w:t>10.2 Assessment and accreditation access</w:t>
      </w:r>
    </w:p>
    <w:p w14:paraId="6A69DE93" w14:textId="77777777" w:rsidR="00EA0C36" w:rsidRDefault="00CD5DDA">
      <w:r>
        <w:rPr>
          <w:rFonts w:eastAsia="Calibri"/>
        </w:rPr>
        <w:t xml:space="preserve">Teachers and the examinations lead will identify potential access needs early, retain normal-way-of-working evidence and follow current awarding-body rules. Access arrangements must remove </w:t>
      </w:r>
      <w:proofErr w:type="gramStart"/>
      <w:r>
        <w:rPr>
          <w:rFonts w:eastAsia="Calibri"/>
        </w:rPr>
        <w:t>disadvantage</w:t>
      </w:r>
      <w:proofErr w:type="gramEnd"/>
      <w:r>
        <w:rPr>
          <w:rFonts w:eastAsia="Calibri"/>
        </w:rPr>
        <w:t xml:space="preserve"> without changing the competence being assessed. Qualification choice will be based on pathway and aspiration, not on a presumption created by diagnosis.</w:t>
      </w:r>
    </w:p>
    <w:p w14:paraId="7A8C9B3E" w14:textId="77777777" w:rsidR="00EA0C36" w:rsidRDefault="00CD5DDA">
      <w:pPr>
        <w:pStyle w:val="Heading1"/>
      </w:pPr>
      <w:r>
        <w:lastRenderedPageBreak/>
        <w:t>11. Pupil voice, participation and communication</w:t>
      </w:r>
    </w:p>
    <w:p w14:paraId="7F2CA4A9" w14:textId="77777777" w:rsidR="00EA0C36" w:rsidRDefault="00CD5DDA">
      <w:r>
        <w:rPr>
          <w:rFonts w:eastAsia="Calibri"/>
        </w:rPr>
        <w:t>MVS will support pupils to understand and influence decisions about their education, provision, safety, relationships, goals and future. Participation is a process, not a single question at review meetings.</w:t>
      </w:r>
    </w:p>
    <w:p w14:paraId="6EB5F36F" w14:textId="77777777" w:rsidR="00EA0C36" w:rsidRDefault="00CD5DDA">
      <w:pPr>
        <w:pStyle w:val="MVSBullet"/>
        <w:numPr>
          <w:ilvl w:val="0"/>
          <w:numId w:val="1"/>
        </w:numPr>
      </w:pPr>
      <w:r>
        <w:rPr>
          <w:rFonts w:eastAsia="Calibri"/>
        </w:rPr>
        <w:t>use the pupil's preferred communication method, including symbols, objects, signing, writing, technology or trusted communication partners;</w:t>
      </w:r>
    </w:p>
    <w:p w14:paraId="5548D5E5" w14:textId="77777777" w:rsidR="00EA0C36" w:rsidRDefault="00CD5DDA">
      <w:pPr>
        <w:pStyle w:val="MVSBullet"/>
        <w:numPr>
          <w:ilvl w:val="0"/>
          <w:numId w:val="1"/>
        </w:numPr>
      </w:pPr>
      <w:r>
        <w:rPr>
          <w:rFonts w:eastAsia="Calibri"/>
        </w:rPr>
        <w:t>provide information in advance and in an accessible format;</w:t>
      </w:r>
    </w:p>
    <w:p w14:paraId="664293AC" w14:textId="77777777" w:rsidR="00EA0C36" w:rsidRDefault="00CD5DDA">
      <w:pPr>
        <w:pStyle w:val="MVSBullet"/>
        <w:numPr>
          <w:ilvl w:val="0"/>
          <w:numId w:val="1"/>
        </w:numPr>
      </w:pPr>
      <w:r>
        <w:rPr>
          <w:rFonts w:eastAsia="Calibri"/>
        </w:rPr>
        <w:t>allow processing time and avoid interpreting distress, silence or compliance as informed agreement;</w:t>
      </w:r>
    </w:p>
    <w:p w14:paraId="23281364" w14:textId="77777777" w:rsidR="00EA0C36" w:rsidRDefault="00CD5DDA">
      <w:pPr>
        <w:pStyle w:val="MVSBullet"/>
        <w:numPr>
          <w:ilvl w:val="0"/>
          <w:numId w:val="1"/>
        </w:numPr>
      </w:pPr>
      <w:r>
        <w:rPr>
          <w:rFonts w:eastAsia="Calibri"/>
        </w:rPr>
        <w:t>record what matters to and for the pupil, including dissent or uncertainty;</w:t>
      </w:r>
    </w:p>
    <w:p w14:paraId="537C9800" w14:textId="77777777" w:rsidR="00EA0C36" w:rsidRDefault="00CD5DDA">
      <w:pPr>
        <w:pStyle w:val="MVSBullet"/>
        <w:numPr>
          <w:ilvl w:val="0"/>
          <w:numId w:val="1"/>
        </w:numPr>
      </w:pPr>
      <w:r>
        <w:rPr>
          <w:rFonts w:eastAsia="Calibri"/>
        </w:rPr>
        <w:t>explain decisions and what will happen next;</w:t>
      </w:r>
    </w:p>
    <w:p w14:paraId="6DE02C70" w14:textId="77777777" w:rsidR="00EA0C36" w:rsidRDefault="00CD5DDA">
      <w:pPr>
        <w:pStyle w:val="MVSBullet"/>
        <w:numPr>
          <w:ilvl w:val="0"/>
          <w:numId w:val="1"/>
        </w:numPr>
      </w:pPr>
      <w:r>
        <w:rPr>
          <w:rFonts w:eastAsia="Calibri"/>
        </w:rPr>
        <w:t>offer an advocate or independent support where appropriate; and</w:t>
      </w:r>
    </w:p>
    <w:p w14:paraId="4C15A8DE" w14:textId="77777777" w:rsidR="00EA0C36" w:rsidRDefault="00CD5DDA">
      <w:pPr>
        <w:pStyle w:val="MVSBullet"/>
        <w:numPr>
          <w:ilvl w:val="0"/>
          <w:numId w:val="1"/>
        </w:numPr>
      </w:pPr>
      <w:r>
        <w:rPr>
          <w:rFonts w:eastAsia="Calibri"/>
        </w:rPr>
        <w:t>for young people after compulsory school age, recognise the transfer of statutory decision-making rights and involve parents with the young person's agreement, subject to capacity and safeguarding law.</w:t>
      </w:r>
    </w:p>
    <w:tbl>
      <w:tblPr>
        <w:tblW w:w="9360" w:type="dxa"/>
        <w:tblInd w:w="120" w:type="dxa"/>
        <w:tblBorders>
          <w:top w:val="single" w:sz="6" w:space="0" w:color="D5DADF"/>
          <w:left w:val="single" w:sz="6" w:space="0" w:color="D5DADF"/>
          <w:bottom w:val="single" w:sz="6" w:space="0" w:color="D5DADF"/>
          <w:right w:val="single" w:sz="6" w:space="0" w:color="D5DADF"/>
          <w:insideH w:val="single" w:sz="6" w:space="0" w:color="D5DADF"/>
          <w:insideV w:val="single" w:sz="6" w:space="0" w:color="D5DADF"/>
        </w:tblBorders>
        <w:tblLayout w:type="fixed"/>
        <w:tblLook w:val="04A0" w:firstRow="1" w:lastRow="0" w:firstColumn="1" w:lastColumn="0" w:noHBand="0" w:noVBand="1"/>
      </w:tblPr>
      <w:tblGrid>
        <w:gridCol w:w="9360"/>
      </w:tblGrid>
      <w:tr w:rsidR="00EA0C36" w14:paraId="6921721B" w14:textId="77777777">
        <w:trPr>
          <w:cantSplit/>
        </w:trPr>
        <w:tc>
          <w:tcPr>
            <w:tcW w:w="9360" w:type="dxa"/>
            <w:tcBorders>
              <w:left w:val="single" w:sz="22" w:space="0" w:color="164B42"/>
            </w:tcBorders>
            <w:shd w:val="clear" w:color="auto" w:fill="EAF2EF"/>
            <w:tcMar>
              <w:top w:w="80" w:type="dxa"/>
              <w:left w:w="120" w:type="dxa"/>
              <w:bottom w:w="80" w:type="dxa"/>
              <w:right w:w="120" w:type="dxa"/>
            </w:tcMar>
            <w:vAlign w:val="center"/>
          </w:tcPr>
          <w:p w14:paraId="75FC20F1" w14:textId="77777777" w:rsidR="00EA0C36" w:rsidRDefault="00CD5DDA">
            <w:pPr>
              <w:spacing w:after="40"/>
            </w:pPr>
            <w:r>
              <w:rPr>
                <w:rFonts w:eastAsia="Calibri"/>
                <w:b/>
                <w:caps/>
                <w:color w:val="164B42"/>
                <w:sz w:val="18"/>
              </w:rPr>
              <w:t>COMMUNICATION IS SAFEGUARDING</w:t>
            </w:r>
          </w:p>
          <w:p w14:paraId="6488A4A6" w14:textId="77777777" w:rsidR="00EA0C36" w:rsidRDefault="00CD5DDA">
            <w:pPr>
              <w:spacing w:after="0" w:line="269" w:lineRule="auto"/>
            </w:pPr>
            <w:r>
              <w:rPr>
                <w:rFonts w:eastAsia="Calibri"/>
                <w:sz w:val="20"/>
              </w:rPr>
              <w:t>A pupil's communication profile must be available to relevant staff. Any sudden change in communication, behaviour, regulation, attendance, eating, sleep or personal care may indicate unmet need, distress, illness or harm and must be considered rather than attributed automatically to SEND.</w:t>
            </w:r>
          </w:p>
        </w:tc>
      </w:tr>
    </w:tbl>
    <w:p w14:paraId="43237509" w14:textId="77777777" w:rsidR="00EA0C36" w:rsidRDefault="00EA0C36">
      <w:pPr>
        <w:spacing w:after="0"/>
      </w:pPr>
    </w:p>
    <w:p w14:paraId="424DC471" w14:textId="77777777" w:rsidR="00EA0C36" w:rsidRDefault="00CD5DDA">
      <w:pPr>
        <w:pStyle w:val="Heading1"/>
      </w:pPr>
      <w:r>
        <w:t>12. Partnership with parents and carers</w:t>
      </w:r>
    </w:p>
    <w:p w14:paraId="3C760BA7" w14:textId="77777777" w:rsidR="00EA0C36" w:rsidRDefault="00CD5DDA">
      <w:r>
        <w:rPr>
          <w:rFonts w:eastAsia="Calibri"/>
        </w:rPr>
        <w:t>Parents and carers hold essential knowledge about the pupil's history, communication, regulation, health, culture, strengths and aspirations. MVS will establish a named contact, agree routine communication arrangements, provide accessible information, share significant concerns promptly and avoid surprises at formal reviews.</w:t>
      </w:r>
    </w:p>
    <w:p w14:paraId="17A9CF07" w14:textId="77777777" w:rsidR="00EA0C36" w:rsidRDefault="00CD5DDA">
      <w:r>
        <w:rPr>
          <w:rFonts w:eastAsia="Calibri"/>
        </w:rPr>
        <w:t>Partnership does not require agreement on every issue. Where views differ, staff will clarify the decision, evidence, legal basis, risks, options and route for review or complaint. Records will be factual and respectful. Confidentiality or safeguarding considerations may limit what can be shared, but staff will explain this as fully as lawful.</w:t>
      </w:r>
    </w:p>
    <w:p w14:paraId="6877EC59" w14:textId="77777777" w:rsidR="00EA0C36" w:rsidRDefault="00CD5DDA">
      <w:pPr>
        <w:pStyle w:val="Heading1"/>
      </w:pPr>
      <w:r>
        <w:t>13. Safeguarding pupils with SEND</w:t>
      </w:r>
    </w:p>
    <w:p w14:paraId="5BB303FF" w14:textId="77777777" w:rsidR="00EA0C36" w:rsidRDefault="00CD5DDA">
      <w:r>
        <w:rPr>
          <w:rFonts w:eastAsia="Calibri"/>
        </w:rPr>
        <w:t xml:space="preserve">MVS follows Keeping Children Safe in Education 2026 and Working Together to Safeguard Children 2026. Pupils with SEND may face additional safeguarding barriers, including communication difficulties, greater dependence on adults, intimate care, isolation, bullying, online risk, difficulty </w:t>
      </w:r>
      <w:proofErr w:type="spellStart"/>
      <w:r>
        <w:rPr>
          <w:rFonts w:eastAsia="Calibri"/>
        </w:rPr>
        <w:t>recognising</w:t>
      </w:r>
      <w:proofErr w:type="spellEnd"/>
      <w:r>
        <w:rPr>
          <w:rFonts w:eastAsia="Calibri"/>
        </w:rPr>
        <w:t xml:space="preserve"> abuse, and the risk that signs of harm are mistaken for features of disability or behaviour.</w:t>
      </w:r>
    </w:p>
    <w:p w14:paraId="7DAD3C87" w14:textId="77777777" w:rsidR="00EA0C36" w:rsidRDefault="00CD5DDA">
      <w:pPr>
        <w:pStyle w:val="Heading2"/>
      </w:pPr>
      <w:r>
        <w:lastRenderedPageBreak/>
        <w:t>13.1 Required practice</w:t>
      </w:r>
    </w:p>
    <w:p w14:paraId="79F800A6" w14:textId="77777777" w:rsidR="00EA0C36" w:rsidRDefault="00CD5DDA">
      <w:pPr>
        <w:pStyle w:val="MVSBullet"/>
        <w:numPr>
          <w:ilvl w:val="0"/>
          <w:numId w:val="1"/>
        </w:numPr>
      </w:pPr>
      <w:r>
        <w:rPr>
          <w:rFonts w:eastAsia="Calibri"/>
        </w:rPr>
        <w:t>all staff read KCSIE 2026 Part One in full and follow the school's Safeguarding Policy;</w:t>
      </w:r>
    </w:p>
    <w:p w14:paraId="3A3DD904" w14:textId="77777777" w:rsidR="00EA0C36" w:rsidRDefault="00CD5DDA">
      <w:pPr>
        <w:pStyle w:val="MVSBullet"/>
        <w:numPr>
          <w:ilvl w:val="0"/>
          <w:numId w:val="1"/>
        </w:numPr>
      </w:pPr>
      <w:r>
        <w:rPr>
          <w:rFonts w:eastAsia="Calibri"/>
        </w:rPr>
        <w:t xml:space="preserve">staff receive training on SEND-related vulnerabilities, professional curiosity, communication and indicators that may </w:t>
      </w:r>
      <w:proofErr w:type="gramStart"/>
      <w:r>
        <w:rPr>
          <w:rFonts w:eastAsia="Calibri"/>
        </w:rPr>
        <w:t>present</w:t>
      </w:r>
      <w:proofErr w:type="gramEnd"/>
      <w:r>
        <w:rPr>
          <w:rFonts w:eastAsia="Calibri"/>
        </w:rPr>
        <w:t xml:space="preserve"> differently;</w:t>
      </w:r>
    </w:p>
    <w:p w14:paraId="71BB39E7" w14:textId="77777777" w:rsidR="00EA0C36" w:rsidRDefault="00CD5DDA">
      <w:pPr>
        <w:pStyle w:val="MVSBullet"/>
        <w:numPr>
          <w:ilvl w:val="0"/>
          <w:numId w:val="1"/>
        </w:numPr>
      </w:pPr>
      <w:r>
        <w:rPr>
          <w:rFonts w:eastAsia="Calibri"/>
        </w:rPr>
        <w:t xml:space="preserve">the DSL is involved in placement screening and in plans </w:t>
      </w:r>
      <w:proofErr w:type="gramStart"/>
      <w:r>
        <w:rPr>
          <w:rFonts w:eastAsia="Calibri"/>
        </w:rPr>
        <w:t>where</w:t>
      </w:r>
      <w:proofErr w:type="gramEnd"/>
      <w:r>
        <w:rPr>
          <w:rFonts w:eastAsia="Calibri"/>
        </w:rPr>
        <w:t xml:space="preserve"> vulnerability, exploitation, self-harm, harmful behaviour, neglect or family stress may affect safety;</w:t>
      </w:r>
    </w:p>
    <w:p w14:paraId="36A94FC0" w14:textId="77777777" w:rsidR="00EA0C36" w:rsidRDefault="00CD5DDA">
      <w:pPr>
        <w:pStyle w:val="MVSBullet"/>
        <w:numPr>
          <w:ilvl w:val="0"/>
          <w:numId w:val="1"/>
        </w:numPr>
      </w:pPr>
      <w:r>
        <w:rPr>
          <w:rFonts w:eastAsia="Calibri"/>
        </w:rPr>
        <w:t>pupils have accessible ways to report concerns and know which adults can help;</w:t>
      </w:r>
    </w:p>
    <w:p w14:paraId="186543E8" w14:textId="77777777" w:rsidR="00EA0C36" w:rsidRDefault="00CD5DDA">
      <w:pPr>
        <w:pStyle w:val="MVSBullet"/>
        <w:numPr>
          <w:ilvl w:val="0"/>
          <w:numId w:val="1"/>
        </w:numPr>
      </w:pPr>
      <w:r>
        <w:rPr>
          <w:rFonts w:eastAsia="Calibri"/>
        </w:rPr>
        <w:t>personal care, medication, physical support and therapy are delivered with dignity, consent, clear boundaries and appropriate records;</w:t>
      </w:r>
    </w:p>
    <w:p w14:paraId="7FEAD5DF" w14:textId="77777777" w:rsidR="00EA0C36" w:rsidRDefault="00CD5DDA">
      <w:pPr>
        <w:pStyle w:val="MVSBullet"/>
        <w:numPr>
          <w:ilvl w:val="0"/>
          <w:numId w:val="1"/>
        </w:numPr>
      </w:pPr>
      <w:proofErr w:type="gramStart"/>
      <w:r>
        <w:rPr>
          <w:rFonts w:eastAsia="Calibri"/>
        </w:rPr>
        <w:t>pupil</w:t>
      </w:r>
      <w:proofErr w:type="gramEnd"/>
      <w:r>
        <w:rPr>
          <w:rFonts w:eastAsia="Calibri"/>
        </w:rPr>
        <w:t>-on-</w:t>
      </w:r>
      <w:proofErr w:type="gramStart"/>
      <w:r>
        <w:rPr>
          <w:rFonts w:eastAsia="Calibri"/>
        </w:rPr>
        <w:t>pupil</w:t>
      </w:r>
      <w:proofErr w:type="gramEnd"/>
      <w:r>
        <w:rPr>
          <w:rFonts w:eastAsia="Calibri"/>
        </w:rPr>
        <w:t xml:space="preserve"> abuse, bullying and online harm are not dismissed as banter, developmental behaviour or an inevitable feature of SEND; and</w:t>
      </w:r>
    </w:p>
    <w:p w14:paraId="6F1BCDDC" w14:textId="77777777" w:rsidR="00EA0C36" w:rsidRDefault="00CD5DDA">
      <w:pPr>
        <w:pStyle w:val="MVSBullet"/>
        <w:numPr>
          <w:ilvl w:val="0"/>
          <w:numId w:val="1"/>
        </w:numPr>
      </w:pPr>
      <w:r>
        <w:rPr>
          <w:rFonts w:eastAsia="Calibri"/>
        </w:rPr>
        <w:t>concerns are shared without delay through safeguarding procedures; SEND assessment never delays protective action.</w:t>
      </w:r>
    </w:p>
    <w:p w14:paraId="18B568E3" w14:textId="77777777" w:rsidR="00EA0C36" w:rsidRDefault="00CD5DDA">
      <w:pPr>
        <w:pStyle w:val="Heading2"/>
      </w:pPr>
      <w:r>
        <w:t>13.2 Safeguarding and EHCP information</w:t>
      </w:r>
    </w:p>
    <w:p w14:paraId="0285789A" w14:textId="77777777" w:rsidR="00EA0C36" w:rsidRDefault="00CD5DDA">
      <w:r>
        <w:rPr>
          <w:rFonts w:eastAsia="Calibri"/>
        </w:rPr>
        <w:t>Safeguarding information is shared on a need-to-know basis and is not copied indiscriminately into education plans. However, education and risk planning must reflect relevant facts. If an EHCP omits a significant safeguarding-related need or provision, MVS will liaise with the local authority and relevant agencies rather than editing statutory wording itself.</w:t>
      </w:r>
    </w:p>
    <w:p w14:paraId="55705EE5" w14:textId="77777777" w:rsidR="00EA0C36" w:rsidRDefault="00CD5DDA">
      <w:pPr>
        <w:pStyle w:val="Heading1"/>
      </w:pPr>
      <w:r>
        <w:t>14. Behaviour, regulation, attendance and exclusion risk</w:t>
      </w:r>
    </w:p>
    <w:p w14:paraId="52F564D0" w14:textId="77777777" w:rsidR="00EA0C36" w:rsidRDefault="00CD5DDA">
      <w:pPr>
        <w:pStyle w:val="Heading2"/>
      </w:pPr>
      <w:r>
        <w:t>14.1 Behaviour and regulation</w:t>
      </w:r>
    </w:p>
    <w:p w14:paraId="2B296671" w14:textId="77777777" w:rsidR="00EA0C36" w:rsidRDefault="00CD5DDA">
      <w:r>
        <w:rPr>
          <w:rFonts w:eastAsia="Calibri"/>
        </w:rPr>
        <w:t xml:space="preserve">MVS understands behaviour as communication and uses PBS-informed, relational and trauma-informed approaches. This does not mean unsafe behaviour is ignored or that pupils and staff are expected to tolerate harm. It means adults seek to understand </w:t>
      </w:r>
      <w:proofErr w:type="gramStart"/>
      <w:r>
        <w:rPr>
          <w:rFonts w:eastAsia="Calibri"/>
        </w:rPr>
        <w:t>function</w:t>
      </w:r>
      <w:proofErr w:type="gramEnd"/>
      <w:r>
        <w:rPr>
          <w:rFonts w:eastAsia="Calibri"/>
        </w:rPr>
        <w:t>, reduce preventable triggers, teach safer alternatives and respond consistently and proportionately.</w:t>
      </w:r>
    </w:p>
    <w:p w14:paraId="6E4BBF96" w14:textId="77777777" w:rsidR="00EA0C36" w:rsidRDefault="00CD5DDA">
      <w:pPr>
        <w:pStyle w:val="MVSBullet"/>
        <w:numPr>
          <w:ilvl w:val="0"/>
          <w:numId w:val="1"/>
        </w:numPr>
      </w:pPr>
      <w:r>
        <w:rPr>
          <w:rFonts w:eastAsia="Calibri"/>
        </w:rPr>
        <w:t>individual behaviour or support plans link to the EHCP, communication profile, risk assessment and safeguarding plan;</w:t>
      </w:r>
    </w:p>
    <w:p w14:paraId="6B01C2B8" w14:textId="77777777" w:rsidR="00EA0C36" w:rsidRDefault="00CD5DDA">
      <w:pPr>
        <w:pStyle w:val="MVSBullet"/>
        <w:numPr>
          <w:ilvl w:val="0"/>
          <w:numId w:val="1"/>
        </w:numPr>
      </w:pPr>
      <w:r>
        <w:rPr>
          <w:rFonts w:eastAsia="Calibri"/>
        </w:rPr>
        <w:t>plans identify proactive environmental strategies, skills to teach, early signs, agreed responses and recovery/reconnection;</w:t>
      </w:r>
    </w:p>
    <w:p w14:paraId="3D97F5F8" w14:textId="77777777" w:rsidR="00EA0C36" w:rsidRDefault="00CD5DDA">
      <w:pPr>
        <w:pStyle w:val="MVSBullet"/>
        <w:numPr>
          <w:ilvl w:val="0"/>
          <w:numId w:val="1"/>
        </w:numPr>
      </w:pPr>
      <w:r>
        <w:rPr>
          <w:rFonts w:eastAsia="Calibri"/>
        </w:rPr>
        <w:t>sanctions are not used for behaviour the pupil could not reasonably regulate without agreed support;</w:t>
      </w:r>
    </w:p>
    <w:p w14:paraId="09C3FEF1" w14:textId="77777777" w:rsidR="00EA0C36" w:rsidRDefault="00CD5DDA">
      <w:pPr>
        <w:pStyle w:val="MVSBullet"/>
        <w:numPr>
          <w:ilvl w:val="0"/>
          <w:numId w:val="1"/>
        </w:numPr>
      </w:pPr>
      <w:r>
        <w:rPr>
          <w:rFonts w:eastAsia="Calibri"/>
        </w:rPr>
        <w:t>reasonable adjustments are considered and documented while maintaining clear safety boundaries;</w:t>
      </w:r>
    </w:p>
    <w:p w14:paraId="3F1820D8" w14:textId="77777777" w:rsidR="00EA0C36" w:rsidRDefault="00CD5DDA">
      <w:pPr>
        <w:pStyle w:val="MVSBullet"/>
        <w:numPr>
          <w:ilvl w:val="0"/>
          <w:numId w:val="1"/>
        </w:numPr>
      </w:pPr>
      <w:r>
        <w:rPr>
          <w:rFonts w:eastAsia="Calibri"/>
        </w:rPr>
        <w:t>restrictive physical intervention is a last resort, used only where lawful, necessary and proportionate, and reviewed under the relevant policy; and</w:t>
      </w:r>
    </w:p>
    <w:p w14:paraId="1BB0C847" w14:textId="77777777" w:rsidR="00EA0C36" w:rsidRDefault="00CD5DDA">
      <w:pPr>
        <w:pStyle w:val="MVSBullet"/>
        <w:numPr>
          <w:ilvl w:val="0"/>
          <w:numId w:val="1"/>
        </w:numPr>
      </w:pPr>
      <w:r>
        <w:rPr>
          <w:rFonts w:eastAsia="Calibri"/>
        </w:rPr>
        <w:lastRenderedPageBreak/>
        <w:t>patterns are analysed by pupil, context, protected characteristic, staffing, activity and time to identify systemic causes.</w:t>
      </w:r>
    </w:p>
    <w:p w14:paraId="67FFFC0B" w14:textId="77777777" w:rsidR="00EA0C36" w:rsidRDefault="00CD5DDA">
      <w:pPr>
        <w:pStyle w:val="Heading2"/>
      </w:pPr>
      <w:r>
        <w:t>14.2 Attendance</w:t>
      </w:r>
    </w:p>
    <w:p w14:paraId="6275314C" w14:textId="77777777" w:rsidR="00EA0C36" w:rsidRDefault="00CD5DDA">
      <w:r>
        <w:rPr>
          <w:rFonts w:eastAsia="Calibri"/>
        </w:rPr>
        <w:t>Attendance is both an education and safeguarding issue. MVS will analyse absence, lateness, internal non-attendance and reduced engagement for possible links to anxiety, sensory load, bullying, transport, health, unmet need, curriculum mismatch or family difficulty. Support is planned with the pupil, family, local authority and relevant professionals.</w:t>
      </w:r>
    </w:p>
    <w:p w14:paraId="44F121C0" w14:textId="77777777" w:rsidR="00EA0C36" w:rsidRDefault="00CD5DDA">
      <w:r>
        <w:rPr>
          <w:rFonts w:eastAsia="Calibri"/>
        </w:rPr>
        <w:t>A part-time timetable is exceptional, temporary, in the pupil's interests, risk-assessed, regularly reviewed and linked to a clear return or progression plan. It is not used to manage staffing shortages or as an informal exclusion. The local authority and parent/young person are involved as required, and the education provided is kept under review.</w:t>
      </w:r>
    </w:p>
    <w:p w14:paraId="71A8A73A" w14:textId="77777777" w:rsidR="00EA0C36" w:rsidRDefault="00CD5DDA">
      <w:pPr>
        <w:pStyle w:val="Heading2"/>
      </w:pPr>
      <w:r>
        <w:t>14.3 Suspension, removal or placement breakdown</w:t>
      </w:r>
    </w:p>
    <w:p w14:paraId="6E244C29" w14:textId="77777777" w:rsidR="00EA0C36" w:rsidRDefault="00CD5DDA">
      <w:r>
        <w:rPr>
          <w:rFonts w:eastAsia="Calibri"/>
        </w:rPr>
        <w:t>Any decision to suspend, remove or end a placement will follow the school's Behaviour and Exclusion Policy, contractual arrangements, equality law and safeguarding responsibilities. Before such a decision, MVS will review reasonable adjustments, provision fidelity, communication, curriculum, environment, health, trauma and emerging need; seek relevant views; and consider whether an early EHCP review or multi-agency plan is required. Emergency safety action does not remove the need for prompt review and accu</w:t>
      </w:r>
      <w:r>
        <w:rPr>
          <w:rFonts w:eastAsia="Calibri"/>
        </w:rPr>
        <w:t>rate records.</w:t>
      </w:r>
    </w:p>
    <w:p w14:paraId="018AB6E9" w14:textId="77777777" w:rsidR="00EA0C36" w:rsidRDefault="00CD5DDA">
      <w:pPr>
        <w:pStyle w:val="Heading1"/>
      </w:pPr>
      <w:r>
        <w:t>15. Health, therapy, personal care and multi-disciplinary working</w:t>
      </w:r>
    </w:p>
    <w:p w14:paraId="4197BF6B" w14:textId="77777777" w:rsidR="00EA0C36" w:rsidRDefault="00CD5DDA">
      <w:r>
        <w:rPr>
          <w:rFonts w:eastAsia="Calibri"/>
        </w:rPr>
        <w:t>Education, health and care are coordinated around shared outcomes while professional accountabilities remain clear. Clinical assessment, treatment and delegated healthcare tasks are undertaken only by appropriately qualified or trained people and in accordance with consent, information-governance and professional requirements.</w:t>
      </w:r>
    </w:p>
    <w:p w14:paraId="75973D3E" w14:textId="77777777" w:rsidR="00EA0C36" w:rsidRDefault="00CD5DDA">
      <w:pPr>
        <w:pStyle w:val="MVSBullet"/>
        <w:numPr>
          <w:ilvl w:val="0"/>
          <w:numId w:val="1"/>
        </w:numPr>
      </w:pPr>
      <w:r>
        <w:rPr>
          <w:rFonts w:eastAsia="Calibri"/>
        </w:rPr>
        <w:t>health, medication, allergy, seizure, eating/drinking, moving/handling and emergency needs are known before the pupil starts and are reflected in current individual plans;</w:t>
      </w:r>
    </w:p>
    <w:p w14:paraId="461562DE" w14:textId="77777777" w:rsidR="00EA0C36" w:rsidRDefault="00CD5DDA">
      <w:pPr>
        <w:pStyle w:val="MVSBullet"/>
        <w:numPr>
          <w:ilvl w:val="0"/>
          <w:numId w:val="1"/>
        </w:numPr>
      </w:pPr>
      <w:r>
        <w:rPr>
          <w:rFonts w:eastAsia="Calibri"/>
        </w:rPr>
        <w:t>therapy recommendations specify what is direct, indirect, consultative or embedded, who may deliver it and how competence is assured;</w:t>
      </w:r>
    </w:p>
    <w:p w14:paraId="3D7EB57E" w14:textId="77777777" w:rsidR="00EA0C36" w:rsidRDefault="00CD5DDA">
      <w:pPr>
        <w:pStyle w:val="MVSBullet"/>
        <w:numPr>
          <w:ilvl w:val="0"/>
          <w:numId w:val="1"/>
        </w:numPr>
      </w:pPr>
      <w:r>
        <w:rPr>
          <w:rFonts w:eastAsia="Calibri"/>
        </w:rPr>
        <w:t>teachers integrate specialist advice into teaching without representing themselves as clinicians;</w:t>
      </w:r>
    </w:p>
    <w:p w14:paraId="41056A41" w14:textId="77777777" w:rsidR="00EA0C36" w:rsidRDefault="00CD5DDA">
      <w:pPr>
        <w:pStyle w:val="MVSBullet"/>
        <w:numPr>
          <w:ilvl w:val="0"/>
          <w:numId w:val="1"/>
        </w:numPr>
      </w:pPr>
      <w:proofErr w:type="gramStart"/>
      <w:r>
        <w:rPr>
          <w:rFonts w:eastAsia="Calibri"/>
        </w:rPr>
        <w:t>personal</w:t>
      </w:r>
      <w:proofErr w:type="gramEnd"/>
      <w:r>
        <w:rPr>
          <w:rFonts w:eastAsia="Calibri"/>
        </w:rPr>
        <w:t xml:space="preserve"> care preserves dignity, privacy, choice and safeguarding, with the least intrusive support compatible with safety;</w:t>
      </w:r>
    </w:p>
    <w:p w14:paraId="07CA2465" w14:textId="77777777" w:rsidR="00EA0C36" w:rsidRDefault="00CD5DDA">
      <w:pPr>
        <w:pStyle w:val="MVSBullet"/>
        <w:numPr>
          <w:ilvl w:val="0"/>
          <w:numId w:val="1"/>
        </w:numPr>
      </w:pPr>
      <w:r>
        <w:rPr>
          <w:rFonts w:eastAsia="Calibri"/>
        </w:rPr>
        <w:t>multi-disciplinary meetings lead to named actions, owners, timescales and feedback to the pupil and family; and</w:t>
      </w:r>
    </w:p>
    <w:p w14:paraId="70E2F5EE" w14:textId="77777777" w:rsidR="00EA0C36" w:rsidRDefault="00CD5DDA">
      <w:pPr>
        <w:pStyle w:val="MVSBullet"/>
        <w:numPr>
          <w:ilvl w:val="0"/>
          <w:numId w:val="1"/>
        </w:numPr>
      </w:pPr>
      <w:r>
        <w:rPr>
          <w:rFonts w:eastAsia="Calibri"/>
        </w:rPr>
        <w:t>disagreement between professionals is escalated through line management and commissioning routes; it is not left to front-line staff or the family to reconcile informally.</w:t>
      </w:r>
    </w:p>
    <w:p w14:paraId="4E0190FD" w14:textId="77777777" w:rsidR="00EA0C36" w:rsidRDefault="00CD5DDA">
      <w:pPr>
        <w:pStyle w:val="Heading1"/>
      </w:pPr>
      <w:r>
        <w:lastRenderedPageBreak/>
        <w:t>16. Preparation for adulthood and transition</w:t>
      </w:r>
    </w:p>
    <w:p w14:paraId="2D24188C" w14:textId="77777777" w:rsidR="00EA0C36" w:rsidRDefault="00CD5DDA">
      <w:r>
        <w:rPr>
          <w:rFonts w:eastAsia="Calibri"/>
        </w:rPr>
        <w:t>Preparation for adulthood is a curriculum entitlement and begins early. From Year 9 at the latest, EHCP reviews and curriculum plans will address employment and meaningful occupation, independent living, good health, friendships, relationships, community inclusion and participation. Outcomes must be specific to the pupil's aspirations and next steps.</w:t>
      </w:r>
    </w:p>
    <w:p w14:paraId="5CCE7625" w14:textId="77777777" w:rsidR="00EA0C36" w:rsidRDefault="00CD5DDA">
      <w:pPr>
        <w:pStyle w:val="Heading2"/>
      </w:pPr>
      <w:r>
        <w:t>16.1 Transition into MVS</w:t>
      </w:r>
    </w:p>
    <w:p w14:paraId="779747A0" w14:textId="77777777" w:rsidR="00EA0C36" w:rsidRDefault="00CD5DDA">
      <w:r>
        <w:rPr>
          <w:rFonts w:eastAsia="Calibri"/>
        </w:rPr>
        <w:t xml:space="preserve">Transition is individualised. It may include accessible information, visits, staff outreach, visual or video </w:t>
      </w:r>
      <w:proofErr w:type="spellStart"/>
      <w:r>
        <w:rPr>
          <w:rFonts w:eastAsia="Calibri"/>
        </w:rPr>
        <w:t>familiarisation</w:t>
      </w:r>
      <w:proofErr w:type="spellEnd"/>
      <w:r>
        <w:rPr>
          <w:rFonts w:eastAsia="Calibri"/>
        </w:rPr>
        <w:t>, travel planning, peer information, phased introduction, equipment or environmental adjustments, staff training and transfer of health/safeguarding information. A phased start is not assumed; it is used where evidence shows it is helpful and has a review date.</w:t>
      </w:r>
    </w:p>
    <w:p w14:paraId="01A3AB55" w14:textId="77777777" w:rsidR="00EA0C36" w:rsidRDefault="00CD5DDA">
      <w:pPr>
        <w:pStyle w:val="Heading2"/>
      </w:pPr>
      <w:r>
        <w:t>16.2 Transition between pathways or out of MVS</w:t>
      </w:r>
    </w:p>
    <w:p w14:paraId="7EF0860F" w14:textId="77777777" w:rsidR="00EA0C36" w:rsidRDefault="00CD5DDA">
      <w:r>
        <w:rPr>
          <w:rFonts w:eastAsia="Calibri"/>
        </w:rPr>
        <w:t>Transition planning will identify the destination, skills and experiences required, application or referral steps, information-sharing consent, environmental or support needs and contingency arrangements. MVS will work with the receiving setting, careers professionals, local authority, family and adult services where relevant. The school will seek evidence of sustained destination and use it to improve curriculum planning.</w:t>
      </w:r>
    </w:p>
    <w:p w14:paraId="6C53F7C4" w14:textId="77777777" w:rsidR="00EA0C36" w:rsidRDefault="00CD5DDA">
      <w:pPr>
        <w:pStyle w:val="Heading1"/>
      </w:pPr>
      <w:r>
        <w:t>17. Workforce knowledge, training and supervision</w:t>
      </w:r>
    </w:p>
    <w:p w14:paraId="6C550B6B" w14:textId="77777777" w:rsidR="00EA0C36" w:rsidRDefault="00CD5DDA">
      <w:r>
        <w:rPr>
          <w:rFonts w:eastAsia="Calibri"/>
        </w:rPr>
        <w:t>No member of staff works independently with pupils until essential safeguarding and pupil-specific information has been completed. The Head of School and SENCO/Inclusion Lead maintain a role-based training plan covering, as applicable:</w:t>
      </w:r>
    </w:p>
    <w:p w14:paraId="15A3F365" w14:textId="77777777" w:rsidR="00EA0C36" w:rsidRDefault="00CD5DDA">
      <w:pPr>
        <w:pStyle w:val="MVSBullet"/>
        <w:numPr>
          <w:ilvl w:val="0"/>
          <w:numId w:val="1"/>
        </w:numPr>
      </w:pPr>
      <w:r>
        <w:rPr>
          <w:rFonts w:eastAsia="Calibri"/>
        </w:rPr>
        <w:t>SEND law, EHCP implementation, equality and reasonable adjustments;</w:t>
      </w:r>
    </w:p>
    <w:p w14:paraId="4DBD3658" w14:textId="77777777" w:rsidR="00EA0C36" w:rsidRDefault="00CD5DDA">
      <w:pPr>
        <w:pStyle w:val="MVSBullet"/>
        <w:numPr>
          <w:ilvl w:val="0"/>
          <w:numId w:val="1"/>
        </w:numPr>
      </w:pPr>
      <w:r>
        <w:rPr>
          <w:rFonts w:eastAsia="Calibri"/>
        </w:rPr>
        <w:t>autism, SEMH, SLCN and associated learning, sensory and physical needs;</w:t>
      </w:r>
    </w:p>
    <w:p w14:paraId="6EDAA0D6" w14:textId="77777777" w:rsidR="00EA0C36" w:rsidRDefault="00CD5DDA">
      <w:pPr>
        <w:pStyle w:val="MVSBullet"/>
        <w:numPr>
          <w:ilvl w:val="0"/>
          <w:numId w:val="1"/>
        </w:numPr>
      </w:pPr>
      <w:r>
        <w:rPr>
          <w:rFonts w:eastAsia="Calibri"/>
        </w:rPr>
        <w:t>communication support, including individual systems and accessible information;</w:t>
      </w:r>
    </w:p>
    <w:p w14:paraId="54592DE6" w14:textId="77777777" w:rsidR="00EA0C36" w:rsidRDefault="00CD5DDA">
      <w:pPr>
        <w:pStyle w:val="MVSBullet"/>
        <w:numPr>
          <w:ilvl w:val="0"/>
          <w:numId w:val="1"/>
        </w:numPr>
      </w:pPr>
      <w:r>
        <w:rPr>
          <w:rFonts w:eastAsia="Calibri"/>
        </w:rPr>
        <w:t>PBS-informed and trauma-informed practice, de-escalation and post-incident learning;</w:t>
      </w:r>
    </w:p>
    <w:p w14:paraId="7C42A9A4" w14:textId="77777777" w:rsidR="00EA0C36" w:rsidRDefault="00CD5DDA">
      <w:pPr>
        <w:pStyle w:val="MVSBullet"/>
        <w:numPr>
          <w:ilvl w:val="0"/>
          <w:numId w:val="1"/>
        </w:numPr>
      </w:pPr>
      <w:r>
        <w:rPr>
          <w:rFonts w:eastAsia="Calibri"/>
        </w:rPr>
        <w:t>safeguarding vulnerabilities for pupils with SEND;</w:t>
      </w:r>
    </w:p>
    <w:p w14:paraId="2472F7A9" w14:textId="77777777" w:rsidR="00EA0C36" w:rsidRDefault="00CD5DDA">
      <w:pPr>
        <w:pStyle w:val="MVSBullet"/>
        <w:numPr>
          <w:ilvl w:val="0"/>
          <w:numId w:val="1"/>
        </w:numPr>
      </w:pPr>
      <w:r>
        <w:rPr>
          <w:rFonts w:eastAsia="Calibri"/>
        </w:rPr>
        <w:t>literacy, numeracy, adaptive teaching, assessment and independence-building;</w:t>
      </w:r>
    </w:p>
    <w:p w14:paraId="6993C444" w14:textId="77777777" w:rsidR="00EA0C36" w:rsidRDefault="00CD5DDA">
      <w:pPr>
        <w:pStyle w:val="MVSBullet"/>
        <w:numPr>
          <w:ilvl w:val="0"/>
          <w:numId w:val="1"/>
        </w:numPr>
      </w:pPr>
      <w:r>
        <w:rPr>
          <w:rFonts w:eastAsia="Calibri"/>
        </w:rPr>
        <w:t>medical, personal-care or physical-support competencies relevant to role; and</w:t>
      </w:r>
    </w:p>
    <w:p w14:paraId="64DD558B" w14:textId="77777777" w:rsidR="00EA0C36" w:rsidRDefault="00CD5DDA">
      <w:pPr>
        <w:pStyle w:val="MVSBullet"/>
        <w:numPr>
          <w:ilvl w:val="0"/>
          <w:numId w:val="1"/>
        </w:numPr>
      </w:pPr>
      <w:r>
        <w:rPr>
          <w:rFonts w:eastAsia="Calibri"/>
        </w:rPr>
        <w:t>recording, confidentiality, professional boundaries and escalation.</w:t>
      </w:r>
    </w:p>
    <w:p w14:paraId="1A27A478" w14:textId="77777777" w:rsidR="00EA0C36" w:rsidRDefault="00CD5DDA">
      <w:r>
        <w:rPr>
          <w:rFonts w:eastAsia="Calibri"/>
        </w:rPr>
        <w:t>Training attendance alone is not evidence of competence. Leaders use observation, supervision, coaching, work scrutiny, pupil/parent feedback and outcome data to evaluate practice. Staff receive pupil-specific updates whenever plans change.</w:t>
      </w:r>
    </w:p>
    <w:p w14:paraId="7DDD4371" w14:textId="77777777" w:rsidR="00EA0C36" w:rsidRDefault="00CD5DDA">
      <w:pPr>
        <w:pStyle w:val="Heading1"/>
      </w:pPr>
      <w:r>
        <w:lastRenderedPageBreak/>
        <w:t>18. Records, information sharing and confidentiality</w:t>
      </w:r>
    </w:p>
    <w:p w14:paraId="2C713A91" w14:textId="77777777" w:rsidR="00EA0C36" w:rsidRDefault="00CD5DDA">
      <w:r>
        <w:rPr>
          <w:rFonts w:eastAsia="Calibri"/>
        </w:rPr>
        <w:t>SEND, health and safeguarding information is personal data and may be special category data. MVS will process it lawfully, fairly and securely; collect only what is necessary; keep records accurate; restrict access by role; follow retention schedules; and share information when lawful and necessary for education, health, safety or statutory functions.</w:t>
      </w:r>
    </w:p>
    <w:p w14:paraId="0EE0918A" w14:textId="77777777" w:rsidR="00EA0C36" w:rsidRDefault="00CD5DDA">
      <w:r>
        <w:rPr>
          <w:rFonts w:eastAsia="Calibri"/>
        </w:rPr>
        <w:t xml:space="preserve">The pupil record will show the thread from assessed need to planned provision, delivery, review and decision. Records distinguish fact, professional opinion, pupil/parent view and decision. Staff do not copy historic language uncritically, use </w:t>
      </w:r>
      <w:proofErr w:type="spellStart"/>
      <w:r>
        <w:rPr>
          <w:rFonts w:eastAsia="Calibri"/>
        </w:rPr>
        <w:t>stigmatising</w:t>
      </w:r>
      <w:proofErr w:type="spellEnd"/>
      <w:r>
        <w:rPr>
          <w:rFonts w:eastAsia="Calibri"/>
        </w:rPr>
        <w:t xml:space="preserve"> shorthand or alter an EHCP. Material verbal decisions are confirmed in writing.</w:t>
      </w:r>
    </w:p>
    <w:p w14:paraId="583C0BD6" w14:textId="77777777" w:rsidR="00EA0C36" w:rsidRDefault="00CD5DDA">
      <w:pPr>
        <w:pStyle w:val="Heading2"/>
      </w:pPr>
      <w:r>
        <w:t>18.1 Transfer and retention</w:t>
      </w:r>
    </w:p>
    <w:p w14:paraId="129EED22" w14:textId="77777777" w:rsidR="00EA0C36" w:rsidRDefault="00CD5DDA">
      <w:r>
        <w:rPr>
          <w:rFonts w:eastAsia="Calibri"/>
        </w:rPr>
        <w:t xml:space="preserve">When a pupil joins or leaves, records are transferred securely and promptly in line with safeguarding and data-protection procedures. The school confirms </w:t>
      </w:r>
      <w:proofErr w:type="gramStart"/>
      <w:r>
        <w:rPr>
          <w:rFonts w:eastAsia="Calibri"/>
        </w:rPr>
        <w:t>receipt</w:t>
      </w:r>
      <w:proofErr w:type="gramEnd"/>
      <w:r>
        <w:rPr>
          <w:rFonts w:eastAsia="Calibri"/>
        </w:rPr>
        <w:t xml:space="preserve"> where appropriate and retains a transfer record. Safeguarding records follow the separate safeguarding transfer process.</w:t>
      </w:r>
    </w:p>
    <w:p w14:paraId="75FBE367" w14:textId="77777777" w:rsidR="00EA0C36" w:rsidRDefault="00CD5DDA">
      <w:pPr>
        <w:pStyle w:val="Heading1"/>
      </w:pPr>
      <w:r>
        <w:t>19. Concerns, complaints and routes of redress</w:t>
      </w:r>
    </w:p>
    <w:p w14:paraId="5B4FCD25" w14:textId="77777777" w:rsidR="00EA0C36" w:rsidRDefault="00CD5DDA">
      <w:r>
        <w:rPr>
          <w:rFonts w:eastAsia="Calibri"/>
        </w:rPr>
        <w:t>Most concerns should be addressed early by the named teacher/key worker or SENCO/Inclusion Lead. A parent, carer or young person may use the school's Complaints Policy where they remain dissatisfied with the school's actions, provision, communication or conduct. Complaints will not reduce a pupil's provision or adversely affect how the pupil or family is treated.</w:t>
      </w:r>
    </w:p>
    <w:p w14:paraId="1F7DDF7B" w14:textId="77777777" w:rsidR="00EA0C36" w:rsidRDefault="00CD5DDA">
      <w:r>
        <w:rPr>
          <w:rFonts w:eastAsia="Calibri"/>
        </w:rPr>
        <w:t>Complaints about local authority decisions on assessment, EHCP content, placement or ceasing a plan are directed to the relevant local authority process and, where applicable, disagreement resolution, mediation and the First-tier Tribunal. The school will provide accurate records and cooperate with lawful processes. Safeguarding concerns are acted on immediately through safeguarding procedures and are not held back for the complaints process.</w:t>
      </w:r>
    </w:p>
    <w:p w14:paraId="3AF33FC2" w14:textId="77777777" w:rsidR="00EA0C36" w:rsidRDefault="00CD5DDA">
      <w:r>
        <w:br w:type="page"/>
      </w:r>
    </w:p>
    <w:p w14:paraId="20E1D9A8" w14:textId="77777777" w:rsidR="00EA0C36" w:rsidRDefault="00CD5DDA">
      <w:pPr>
        <w:pStyle w:val="Heading1"/>
      </w:pPr>
      <w:r>
        <w:lastRenderedPageBreak/>
        <w:t>20. Monitoring, assurance and review</w:t>
      </w:r>
    </w:p>
    <w:p w14:paraId="1367D641" w14:textId="77777777" w:rsidR="00EA0C36" w:rsidRDefault="00CD5DDA">
      <w:r>
        <w:rPr>
          <w:rFonts w:eastAsia="Calibri"/>
        </w:rPr>
        <w:t>The SENCO/Inclusion Lead maintains the operational assurance cycle; the Head of School tests impact and resolves barriers; and the proprietor holds leaders to account. Monitoring is proportionate to school size and protects confidentiality.</w:t>
      </w:r>
    </w:p>
    <w:tbl>
      <w:tblPr>
        <w:tblW w:w="9360" w:type="dxa"/>
        <w:tblInd w:w="120" w:type="dxa"/>
        <w:tblBorders>
          <w:top w:val="single" w:sz="6" w:space="0" w:color="D5DADF"/>
          <w:left w:val="single" w:sz="6" w:space="0" w:color="D5DADF"/>
          <w:bottom w:val="single" w:sz="6" w:space="0" w:color="D5DADF"/>
          <w:right w:val="single" w:sz="6" w:space="0" w:color="D5DADF"/>
          <w:insideH w:val="single" w:sz="6" w:space="0" w:color="D5DADF"/>
          <w:insideV w:val="single" w:sz="6" w:space="0" w:color="D5DADF"/>
        </w:tblBorders>
        <w:tblLayout w:type="fixed"/>
        <w:tblLook w:val="04A0" w:firstRow="1" w:lastRow="0" w:firstColumn="1" w:lastColumn="0" w:noHBand="0" w:noVBand="1"/>
      </w:tblPr>
      <w:tblGrid>
        <w:gridCol w:w="2850"/>
        <w:gridCol w:w="4300"/>
        <w:gridCol w:w="2210"/>
      </w:tblGrid>
      <w:tr w:rsidR="00EA0C36" w14:paraId="23D67015" w14:textId="77777777">
        <w:trPr>
          <w:cantSplit/>
          <w:tblHeader/>
        </w:trPr>
        <w:tc>
          <w:tcPr>
            <w:tcW w:w="2850" w:type="dxa"/>
            <w:shd w:val="clear" w:color="auto" w:fill="164B42"/>
            <w:tcMar>
              <w:top w:w="80" w:type="dxa"/>
              <w:left w:w="120" w:type="dxa"/>
              <w:bottom w:w="80" w:type="dxa"/>
              <w:right w:w="120" w:type="dxa"/>
            </w:tcMar>
            <w:vAlign w:val="center"/>
          </w:tcPr>
          <w:p w14:paraId="11933563" w14:textId="77777777" w:rsidR="00EA0C36" w:rsidRDefault="00CD5DDA">
            <w:pPr>
              <w:spacing w:after="0"/>
            </w:pPr>
            <w:r>
              <w:rPr>
                <w:rFonts w:eastAsia="Calibri"/>
                <w:b/>
                <w:color w:val="FFFFFF"/>
                <w:sz w:val="18"/>
              </w:rPr>
              <w:t>Assurance question</w:t>
            </w:r>
          </w:p>
        </w:tc>
        <w:tc>
          <w:tcPr>
            <w:tcW w:w="4300" w:type="dxa"/>
            <w:shd w:val="clear" w:color="auto" w:fill="164B42"/>
            <w:tcMar>
              <w:top w:w="80" w:type="dxa"/>
              <w:left w:w="120" w:type="dxa"/>
              <w:bottom w:w="80" w:type="dxa"/>
              <w:right w:w="120" w:type="dxa"/>
            </w:tcMar>
            <w:vAlign w:val="center"/>
          </w:tcPr>
          <w:p w14:paraId="5773CC2A" w14:textId="77777777" w:rsidR="00EA0C36" w:rsidRDefault="00CD5DDA">
            <w:pPr>
              <w:spacing w:after="0"/>
            </w:pPr>
            <w:r>
              <w:rPr>
                <w:rFonts w:eastAsia="Calibri"/>
                <w:b/>
                <w:color w:val="FFFFFF"/>
                <w:sz w:val="18"/>
              </w:rPr>
              <w:t>Evidence</w:t>
            </w:r>
          </w:p>
        </w:tc>
        <w:tc>
          <w:tcPr>
            <w:tcW w:w="2210" w:type="dxa"/>
            <w:shd w:val="clear" w:color="auto" w:fill="164B42"/>
            <w:tcMar>
              <w:top w:w="80" w:type="dxa"/>
              <w:left w:w="120" w:type="dxa"/>
              <w:bottom w:w="80" w:type="dxa"/>
              <w:right w:w="120" w:type="dxa"/>
            </w:tcMar>
            <w:vAlign w:val="center"/>
          </w:tcPr>
          <w:p w14:paraId="106C3FC0" w14:textId="77777777" w:rsidR="00EA0C36" w:rsidRDefault="00CD5DDA">
            <w:pPr>
              <w:spacing w:after="0"/>
            </w:pPr>
            <w:r>
              <w:rPr>
                <w:rFonts w:eastAsia="Calibri"/>
                <w:b/>
                <w:color w:val="FFFFFF"/>
                <w:sz w:val="18"/>
              </w:rPr>
              <w:t>Minimum review</w:t>
            </w:r>
          </w:p>
        </w:tc>
      </w:tr>
      <w:tr w:rsidR="00EA0C36" w14:paraId="1235A094" w14:textId="77777777">
        <w:trPr>
          <w:cantSplit/>
        </w:trPr>
        <w:tc>
          <w:tcPr>
            <w:tcW w:w="2850" w:type="dxa"/>
            <w:tcMar>
              <w:top w:w="80" w:type="dxa"/>
              <w:left w:w="120" w:type="dxa"/>
              <w:bottom w:w="80" w:type="dxa"/>
              <w:right w:w="120" w:type="dxa"/>
            </w:tcMar>
            <w:vAlign w:val="center"/>
          </w:tcPr>
          <w:p w14:paraId="7496AC78" w14:textId="77777777" w:rsidR="00EA0C36" w:rsidRDefault="00CD5DDA">
            <w:pPr>
              <w:spacing w:after="0" w:line="252" w:lineRule="auto"/>
            </w:pPr>
            <w:r>
              <w:rPr>
                <w:rFonts w:eastAsia="Calibri"/>
                <w:b/>
                <w:color w:val="164B42"/>
                <w:sz w:val="17"/>
              </w:rPr>
              <w:t>Is specified provision being delivered?</w:t>
            </w:r>
          </w:p>
        </w:tc>
        <w:tc>
          <w:tcPr>
            <w:tcW w:w="4300" w:type="dxa"/>
            <w:tcMar>
              <w:top w:w="80" w:type="dxa"/>
              <w:left w:w="120" w:type="dxa"/>
              <w:bottom w:w="80" w:type="dxa"/>
              <w:right w:w="120" w:type="dxa"/>
            </w:tcMar>
            <w:vAlign w:val="center"/>
          </w:tcPr>
          <w:p w14:paraId="53636570" w14:textId="77777777" w:rsidR="00EA0C36" w:rsidRDefault="00CD5DDA">
            <w:pPr>
              <w:spacing w:after="0" w:line="252" w:lineRule="auto"/>
            </w:pPr>
            <w:r>
              <w:rPr>
                <w:rFonts w:eastAsia="Calibri"/>
                <w:sz w:val="17"/>
              </w:rPr>
              <w:t>EHCP maps; timetables; provision records; therapy logs; exception/escalation records.</w:t>
            </w:r>
          </w:p>
        </w:tc>
        <w:tc>
          <w:tcPr>
            <w:tcW w:w="2210" w:type="dxa"/>
            <w:tcMar>
              <w:top w:w="80" w:type="dxa"/>
              <w:left w:w="120" w:type="dxa"/>
              <w:bottom w:w="80" w:type="dxa"/>
              <w:right w:w="120" w:type="dxa"/>
            </w:tcMar>
            <w:vAlign w:val="center"/>
          </w:tcPr>
          <w:p w14:paraId="27375E9E" w14:textId="77777777" w:rsidR="00EA0C36" w:rsidRDefault="00CD5DDA">
            <w:pPr>
              <w:spacing w:after="0" w:line="252" w:lineRule="auto"/>
            </w:pPr>
            <w:r>
              <w:rPr>
                <w:rFonts w:eastAsia="Calibri"/>
                <w:sz w:val="17"/>
              </w:rPr>
              <w:t>Monthly pupil-level exceptions; termly aggregate.</w:t>
            </w:r>
          </w:p>
        </w:tc>
      </w:tr>
      <w:tr w:rsidR="00EA0C36" w14:paraId="34CC1B24" w14:textId="77777777">
        <w:trPr>
          <w:cantSplit/>
        </w:trPr>
        <w:tc>
          <w:tcPr>
            <w:tcW w:w="2850" w:type="dxa"/>
            <w:shd w:val="clear" w:color="auto" w:fill="FAFBFC"/>
            <w:tcMar>
              <w:top w:w="80" w:type="dxa"/>
              <w:left w:w="120" w:type="dxa"/>
              <w:bottom w:w="80" w:type="dxa"/>
              <w:right w:w="120" w:type="dxa"/>
            </w:tcMar>
            <w:vAlign w:val="center"/>
          </w:tcPr>
          <w:p w14:paraId="2E5E04B1" w14:textId="77777777" w:rsidR="00EA0C36" w:rsidRDefault="00CD5DDA">
            <w:pPr>
              <w:spacing w:after="0" w:line="252" w:lineRule="auto"/>
            </w:pPr>
            <w:r>
              <w:rPr>
                <w:rFonts w:eastAsia="Calibri"/>
                <w:b/>
                <w:color w:val="164B42"/>
                <w:sz w:val="17"/>
              </w:rPr>
              <w:t>Are pupils learning and progressing?</w:t>
            </w:r>
          </w:p>
        </w:tc>
        <w:tc>
          <w:tcPr>
            <w:tcW w:w="4300" w:type="dxa"/>
            <w:shd w:val="clear" w:color="auto" w:fill="FAFBFC"/>
            <w:tcMar>
              <w:top w:w="80" w:type="dxa"/>
              <w:left w:w="120" w:type="dxa"/>
              <w:bottom w:w="80" w:type="dxa"/>
              <w:right w:w="120" w:type="dxa"/>
            </w:tcMar>
            <w:vAlign w:val="center"/>
          </w:tcPr>
          <w:p w14:paraId="67E6B33F" w14:textId="77777777" w:rsidR="00EA0C36" w:rsidRDefault="00CD5DDA">
            <w:pPr>
              <w:spacing w:after="0" w:line="252" w:lineRule="auto"/>
            </w:pPr>
            <w:r>
              <w:rPr>
                <w:rFonts w:eastAsia="Calibri"/>
                <w:sz w:val="17"/>
              </w:rPr>
              <w:t>Baseline and assessment; work; accreditation; communication, regulation and independence evidence; destinations.</w:t>
            </w:r>
          </w:p>
        </w:tc>
        <w:tc>
          <w:tcPr>
            <w:tcW w:w="2210" w:type="dxa"/>
            <w:shd w:val="clear" w:color="auto" w:fill="FAFBFC"/>
            <w:tcMar>
              <w:top w:w="80" w:type="dxa"/>
              <w:left w:w="120" w:type="dxa"/>
              <w:bottom w:w="80" w:type="dxa"/>
              <w:right w:w="120" w:type="dxa"/>
            </w:tcMar>
            <w:vAlign w:val="center"/>
          </w:tcPr>
          <w:p w14:paraId="18775387" w14:textId="77777777" w:rsidR="00EA0C36" w:rsidRDefault="00CD5DDA">
            <w:pPr>
              <w:spacing w:after="0" w:line="252" w:lineRule="auto"/>
            </w:pPr>
            <w:r>
              <w:rPr>
                <w:rFonts w:eastAsia="Calibri"/>
                <w:sz w:val="17"/>
              </w:rPr>
              <w:t>Termly, with live teacher review.</w:t>
            </w:r>
          </w:p>
        </w:tc>
      </w:tr>
      <w:tr w:rsidR="00EA0C36" w14:paraId="33D97C08" w14:textId="77777777">
        <w:trPr>
          <w:cantSplit/>
        </w:trPr>
        <w:tc>
          <w:tcPr>
            <w:tcW w:w="2850" w:type="dxa"/>
            <w:tcMar>
              <w:top w:w="80" w:type="dxa"/>
              <w:left w:w="120" w:type="dxa"/>
              <w:bottom w:w="80" w:type="dxa"/>
              <w:right w:w="120" w:type="dxa"/>
            </w:tcMar>
            <w:vAlign w:val="center"/>
          </w:tcPr>
          <w:p w14:paraId="1539F74B" w14:textId="77777777" w:rsidR="00EA0C36" w:rsidRDefault="00CD5DDA">
            <w:pPr>
              <w:spacing w:after="0" w:line="252" w:lineRule="auto"/>
            </w:pPr>
            <w:r>
              <w:rPr>
                <w:rFonts w:eastAsia="Calibri"/>
                <w:b/>
                <w:color w:val="164B42"/>
                <w:sz w:val="17"/>
              </w:rPr>
              <w:t>Are pupils included and safe?</w:t>
            </w:r>
          </w:p>
        </w:tc>
        <w:tc>
          <w:tcPr>
            <w:tcW w:w="4300" w:type="dxa"/>
            <w:tcMar>
              <w:top w:w="80" w:type="dxa"/>
              <w:left w:w="120" w:type="dxa"/>
              <w:bottom w:w="80" w:type="dxa"/>
              <w:right w:w="120" w:type="dxa"/>
            </w:tcMar>
            <w:vAlign w:val="center"/>
          </w:tcPr>
          <w:p w14:paraId="6BD0A919" w14:textId="77777777" w:rsidR="00EA0C36" w:rsidRDefault="00CD5DDA">
            <w:pPr>
              <w:spacing w:after="0" w:line="252" w:lineRule="auto"/>
            </w:pPr>
            <w:r>
              <w:rPr>
                <w:rFonts w:eastAsia="Calibri"/>
                <w:sz w:val="17"/>
              </w:rPr>
              <w:t>Attendance; participation; bullying; safeguarding; incidents; restrictive intervention; pupil voice.</w:t>
            </w:r>
          </w:p>
        </w:tc>
        <w:tc>
          <w:tcPr>
            <w:tcW w:w="2210" w:type="dxa"/>
            <w:tcMar>
              <w:top w:w="80" w:type="dxa"/>
              <w:left w:w="120" w:type="dxa"/>
              <w:bottom w:w="80" w:type="dxa"/>
              <w:right w:w="120" w:type="dxa"/>
            </w:tcMar>
            <w:vAlign w:val="center"/>
          </w:tcPr>
          <w:p w14:paraId="3EF40E68" w14:textId="77777777" w:rsidR="00EA0C36" w:rsidRDefault="00CD5DDA">
            <w:pPr>
              <w:spacing w:after="0" w:line="252" w:lineRule="auto"/>
            </w:pPr>
            <w:r>
              <w:rPr>
                <w:rFonts w:eastAsia="Calibri"/>
                <w:sz w:val="17"/>
              </w:rPr>
              <w:t>Monthly patterns; immediate individual action.</w:t>
            </w:r>
          </w:p>
        </w:tc>
      </w:tr>
      <w:tr w:rsidR="00EA0C36" w14:paraId="14A1AF47" w14:textId="77777777">
        <w:trPr>
          <w:cantSplit/>
        </w:trPr>
        <w:tc>
          <w:tcPr>
            <w:tcW w:w="2850" w:type="dxa"/>
            <w:shd w:val="clear" w:color="auto" w:fill="FAFBFC"/>
            <w:tcMar>
              <w:top w:w="80" w:type="dxa"/>
              <w:left w:w="120" w:type="dxa"/>
              <w:bottom w:w="80" w:type="dxa"/>
              <w:right w:w="120" w:type="dxa"/>
            </w:tcMar>
            <w:vAlign w:val="center"/>
          </w:tcPr>
          <w:p w14:paraId="397806FD" w14:textId="77777777" w:rsidR="00EA0C36" w:rsidRDefault="00CD5DDA">
            <w:pPr>
              <w:spacing w:after="0" w:line="252" w:lineRule="auto"/>
            </w:pPr>
            <w:r>
              <w:rPr>
                <w:rFonts w:eastAsia="Calibri"/>
                <w:b/>
                <w:color w:val="164B42"/>
                <w:sz w:val="17"/>
              </w:rPr>
              <w:t>Are adjustments effective?</w:t>
            </w:r>
          </w:p>
        </w:tc>
        <w:tc>
          <w:tcPr>
            <w:tcW w:w="4300" w:type="dxa"/>
            <w:shd w:val="clear" w:color="auto" w:fill="FAFBFC"/>
            <w:tcMar>
              <w:top w:w="80" w:type="dxa"/>
              <w:left w:w="120" w:type="dxa"/>
              <w:bottom w:w="80" w:type="dxa"/>
              <w:right w:w="120" w:type="dxa"/>
            </w:tcMar>
            <w:vAlign w:val="center"/>
          </w:tcPr>
          <w:p w14:paraId="4CB0E7B5" w14:textId="77777777" w:rsidR="00EA0C36" w:rsidRDefault="00CD5DDA">
            <w:pPr>
              <w:spacing w:after="0" w:line="252" w:lineRule="auto"/>
            </w:pPr>
            <w:r>
              <w:rPr>
                <w:rFonts w:eastAsia="Calibri"/>
                <w:sz w:val="17"/>
              </w:rPr>
              <w:t>Adjustment record; access arrangements; environmental checks; pupil/parent feedback.</w:t>
            </w:r>
          </w:p>
        </w:tc>
        <w:tc>
          <w:tcPr>
            <w:tcW w:w="2210" w:type="dxa"/>
            <w:shd w:val="clear" w:color="auto" w:fill="FAFBFC"/>
            <w:tcMar>
              <w:top w:w="80" w:type="dxa"/>
              <w:left w:w="120" w:type="dxa"/>
              <w:bottom w:w="80" w:type="dxa"/>
              <w:right w:w="120" w:type="dxa"/>
            </w:tcMar>
            <w:vAlign w:val="center"/>
          </w:tcPr>
          <w:p w14:paraId="39B5F5C1" w14:textId="77777777" w:rsidR="00EA0C36" w:rsidRDefault="00CD5DDA">
            <w:pPr>
              <w:spacing w:after="0" w:line="252" w:lineRule="auto"/>
            </w:pPr>
            <w:r>
              <w:rPr>
                <w:rFonts w:eastAsia="Calibri"/>
                <w:sz w:val="17"/>
              </w:rPr>
              <w:t>At plan reviews and after material change.</w:t>
            </w:r>
          </w:p>
        </w:tc>
      </w:tr>
      <w:tr w:rsidR="00EA0C36" w14:paraId="196A0F4D" w14:textId="77777777">
        <w:trPr>
          <w:cantSplit/>
        </w:trPr>
        <w:tc>
          <w:tcPr>
            <w:tcW w:w="2850" w:type="dxa"/>
            <w:tcMar>
              <w:top w:w="80" w:type="dxa"/>
              <w:left w:w="120" w:type="dxa"/>
              <w:bottom w:w="80" w:type="dxa"/>
              <w:right w:w="120" w:type="dxa"/>
            </w:tcMar>
            <w:vAlign w:val="center"/>
          </w:tcPr>
          <w:p w14:paraId="19CDF92F" w14:textId="77777777" w:rsidR="00EA0C36" w:rsidRDefault="00CD5DDA">
            <w:pPr>
              <w:spacing w:after="0" w:line="252" w:lineRule="auto"/>
            </w:pPr>
            <w:r>
              <w:rPr>
                <w:rFonts w:eastAsia="Calibri"/>
                <w:b/>
                <w:color w:val="164B42"/>
                <w:sz w:val="17"/>
              </w:rPr>
              <w:t>Is provision equitable?</w:t>
            </w:r>
          </w:p>
        </w:tc>
        <w:tc>
          <w:tcPr>
            <w:tcW w:w="4300" w:type="dxa"/>
            <w:tcMar>
              <w:top w:w="80" w:type="dxa"/>
              <w:left w:w="120" w:type="dxa"/>
              <w:bottom w:w="80" w:type="dxa"/>
              <w:right w:w="120" w:type="dxa"/>
            </w:tcMar>
            <w:vAlign w:val="center"/>
          </w:tcPr>
          <w:p w14:paraId="0DDD3101" w14:textId="77777777" w:rsidR="00EA0C36" w:rsidRDefault="00CD5DDA">
            <w:pPr>
              <w:spacing w:after="0" w:line="252" w:lineRule="auto"/>
            </w:pPr>
            <w:r>
              <w:rPr>
                <w:rFonts w:eastAsia="Calibri"/>
                <w:sz w:val="17"/>
              </w:rPr>
              <w:t>Analysis by need, age/pathway, sex, ethnicity, care status and other relevant characteristics, subject to cohort size/confidentiality.</w:t>
            </w:r>
          </w:p>
        </w:tc>
        <w:tc>
          <w:tcPr>
            <w:tcW w:w="2210" w:type="dxa"/>
            <w:tcMar>
              <w:top w:w="80" w:type="dxa"/>
              <w:left w:w="120" w:type="dxa"/>
              <w:bottom w:w="80" w:type="dxa"/>
              <w:right w:w="120" w:type="dxa"/>
            </w:tcMar>
            <w:vAlign w:val="center"/>
          </w:tcPr>
          <w:p w14:paraId="79ADBE4A" w14:textId="77777777" w:rsidR="00EA0C36" w:rsidRDefault="00CD5DDA">
            <w:pPr>
              <w:spacing w:after="0" w:line="252" w:lineRule="auto"/>
            </w:pPr>
            <w:r>
              <w:rPr>
                <w:rFonts w:eastAsia="Calibri"/>
                <w:sz w:val="17"/>
              </w:rPr>
              <w:t>At least termly.</w:t>
            </w:r>
          </w:p>
        </w:tc>
      </w:tr>
      <w:tr w:rsidR="00EA0C36" w14:paraId="0F1B6BF9" w14:textId="77777777">
        <w:trPr>
          <w:cantSplit/>
        </w:trPr>
        <w:tc>
          <w:tcPr>
            <w:tcW w:w="2850" w:type="dxa"/>
            <w:shd w:val="clear" w:color="auto" w:fill="FAFBFC"/>
            <w:tcMar>
              <w:top w:w="80" w:type="dxa"/>
              <w:left w:w="120" w:type="dxa"/>
              <w:bottom w:w="80" w:type="dxa"/>
              <w:right w:w="120" w:type="dxa"/>
            </w:tcMar>
            <w:vAlign w:val="center"/>
          </w:tcPr>
          <w:p w14:paraId="14D9BE8A" w14:textId="77777777" w:rsidR="00EA0C36" w:rsidRDefault="00CD5DDA">
            <w:pPr>
              <w:spacing w:after="0" w:line="252" w:lineRule="auto"/>
            </w:pPr>
            <w:r>
              <w:rPr>
                <w:rFonts w:eastAsia="Calibri"/>
                <w:b/>
                <w:color w:val="164B42"/>
                <w:sz w:val="17"/>
              </w:rPr>
              <w:t>Does MVS have capacity and competence?</w:t>
            </w:r>
          </w:p>
        </w:tc>
        <w:tc>
          <w:tcPr>
            <w:tcW w:w="4300" w:type="dxa"/>
            <w:shd w:val="clear" w:color="auto" w:fill="FAFBFC"/>
            <w:tcMar>
              <w:top w:w="80" w:type="dxa"/>
              <w:left w:w="120" w:type="dxa"/>
              <w:bottom w:w="80" w:type="dxa"/>
              <w:right w:w="120" w:type="dxa"/>
            </w:tcMar>
            <w:vAlign w:val="center"/>
          </w:tcPr>
          <w:p w14:paraId="006F6524" w14:textId="77777777" w:rsidR="00EA0C36" w:rsidRDefault="00CD5DDA">
            <w:pPr>
              <w:spacing w:after="0" w:line="252" w:lineRule="auto"/>
            </w:pPr>
            <w:r>
              <w:rPr>
                <w:rFonts w:eastAsia="Calibri"/>
                <w:sz w:val="17"/>
              </w:rPr>
              <w:t>Vacancies; deployment; supervision; training/competence; specialist availability; complaints and audit actions.</w:t>
            </w:r>
          </w:p>
        </w:tc>
        <w:tc>
          <w:tcPr>
            <w:tcW w:w="2210" w:type="dxa"/>
            <w:shd w:val="clear" w:color="auto" w:fill="FAFBFC"/>
            <w:tcMar>
              <w:top w:w="80" w:type="dxa"/>
              <w:left w:w="120" w:type="dxa"/>
              <w:bottom w:w="80" w:type="dxa"/>
              <w:right w:w="120" w:type="dxa"/>
            </w:tcMar>
            <w:vAlign w:val="center"/>
          </w:tcPr>
          <w:p w14:paraId="4C87C19C" w14:textId="77777777" w:rsidR="00EA0C36" w:rsidRDefault="00CD5DDA">
            <w:pPr>
              <w:spacing w:after="0" w:line="252" w:lineRule="auto"/>
            </w:pPr>
            <w:r>
              <w:rPr>
                <w:rFonts w:eastAsia="Calibri"/>
                <w:sz w:val="17"/>
              </w:rPr>
              <w:t>Termly and before new placements.</w:t>
            </w:r>
          </w:p>
        </w:tc>
      </w:tr>
    </w:tbl>
    <w:p w14:paraId="2A09D66C" w14:textId="77777777" w:rsidR="00EA0C36" w:rsidRDefault="00EA0C36">
      <w:pPr>
        <w:spacing w:after="0"/>
      </w:pPr>
    </w:p>
    <w:p w14:paraId="5673B218" w14:textId="77777777" w:rsidR="00EA0C36" w:rsidRDefault="00CD5DDA">
      <w:r>
        <w:rPr>
          <w:rFonts w:eastAsia="Calibri"/>
        </w:rPr>
        <w:t xml:space="preserve">This policy is reviewed annually and sooner following legal or statutory-guidance </w:t>
      </w:r>
      <w:proofErr w:type="gramStart"/>
      <w:r>
        <w:rPr>
          <w:rFonts w:eastAsia="Calibri"/>
        </w:rPr>
        <w:t>change</w:t>
      </w:r>
      <w:proofErr w:type="gramEnd"/>
      <w:r>
        <w:rPr>
          <w:rFonts w:eastAsia="Calibri"/>
        </w:rPr>
        <w:t>, a material change to registration or provision, a serious incident, significant complaint, inspection finding or evidence that the policy is not achieving its purpose. The proprietor approves material revisions. A change log is retained.</w:t>
      </w:r>
    </w:p>
    <w:p w14:paraId="2F8419C9" w14:textId="77777777" w:rsidR="00EA0C36" w:rsidRDefault="00CD5DDA">
      <w:r>
        <w:br w:type="page"/>
      </w:r>
    </w:p>
    <w:p w14:paraId="79DE1067" w14:textId="77777777" w:rsidR="00EA0C36" w:rsidRDefault="00CD5DDA">
      <w:pPr>
        <w:pStyle w:val="Heading1"/>
      </w:pPr>
      <w:r>
        <w:lastRenderedPageBreak/>
        <w:t>Appendix A. Assess-plan-do-review standard</w:t>
      </w:r>
    </w:p>
    <w:tbl>
      <w:tblPr>
        <w:tblW w:w="9360" w:type="dxa"/>
        <w:tblInd w:w="120" w:type="dxa"/>
        <w:tblBorders>
          <w:top w:val="single" w:sz="6" w:space="0" w:color="D5DADF"/>
          <w:left w:val="single" w:sz="6" w:space="0" w:color="D5DADF"/>
          <w:bottom w:val="single" w:sz="6" w:space="0" w:color="D5DADF"/>
          <w:right w:val="single" w:sz="6" w:space="0" w:color="D5DADF"/>
          <w:insideH w:val="single" w:sz="6" w:space="0" w:color="D5DADF"/>
          <w:insideV w:val="single" w:sz="6" w:space="0" w:color="D5DADF"/>
        </w:tblBorders>
        <w:tblLayout w:type="fixed"/>
        <w:tblLook w:val="04A0" w:firstRow="1" w:lastRow="0" w:firstColumn="1" w:lastColumn="0" w:noHBand="0" w:noVBand="1"/>
      </w:tblPr>
      <w:tblGrid>
        <w:gridCol w:w="1200"/>
        <w:gridCol w:w="4750"/>
        <w:gridCol w:w="3410"/>
      </w:tblGrid>
      <w:tr w:rsidR="00EA0C36" w14:paraId="210DBDDB" w14:textId="77777777">
        <w:trPr>
          <w:cantSplit/>
          <w:tblHeader/>
        </w:trPr>
        <w:tc>
          <w:tcPr>
            <w:tcW w:w="1200" w:type="dxa"/>
            <w:shd w:val="clear" w:color="auto" w:fill="193B5A"/>
            <w:tcMar>
              <w:top w:w="80" w:type="dxa"/>
              <w:left w:w="120" w:type="dxa"/>
              <w:bottom w:w="80" w:type="dxa"/>
              <w:right w:w="120" w:type="dxa"/>
            </w:tcMar>
            <w:vAlign w:val="center"/>
          </w:tcPr>
          <w:p w14:paraId="57283E32" w14:textId="77777777" w:rsidR="00EA0C36" w:rsidRDefault="00CD5DDA">
            <w:pPr>
              <w:spacing w:after="0"/>
            </w:pPr>
            <w:r>
              <w:rPr>
                <w:rFonts w:eastAsia="Calibri"/>
                <w:b/>
                <w:color w:val="FFFFFF"/>
                <w:sz w:val="18"/>
              </w:rPr>
              <w:t>Stage</w:t>
            </w:r>
          </w:p>
        </w:tc>
        <w:tc>
          <w:tcPr>
            <w:tcW w:w="4750" w:type="dxa"/>
            <w:shd w:val="clear" w:color="auto" w:fill="193B5A"/>
            <w:tcMar>
              <w:top w:w="80" w:type="dxa"/>
              <w:left w:w="120" w:type="dxa"/>
              <w:bottom w:w="80" w:type="dxa"/>
              <w:right w:w="120" w:type="dxa"/>
            </w:tcMar>
            <w:vAlign w:val="center"/>
          </w:tcPr>
          <w:p w14:paraId="3DE6EAE4" w14:textId="77777777" w:rsidR="00EA0C36" w:rsidRDefault="00CD5DDA">
            <w:pPr>
              <w:spacing w:after="0"/>
            </w:pPr>
            <w:r>
              <w:rPr>
                <w:rFonts w:eastAsia="Calibri"/>
                <w:b/>
                <w:color w:val="FFFFFF"/>
                <w:sz w:val="18"/>
              </w:rPr>
              <w:t>Required actions</w:t>
            </w:r>
          </w:p>
        </w:tc>
        <w:tc>
          <w:tcPr>
            <w:tcW w:w="3410" w:type="dxa"/>
            <w:shd w:val="clear" w:color="auto" w:fill="193B5A"/>
            <w:tcMar>
              <w:top w:w="80" w:type="dxa"/>
              <w:left w:w="120" w:type="dxa"/>
              <w:bottom w:w="80" w:type="dxa"/>
              <w:right w:w="120" w:type="dxa"/>
            </w:tcMar>
            <w:vAlign w:val="center"/>
          </w:tcPr>
          <w:p w14:paraId="5ECE07CA" w14:textId="77777777" w:rsidR="00EA0C36" w:rsidRDefault="00CD5DDA">
            <w:pPr>
              <w:spacing w:after="0"/>
            </w:pPr>
            <w:r>
              <w:rPr>
                <w:rFonts w:eastAsia="Calibri"/>
                <w:b/>
                <w:color w:val="FFFFFF"/>
                <w:sz w:val="18"/>
              </w:rPr>
              <w:t>Minimum evidence / decision control</w:t>
            </w:r>
          </w:p>
        </w:tc>
      </w:tr>
      <w:tr w:rsidR="00EA0C36" w14:paraId="2035A0E9" w14:textId="77777777">
        <w:trPr>
          <w:cantSplit/>
        </w:trPr>
        <w:tc>
          <w:tcPr>
            <w:tcW w:w="1200" w:type="dxa"/>
            <w:tcMar>
              <w:top w:w="80" w:type="dxa"/>
              <w:left w:w="120" w:type="dxa"/>
              <w:bottom w:w="80" w:type="dxa"/>
              <w:right w:w="120" w:type="dxa"/>
            </w:tcMar>
            <w:vAlign w:val="center"/>
          </w:tcPr>
          <w:p w14:paraId="27393C7F" w14:textId="77777777" w:rsidR="00EA0C36" w:rsidRDefault="00CD5DDA">
            <w:pPr>
              <w:spacing w:after="0" w:line="252" w:lineRule="auto"/>
            </w:pPr>
            <w:r>
              <w:rPr>
                <w:rFonts w:eastAsia="Calibri"/>
                <w:b/>
                <w:color w:val="164B42"/>
                <w:sz w:val="17"/>
              </w:rPr>
              <w:t>Assess</w:t>
            </w:r>
          </w:p>
        </w:tc>
        <w:tc>
          <w:tcPr>
            <w:tcW w:w="4750" w:type="dxa"/>
            <w:tcMar>
              <w:top w:w="80" w:type="dxa"/>
              <w:left w:w="120" w:type="dxa"/>
              <w:bottom w:w="80" w:type="dxa"/>
              <w:right w:w="120" w:type="dxa"/>
            </w:tcMar>
            <w:vAlign w:val="center"/>
          </w:tcPr>
          <w:p w14:paraId="59D2A7FB" w14:textId="77777777" w:rsidR="00EA0C36" w:rsidRDefault="00CD5DDA">
            <w:pPr>
              <w:spacing w:after="0" w:line="252" w:lineRule="auto"/>
            </w:pPr>
            <w:r>
              <w:rPr>
                <w:rFonts w:eastAsia="Calibri"/>
                <w:sz w:val="17"/>
              </w:rPr>
              <w:t>Define the question; gather pupil and parent views; review EHCP and history; observe across contexts; establish baseline; consider teaching, environment, communication, health, trauma, attendance and safeguarding.</w:t>
            </w:r>
          </w:p>
        </w:tc>
        <w:tc>
          <w:tcPr>
            <w:tcW w:w="3410" w:type="dxa"/>
            <w:tcMar>
              <w:top w:w="80" w:type="dxa"/>
              <w:left w:w="120" w:type="dxa"/>
              <w:bottom w:w="80" w:type="dxa"/>
              <w:right w:w="120" w:type="dxa"/>
            </w:tcMar>
            <w:vAlign w:val="center"/>
          </w:tcPr>
          <w:p w14:paraId="01832BD8" w14:textId="77777777" w:rsidR="00EA0C36" w:rsidRDefault="00CD5DDA">
            <w:pPr>
              <w:spacing w:after="0" w:line="252" w:lineRule="auto"/>
            </w:pPr>
            <w:r>
              <w:rPr>
                <w:rFonts w:eastAsia="Calibri"/>
                <w:sz w:val="17"/>
              </w:rPr>
              <w:t>Recorded baseline; sources and dates; strengths as well as needs; urgent issues escalated; gaps in evidence identified.</w:t>
            </w:r>
          </w:p>
        </w:tc>
      </w:tr>
      <w:tr w:rsidR="00EA0C36" w14:paraId="62610774" w14:textId="77777777">
        <w:trPr>
          <w:cantSplit/>
        </w:trPr>
        <w:tc>
          <w:tcPr>
            <w:tcW w:w="1200" w:type="dxa"/>
            <w:shd w:val="clear" w:color="auto" w:fill="FAFBFC"/>
            <w:tcMar>
              <w:top w:w="80" w:type="dxa"/>
              <w:left w:w="120" w:type="dxa"/>
              <w:bottom w:w="80" w:type="dxa"/>
              <w:right w:w="120" w:type="dxa"/>
            </w:tcMar>
            <w:vAlign w:val="center"/>
          </w:tcPr>
          <w:p w14:paraId="446AE143" w14:textId="77777777" w:rsidR="00EA0C36" w:rsidRDefault="00CD5DDA">
            <w:pPr>
              <w:spacing w:after="0" w:line="252" w:lineRule="auto"/>
            </w:pPr>
            <w:r>
              <w:rPr>
                <w:rFonts w:eastAsia="Calibri"/>
                <w:b/>
                <w:color w:val="164B42"/>
                <w:sz w:val="17"/>
              </w:rPr>
              <w:t>Plan</w:t>
            </w:r>
          </w:p>
        </w:tc>
        <w:tc>
          <w:tcPr>
            <w:tcW w:w="4750" w:type="dxa"/>
            <w:shd w:val="clear" w:color="auto" w:fill="FAFBFC"/>
            <w:tcMar>
              <w:top w:w="80" w:type="dxa"/>
              <w:left w:w="120" w:type="dxa"/>
              <w:bottom w:w="80" w:type="dxa"/>
              <w:right w:w="120" w:type="dxa"/>
            </w:tcMar>
            <w:vAlign w:val="center"/>
          </w:tcPr>
          <w:p w14:paraId="5350ABC8" w14:textId="77777777" w:rsidR="00EA0C36" w:rsidRDefault="00CD5DDA">
            <w:pPr>
              <w:spacing w:after="0" w:line="252" w:lineRule="auto"/>
            </w:pPr>
            <w:r>
              <w:rPr>
                <w:rFonts w:eastAsia="Calibri"/>
                <w:sz w:val="17"/>
              </w:rPr>
              <w:t>Agree outcome, provision, adjustments, frequency/duration, responsible staff, resources, review date and success evidence. Confirm specialist/parent/pupil involvement and consent where required.</w:t>
            </w:r>
          </w:p>
        </w:tc>
        <w:tc>
          <w:tcPr>
            <w:tcW w:w="3410" w:type="dxa"/>
            <w:shd w:val="clear" w:color="auto" w:fill="FAFBFC"/>
            <w:tcMar>
              <w:top w:w="80" w:type="dxa"/>
              <w:left w:w="120" w:type="dxa"/>
              <w:bottom w:w="80" w:type="dxa"/>
              <w:right w:w="120" w:type="dxa"/>
            </w:tcMar>
            <w:vAlign w:val="center"/>
          </w:tcPr>
          <w:p w14:paraId="58DAF11F" w14:textId="77777777" w:rsidR="00EA0C36" w:rsidRDefault="00CD5DDA">
            <w:pPr>
              <w:spacing w:after="0" w:line="252" w:lineRule="auto"/>
            </w:pPr>
            <w:r>
              <w:rPr>
                <w:rFonts w:eastAsia="Calibri"/>
                <w:sz w:val="17"/>
              </w:rPr>
              <w:t>One named owner; specific delivery; link to EHCP; feasibility checked; staff informed; plan accessible to pupil.</w:t>
            </w:r>
          </w:p>
        </w:tc>
      </w:tr>
      <w:tr w:rsidR="00EA0C36" w14:paraId="62B97D0B" w14:textId="77777777">
        <w:trPr>
          <w:cantSplit/>
        </w:trPr>
        <w:tc>
          <w:tcPr>
            <w:tcW w:w="1200" w:type="dxa"/>
            <w:tcMar>
              <w:top w:w="80" w:type="dxa"/>
              <w:left w:w="120" w:type="dxa"/>
              <w:bottom w:w="80" w:type="dxa"/>
              <w:right w:w="120" w:type="dxa"/>
            </w:tcMar>
            <w:vAlign w:val="center"/>
          </w:tcPr>
          <w:p w14:paraId="3F67DB23" w14:textId="77777777" w:rsidR="00EA0C36" w:rsidRDefault="00CD5DDA">
            <w:pPr>
              <w:spacing w:after="0" w:line="252" w:lineRule="auto"/>
            </w:pPr>
            <w:r>
              <w:rPr>
                <w:rFonts w:eastAsia="Calibri"/>
                <w:b/>
                <w:color w:val="164B42"/>
                <w:sz w:val="17"/>
              </w:rPr>
              <w:t>Do</w:t>
            </w:r>
          </w:p>
        </w:tc>
        <w:tc>
          <w:tcPr>
            <w:tcW w:w="4750" w:type="dxa"/>
            <w:tcMar>
              <w:top w:w="80" w:type="dxa"/>
              <w:left w:w="120" w:type="dxa"/>
              <w:bottom w:w="80" w:type="dxa"/>
              <w:right w:w="120" w:type="dxa"/>
            </w:tcMar>
            <w:vAlign w:val="center"/>
          </w:tcPr>
          <w:p w14:paraId="0E4E9A12" w14:textId="77777777" w:rsidR="00EA0C36" w:rsidRDefault="00CD5DDA">
            <w:pPr>
              <w:spacing w:after="0" w:line="252" w:lineRule="auto"/>
            </w:pPr>
            <w:r>
              <w:rPr>
                <w:rFonts w:eastAsia="Calibri"/>
                <w:sz w:val="17"/>
              </w:rPr>
              <w:t>Deliver consistently; teacher remains accountable; specialists model/coach; support staff promote participation and independence; log material delivery and exceptions.</w:t>
            </w:r>
          </w:p>
        </w:tc>
        <w:tc>
          <w:tcPr>
            <w:tcW w:w="3410" w:type="dxa"/>
            <w:tcMar>
              <w:top w:w="80" w:type="dxa"/>
              <w:left w:w="120" w:type="dxa"/>
              <w:bottom w:w="80" w:type="dxa"/>
              <w:right w:w="120" w:type="dxa"/>
            </w:tcMar>
            <w:vAlign w:val="center"/>
          </w:tcPr>
          <w:p w14:paraId="78795B89" w14:textId="77777777" w:rsidR="00EA0C36" w:rsidRDefault="00CD5DDA">
            <w:pPr>
              <w:spacing w:after="0" w:line="252" w:lineRule="auto"/>
            </w:pPr>
            <w:r>
              <w:rPr>
                <w:rFonts w:eastAsia="Calibri"/>
                <w:sz w:val="17"/>
              </w:rPr>
              <w:t>Provision evidence proportionate to risk and specification; deviations explained and escalated; safeguarding action immediate.</w:t>
            </w:r>
          </w:p>
        </w:tc>
      </w:tr>
      <w:tr w:rsidR="00EA0C36" w14:paraId="272004FB" w14:textId="77777777">
        <w:trPr>
          <w:cantSplit/>
        </w:trPr>
        <w:tc>
          <w:tcPr>
            <w:tcW w:w="1200" w:type="dxa"/>
            <w:shd w:val="clear" w:color="auto" w:fill="FAFBFC"/>
            <w:tcMar>
              <w:top w:w="80" w:type="dxa"/>
              <w:left w:w="120" w:type="dxa"/>
              <w:bottom w:w="80" w:type="dxa"/>
              <w:right w:w="120" w:type="dxa"/>
            </w:tcMar>
            <w:vAlign w:val="center"/>
          </w:tcPr>
          <w:p w14:paraId="00FF0CF4" w14:textId="77777777" w:rsidR="00EA0C36" w:rsidRDefault="00CD5DDA">
            <w:pPr>
              <w:spacing w:after="0" w:line="252" w:lineRule="auto"/>
            </w:pPr>
            <w:r>
              <w:rPr>
                <w:rFonts w:eastAsia="Calibri"/>
                <w:b/>
                <w:color w:val="164B42"/>
                <w:sz w:val="17"/>
              </w:rPr>
              <w:t>Review</w:t>
            </w:r>
          </w:p>
        </w:tc>
        <w:tc>
          <w:tcPr>
            <w:tcW w:w="4750" w:type="dxa"/>
            <w:shd w:val="clear" w:color="auto" w:fill="FAFBFC"/>
            <w:tcMar>
              <w:top w:w="80" w:type="dxa"/>
              <w:left w:w="120" w:type="dxa"/>
              <w:bottom w:w="80" w:type="dxa"/>
              <w:right w:w="120" w:type="dxa"/>
            </w:tcMar>
            <w:vAlign w:val="center"/>
          </w:tcPr>
          <w:p w14:paraId="53A0AD14" w14:textId="77777777" w:rsidR="00EA0C36" w:rsidRDefault="00CD5DDA">
            <w:pPr>
              <w:spacing w:after="0" w:line="252" w:lineRule="auto"/>
            </w:pPr>
            <w:r>
              <w:rPr>
                <w:rFonts w:eastAsia="Calibri"/>
                <w:sz w:val="17"/>
              </w:rPr>
              <w:t>Compare current evidence with baseline and outcome; seek views; assess implementation fidelity; decide continue/adapt/intensify/fade/stop; update documents and staff.</w:t>
            </w:r>
          </w:p>
        </w:tc>
        <w:tc>
          <w:tcPr>
            <w:tcW w:w="3410" w:type="dxa"/>
            <w:shd w:val="clear" w:color="auto" w:fill="FAFBFC"/>
            <w:tcMar>
              <w:top w:w="80" w:type="dxa"/>
              <w:left w:w="120" w:type="dxa"/>
              <w:bottom w:w="80" w:type="dxa"/>
              <w:right w:w="120" w:type="dxa"/>
            </w:tcMar>
            <w:vAlign w:val="center"/>
          </w:tcPr>
          <w:p w14:paraId="561CBA32" w14:textId="77777777" w:rsidR="00EA0C36" w:rsidRDefault="00CD5DDA">
            <w:pPr>
              <w:spacing w:after="0" w:line="252" w:lineRule="auto"/>
            </w:pPr>
            <w:r>
              <w:rPr>
                <w:rFonts w:eastAsia="Calibri"/>
                <w:sz w:val="17"/>
              </w:rPr>
              <w:t>Decision and rationale; next review; EHCP review/reassessment considered; no indefinite continuation without impact review.</w:t>
            </w:r>
          </w:p>
        </w:tc>
      </w:tr>
    </w:tbl>
    <w:p w14:paraId="126BCB7B" w14:textId="77777777" w:rsidR="00EA0C36" w:rsidRDefault="00EA0C36">
      <w:pPr>
        <w:spacing w:after="0"/>
      </w:pPr>
    </w:p>
    <w:p w14:paraId="4C69ED4C" w14:textId="77777777" w:rsidR="00EA0C36" w:rsidRDefault="00CD5DDA">
      <w:pPr>
        <w:pStyle w:val="Heading1"/>
      </w:pPr>
      <w:r>
        <w:t>Appendix B. Minimum pupil-level SEND evidence</w:t>
      </w:r>
    </w:p>
    <w:p w14:paraId="16C15E9E" w14:textId="77777777" w:rsidR="00EA0C36" w:rsidRDefault="00CD5DDA">
      <w:pPr>
        <w:pStyle w:val="MVSBullet"/>
        <w:numPr>
          <w:ilvl w:val="0"/>
          <w:numId w:val="1"/>
        </w:numPr>
      </w:pPr>
      <w:r>
        <w:rPr>
          <w:rFonts w:eastAsia="Calibri"/>
        </w:rPr>
        <w:t>current final EHCP and any amendment notice, with date received and responsible local authority;</w:t>
      </w:r>
    </w:p>
    <w:p w14:paraId="13579D5B" w14:textId="77777777" w:rsidR="00EA0C36" w:rsidRDefault="00CD5DDA">
      <w:pPr>
        <w:pStyle w:val="MVSBullet"/>
        <w:numPr>
          <w:ilvl w:val="0"/>
          <w:numId w:val="1"/>
        </w:numPr>
      </w:pPr>
      <w:r>
        <w:rPr>
          <w:rFonts w:eastAsia="Calibri"/>
        </w:rPr>
        <w:t>EHCP implementation map linking outcomes and Section F provision to delivery and evidence;</w:t>
      </w:r>
    </w:p>
    <w:p w14:paraId="233C6A40" w14:textId="77777777" w:rsidR="00EA0C36" w:rsidRDefault="00CD5DDA">
      <w:pPr>
        <w:pStyle w:val="MVSBullet"/>
        <w:numPr>
          <w:ilvl w:val="0"/>
          <w:numId w:val="1"/>
        </w:numPr>
      </w:pPr>
      <w:r>
        <w:rPr>
          <w:rFonts w:eastAsia="Calibri"/>
        </w:rPr>
        <w:t>accessible one-page profile and communication information;</w:t>
      </w:r>
    </w:p>
    <w:p w14:paraId="5FC4E9F2" w14:textId="77777777" w:rsidR="00EA0C36" w:rsidRDefault="00CD5DDA">
      <w:pPr>
        <w:pStyle w:val="MVSBullet"/>
        <w:numPr>
          <w:ilvl w:val="0"/>
          <w:numId w:val="1"/>
        </w:numPr>
      </w:pPr>
      <w:r>
        <w:rPr>
          <w:rFonts w:eastAsia="Calibri"/>
        </w:rPr>
        <w:t>baseline assessment and current curriculum/learning plan;</w:t>
      </w:r>
    </w:p>
    <w:p w14:paraId="204FDACF" w14:textId="77777777" w:rsidR="00EA0C36" w:rsidRDefault="00CD5DDA">
      <w:pPr>
        <w:pStyle w:val="MVSBullet"/>
        <w:numPr>
          <w:ilvl w:val="0"/>
          <w:numId w:val="1"/>
        </w:numPr>
      </w:pPr>
      <w:r>
        <w:rPr>
          <w:rFonts w:eastAsia="Calibri"/>
        </w:rPr>
        <w:t>reasonable-adjustment and access-arrangement record;</w:t>
      </w:r>
    </w:p>
    <w:p w14:paraId="3289EE46" w14:textId="77777777" w:rsidR="00EA0C36" w:rsidRDefault="00CD5DDA">
      <w:pPr>
        <w:pStyle w:val="MVSBullet"/>
        <w:numPr>
          <w:ilvl w:val="0"/>
          <w:numId w:val="1"/>
        </w:numPr>
      </w:pPr>
      <w:r>
        <w:rPr>
          <w:rFonts w:eastAsia="Calibri"/>
        </w:rPr>
        <w:t>current risk, behaviour/PBS, safeguarding, health, medication and personal-care plans where relevant;</w:t>
      </w:r>
    </w:p>
    <w:p w14:paraId="7086BA4F" w14:textId="77777777" w:rsidR="00EA0C36" w:rsidRDefault="00CD5DDA">
      <w:pPr>
        <w:pStyle w:val="MVSBullet"/>
        <w:numPr>
          <w:ilvl w:val="0"/>
          <w:numId w:val="1"/>
        </w:numPr>
      </w:pPr>
      <w:r>
        <w:rPr>
          <w:rFonts w:eastAsia="Calibri"/>
        </w:rPr>
        <w:t>specialist reports, recommendations, consent and competence/delegation records where relevant;</w:t>
      </w:r>
    </w:p>
    <w:p w14:paraId="7BA66274" w14:textId="77777777" w:rsidR="00EA0C36" w:rsidRDefault="00CD5DDA">
      <w:pPr>
        <w:pStyle w:val="MVSBullet"/>
        <w:numPr>
          <w:ilvl w:val="0"/>
          <w:numId w:val="1"/>
        </w:numPr>
      </w:pPr>
      <w:r>
        <w:rPr>
          <w:rFonts w:eastAsia="Calibri"/>
        </w:rPr>
        <w:t>provision and intervention evidence, including material non-delivery or substitutions;</w:t>
      </w:r>
    </w:p>
    <w:p w14:paraId="391C02CA" w14:textId="77777777" w:rsidR="00EA0C36" w:rsidRDefault="00CD5DDA">
      <w:pPr>
        <w:pStyle w:val="MVSBullet"/>
        <w:numPr>
          <w:ilvl w:val="0"/>
          <w:numId w:val="1"/>
        </w:numPr>
      </w:pPr>
      <w:r>
        <w:rPr>
          <w:rFonts w:eastAsia="Calibri"/>
        </w:rPr>
        <w:t>pupil and parent/carer views and agreed communication arrangements;</w:t>
      </w:r>
    </w:p>
    <w:p w14:paraId="02A3C299" w14:textId="77777777" w:rsidR="00EA0C36" w:rsidRDefault="00CD5DDA">
      <w:pPr>
        <w:pStyle w:val="MVSBullet"/>
        <w:numPr>
          <w:ilvl w:val="0"/>
          <w:numId w:val="1"/>
        </w:numPr>
      </w:pPr>
      <w:r>
        <w:rPr>
          <w:rFonts w:eastAsia="Calibri"/>
        </w:rPr>
        <w:t>annual/early review papers, decisions, action log and correspondence with the local authority;</w:t>
      </w:r>
    </w:p>
    <w:p w14:paraId="5F6D186F" w14:textId="77777777" w:rsidR="00EA0C36" w:rsidRDefault="00CD5DDA">
      <w:pPr>
        <w:pStyle w:val="MVSBullet"/>
        <w:numPr>
          <w:ilvl w:val="0"/>
          <w:numId w:val="1"/>
        </w:numPr>
      </w:pPr>
      <w:r>
        <w:rPr>
          <w:rFonts w:eastAsia="Calibri"/>
        </w:rPr>
        <w:t>transition and preparation-for-adulthood plan; and</w:t>
      </w:r>
    </w:p>
    <w:p w14:paraId="774F44A6" w14:textId="77777777" w:rsidR="00EA0C36" w:rsidRDefault="00CD5DDA">
      <w:pPr>
        <w:pStyle w:val="MVSBullet"/>
        <w:numPr>
          <w:ilvl w:val="0"/>
          <w:numId w:val="1"/>
        </w:numPr>
      </w:pPr>
      <w:r>
        <w:rPr>
          <w:rFonts w:eastAsia="Calibri"/>
        </w:rPr>
        <w:t>chronology of significant decisions, concerns, complaints and escalations.</w:t>
      </w:r>
    </w:p>
    <w:tbl>
      <w:tblPr>
        <w:tblW w:w="9360" w:type="dxa"/>
        <w:tblInd w:w="120" w:type="dxa"/>
        <w:tblBorders>
          <w:top w:val="single" w:sz="6" w:space="0" w:color="D5DADF"/>
          <w:left w:val="single" w:sz="6" w:space="0" w:color="D5DADF"/>
          <w:bottom w:val="single" w:sz="6" w:space="0" w:color="D5DADF"/>
          <w:right w:val="single" w:sz="6" w:space="0" w:color="D5DADF"/>
          <w:insideH w:val="single" w:sz="6" w:space="0" w:color="D5DADF"/>
          <w:insideV w:val="single" w:sz="6" w:space="0" w:color="D5DADF"/>
        </w:tblBorders>
        <w:tblLayout w:type="fixed"/>
        <w:tblLook w:val="04A0" w:firstRow="1" w:lastRow="0" w:firstColumn="1" w:lastColumn="0" w:noHBand="0" w:noVBand="1"/>
      </w:tblPr>
      <w:tblGrid>
        <w:gridCol w:w="9360"/>
      </w:tblGrid>
      <w:tr w:rsidR="00EA0C36" w14:paraId="1620D956" w14:textId="77777777">
        <w:trPr>
          <w:cantSplit/>
        </w:trPr>
        <w:tc>
          <w:tcPr>
            <w:tcW w:w="9360" w:type="dxa"/>
            <w:tcBorders>
              <w:left w:val="single" w:sz="22" w:space="0" w:color="164B42"/>
            </w:tcBorders>
            <w:shd w:val="clear" w:color="auto" w:fill="EAF2EF"/>
            <w:tcMar>
              <w:top w:w="80" w:type="dxa"/>
              <w:left w:w="120" w:type="dxa"/>
              <w:bottom w:w="80" w:type="dxa"/>
              <w:right w:w="120" w:type="dxa"/>
            </w:tcMar>
            <w:vAlign w:val="center"/>
          </w:tcPr>
          <w:p w14:paraId="37097B7B" w14:textId="77777777" w:rsidR="00EA0C36" w:rsidRDefault="00CD5DDA">
            <w:pPr>
              <w:spacing w:after="40"/>
            </w:pPr>
            <w:r>
              <w:rPr>
                <w:rFonts w:eastAsia="Calibri"/>
                <w:b/>
                <w:caps/>
                <w:color w:val="164B42"/>
                <w:sz w:val="18"/>
              </w:rPr>
              <w:t>PROPORTIONALITY</w:t>
            </w:r>
          </w:p>
          <w:p w14:paraId="01D2FC2C" w14:textId="77777777" w:rsidR="00EA0C36" w:rsidRDefault="00CD5DDA">
            <w:pPr>
              <w:spacing w:after="0" w:line="269" w:lineRule="auto"/>
            </w:pPr>
            <w:r>
              <w:rPr>
                <w:rFonts w:eastAsia="Calibri"/>
                <w:sz w:val="20"/>
              </w:rPr>
              <w:t>The purpose of evidence is to secure continuity, accountability and better decisions. Staff should not create repetitive records that do not change practice. One reliable record used consistently is stronger than several incomplete versions.</w:t>
            </w:r>
          </w:p>
        </w:tc>
      </w:tr>
    </w:tbl>
    <w:p w14:paraId="053E7850" w14:textId="77777777" w:rsidR="00EA0C36" w:rsidRDefault="00EA0C36">
      <w:pPr>
        <w:spacing w:after="0"/>
      </w:pPr>
    </w:p>
    <w:p w14:paraId="489A44CB" w14:textId="77777777" w:rsidR="00EA0C36" w:rsidRDefault="00CD5DDA">
      <w:pPr>
        <w:pStyle w:val="Heading1"/>
      </w:pPr>
      <w:r>
        <w:lastRenderedPageBreak/>
        <w:t>Appendix C. Annual review quality standard</w:t>
      </w:r>
    </w:p>
    <w:p w14:paraId="614DEE45" w14:textId="77777777" w:rsidR="00EA0C36" w:rsidRDefault="00CD5DDA">
      <w:pPr>
        <w:pStyle w:val="MVSBullet"/>
        <w:numPr>
          <w:ilvl w:val="0"/>
          <w:numId w:val="1"/>
        </w:numPr>
      </w:pPr>
      <w:r>
        <w:rPr>
          <w:rFonts w:eastAsia="Calibri"/>
        </w:rPr>
        <w:t>The pupil understands the purpose and can contribute using their preferred communication method.</w:t>
      </w:r>
    </w:p>
    <w:p w14:paraId="05BAB4B2" w14:textId="77777777" w:rsidR="00EA0C36" w:rsidRDefault="00CD5DDA">
      <w:pPr>
        <w:pStyle w:val="MVSBullet"/>
        <w:numPr>
          <w:ilvl w:val="0"/>
          <w:numId w:val="1"/>
        </w:numPr>
      </w:pPr>
      <w:r>
        <w:rPr>
          <w:rFonts w:eastAsia="Calibri"/>
        </w:rPr>
        <w:t>Parents/carers and all relevant professionals are invited with sufficient notice.</w:t>
      </w:r>
    </w:p>
    <w:p w14:paraId="66B2CC28" w14:textId="77777777" w:rsidR="00EA0C36" w:rsidRDefault="00CD5DDA">
      <w:pPr>
        <w:pStyle w:val="MVSBullet"/>
        <w:numPr>
          <w:ilvl w:val="0"/>
          <w:numId w:val="1"/>
        </w:numPr>
      </w:pPr>
      <w:r>
        <w:rPr>
          <w:rFonts w:eastAsia="Calibri"/>
        </w:rPr>
        <w:t>Advice is current, specific and circulated within the applicable timetable.</w:t>
      </w:r>
    </w:p>
    <w:p w14:paraId="744EFCE9" w14:textId="77777777" w:rsidR="00EA0C36" w:rsidRDefault="00CD5DDA">
      <w:pPr>
        <w:pStyle w:val="MVSBullet"/>
        <w:numPr>
          <w:ilvl w:val="0"/>
          <w:numId w:val="1"/>
        </w:numPr>
      </w:pPr>
      <w:r>
        <w:rPr>
          <w:rFonts w:eastAsia="Calibri"/>
        </w:rPr>
        <w:t>Progress is evaluated against each EHCP outcome with clear evidence, not general description.</w:t>
      </w:r>
    </w:p>
    <w:p w14:paraId="15496371" w14:textId="77777777" w:rsidR="00EA0C36" w:rsidRDefault="00CD5DDA">
      <w:pPr>
        <w:pStyle w:val="MVSBullet"/>
        <w:numPr>
          <w:ilvl w:val="0"/>
          <w:numId w:val="1"/>
        </w:numPr>
      </w:pPr>
      <w:r>
        <w:rPr>
          <w:rFonts w:eastAsia="Calibri"/>
        </w:rPr>
        <w:t>The review tests whether every item of Section F provision remains appropriate, specific and deliverable.</w:t>
      </w:r>
    </w:p>
    <w:p w14:paraId="3B78B600" w14:textId="77777777" w:rsidR="00EA0C36" w:rsidRDefault="00CD5DDA">
      <w:pPr>
        <w:pStyle w:val="MVSBullet"/>
        <w:numPr>
          <w:ilvl w:val="0"/>
          <w:numId w:val="1"/>
        </w:numPr>
      </w:pPr>
      <w:r>
        <w:rPr>
          <w:rFonts w:eastAsia="Calibri"/>
        </w:rPr>
        <w:t>Strengths, aspirations and what matters to the pupil are visible throughout.</w:t>
      </w:r>
    </w:p>
    <w:p w14:paraId="20EAF093" w14:textId="77777777" w:rsidR="00EA0C36" w:rsidRDefault="00CD5DDA">
      <w:pPr>
        <w:pStyle w:val="MVSBullet"/>
        <w:numPr>
          <w:ilvl w:val="0"/>
          <w:numId w:val="1"/>
        </w:numPr>
      </w:pPr>
      <w:r>
        <w:rPr>
          <w:rFonts w:eastAsia="Calibri"/>
        </w:rPr>
        <w:t>From Year 9 at the latest, preparation-for-adulthood outcomes and next steps are substantive.</w:t>
      </w:r>
    </w:p>
    <w:p w14:paraId="701BF152" w14:textId="77777777" w:rsidR="00EA0C36" w:rsidRDefault="00CD5DDA">
      <w:pPr>
        <w:pStyle w:val="MVSBullet"/>
        <w:numPr>
          <w:ilvl w:val="0"/>
          <w:numId w:val="1"/>
        </w:numPr>
      </w:pPr>
      <w:r>
        <w:rPr>
          <w:rFonts w:eastAsia="Calibri"/>
        </w:rPr>
        <w:t>Attendance, safeguarding, health, therapy, behaviour/regulation, equality and placement viability are considered where relevant.</w:t>
      </w:r>
    </w:p>
    <w:p w14:paraId="7B05C049" w14:textId="77777777" w:rsidR="00EA0C36" w:rsidRDefault="00CD5DDA">
      <w:pPr>
        <w:pStyle w:val="MVSBullet"/>
        <w:numPr>
          <w:ilvl w:val="0"/>
          <w:numId w:val="1"/>
        </w:numPr>
      </w:pPr>
      <w:r>
        <w:rPr>
          <w:rFonts w:eastAsia="Calibri"/>
        </w:rPr>
        <w:t>Recommendations distinguish school action from requested local authority amendment.</w:t>
      </w:r>
    </w:p>
    <w:p w14:paraId="26AEA722" w14:textId="77777777" w:rsidR="00EA0C36" w:rsidRDefault="00CD5DDA">
      <w:pPr>
        <w:pStyle w:val="MVSBullet"/>
        <w:numPr>
          <w:ilvl w:val="0"/>
          <w:numId w:val="1"/>
        </w:numPr>
      </w:pPr>
      <w:r>
        <w:rPr>
          <w:rFonts w:eastAsia="Calibri"/>
        </w:rPr>
        <w:t>Actions have an owner and deadline; the report is issued promptly and tracked to completion.</w:t>
      </w:r>
    </w:p>
    <w:p w14:paraId="154E8B83" w14:textId="77777777" w:rsidR="00EA0C36" w:rsidRDefault="00CD5DDA">
      <w:pPr>
        <w:pStyle w:val="Heading1"/>
      </w:pPr>
      <w:r>
        <w:t>Appendix D. Compliance and evidence schedule</w:t>
      </w:r>
    </w:p>
    <w:tbl>
      <w:tblPr>
        <w:tblW w:w="9360" w:type="dxa"/>
        <w:tblInd w:w="120" w:type="dxa"/>
        <w:tblBorders>
          <w:top w:val="single" w:sz="6" w:space="0" w:color="D5DADF"/>
          <w:left w:val="single" w:sz="6" w:space="0" w:color="D5DADF"/>
          <w:bottom w:val="single" w:sz="6" w:space="0" w:color="D5DADF"/>
          <w:right w:val="single" w:sz="6" w:space="0" w:color="D5DADF"/>
          <w:insideH w:val="single" w:sz="6" w:space="0" w:color="D5DADF"/>
          <w:insideV w:val="single" w:sz="6" w:space="0" w:color="D5DADF"/>
        </w:tblBorders>
        <w:tblLayout w:type="fixed"/>
        <w:tblLook w:val="04A0" w:firstRow="1" w:lastRow="0" w:firstColumn="1" w:lastColumn="0" w:noHBand="0" w:noVBand="1"/>
      </w:tblPr>
      <w:tblGrid>
        <w:gridCol w:w="2100"/>
        <w:gridCol w:w="1700"/>
        <w:gridCol w:w="3260"/>
        <w:gridCol w:w="2300"/>
      </w:tblGrid>
      <w:tr w:rsidR="00EA0C36" w14:paraId="5E5505B5" w14:textId="77777777">
        <w:trPr>
          <w:cantSplit/>
          <w:tblHeader/>
        </w:trPr>
        <w:tc>
          <w:tcPr>
            <w:tcW w:w="2100" w:type="dxa"/>
            <w:shd w:val="clear" w:color="auto" w:fill="164B42"/>
            <w:tcMar>
              <w:top w:w="80" w:type="dxa"/>
              <w:left w:w="120" w:type="dxa"/>
              <w:bottom w:w="80" w:type="dxa"/>
              <w:right w:w="120" w:type="dxa"/>
            </w:tcMar>
            <w:vAlign w:val="center"/>
          </w:tcPr>
          <w:p w14:paraId="014AD0FF" w14:textId="77777777" w:rsidR="00EA0C36" w:rsidRDefault="00CD5DDA">
            <w:pPr>
              <w:spacing w:after="0"/>
            </w:pPr>
            <w:r>
              <w:rPr>
                <w:rFonts w:eastAsia="Calibri"/>
                <w:b/>
                <w:color w:val="FFFFFF"/>
                <w:sz w:val="18"/>
              </w:rPr>
              <w:t>Control</w:t>
            </w:r>
          </w:p>
        </w:tc>
        <w:tc>
          <w:tcPr>
            <w:tcW w:w="1700" w:type="dxa"/>
            <w:shd w:val="clear" w:color="auto" w:fill="164B42"/>
            <w:tcMar>
              <w:top w:w="80" w:type="dxa"/>
              <w:left w:w="120" w:type="dxa"/>
              <w:bottom w:w="80" w:type="dxa"/>
              <w:right w:w="120" w:type="dxa"/>
            </w:tcMar>
            <w:vAlign w:val="center"/>
          </w:tcPr>
          <w:p w14:paraId="2E408727" w14:textId="77777777" w:rsidR="00EA0C36" w:rsidRDefault="00CD5DDA">
            <w:pPr>
              <w:spacing w:after="0"/>
            </w:pPr>
            <w:r>
              <w:rPr>
                <w:rFonts w:eastAsia="Calibri"/>
                <w:b/>
                <w:color w:val="FFFFFF"/>
                <w:sz w:val="18"/>
              </w:rPr>
              <w:t>Owner</w:t>
            </w:r>
          </w:p>
        </w:tc>
        <w:tc>
          <w:tcPr>
            <w:tcW w:w="3260" w:type="dxa"/>
            <w:shd w:val="clear" w:color="auto" w:fill="164B42"/>
            <w:tcMar>
              <w:top w:w="80" w:type="dxa"/>
              <w:left w:w="120" w:type="dxa"/>
              <w:bottom w:w="80" w:type="dxa"/>
              <w:right w:w="120" w:type="dxa"/>
            </w:tcMar>
            <w:vAlign w:val="center"/>
          </w:tcPr>
          <w:p w14:paraId="7C8DA5B4" w14:textId="77777777" w:rsidR="00EA0C36" w:rsidRDefault="00CD5DDA">
            <w:pPr>
              <w:spacing w:after="0"/>
            </w:pPr>
            <w:r>
              <w:rPr>
                <w:rFonts w:eastAsia="Calibri"/>
                <w:b/>
                <w:color w:val="FFFFFF"/>
                <w:sz w:val="18"/>
              </w:rPr>
              <w:t>Evidence retained</w:t>
            </w:r>
          </w:p>
        </w:tc>
        <w:tc>
          <w:tcPr>
            <w:tcW w:w="2300" w:type="dxa"/>
            <w:shd w:val="clear" w:color="auto" w:fill="164B42"/>
            <w:tcMar>
              <w:top w:w="80" w:type="dxa"/>
              <w:left w:w="120" w:type="dxa"/>
              <w:bottom w:w="80" w:type="dxa"/>
              <w:right w:w="120" w:type="dxa"/>
            </w:tcMar>
            <w:vAlign w:val="center"/>
          </w:tcPr>
          <w:p w14:paraId="611ADB1E" w14:textId="77777777" w:rsidR="00EA0C36" w:rsidRDefault="00CD5DDA">
            <w:pPr>
              <w:spacing w:after="0"/>
            </w:pPr>
            <w:r>
              <w:rPr>
                <w:rFonts w:eastAsia="Calibri"/>
                <w:b/>
                <w:color w:val="FFFFFF"/>
                <w:sz w:val="18"/>
              </w:rPr>
              <w:t>Escalation trigger</w:t>
            </w:r>
          </w:p>
        </w:tc>
      </w:tr>
      <w:tr w:rsidR="00EA0C36" w14:paraId="19AD1F51" w14:textId="77777777">
        <w:trPr>
          <w:cantSplit/>
        </w:trPr>
        <w:tc>
          <w:tcPr>
            <w:tcW w:w="2100" w:type="dxa"/>
            <w:tcMar>
              <w:top w:w="80" w:type="dxa"/>
              <w:left w:w="120" w:type="dxa"/>
              <w:bottom w:w="80" w:type="dxa"/>
              <w:right w:w="120" w:type="dxa"/>
            </w:tcMar>
            <w:vAlign w:val="center"/>
          </w:tcPr>
          <w:p w14:paraId="7EC8DB99" w14:textId="77777777" w:rsidR="00EA0C36" w:rsidRDefault="00CD5DDA">
            <w:pPr>
              <w:spacing w:after="0" w:line="252" w:lineRule="auto"/>
            </w:pPr>
            <w:r>
              <w:rPr>
                <w:rFonts w:eastAsia="Calibri"/>
                <w:b/>
                <w:color w:val="164B42"/>
                <w:sz w:val="16"/>
              </w:rPr>
              <w:t>Registration and placement range</w:t>
            </w:r>
          </w:p>
        </w:tc>
        <w:tc>
          <w:tcPr>
            <w:tcW w:w="1700" w:type="dxa"/>
            <w:tcMar>
              <w:top w:w="80" w:type="dxa"/>
              <w:left w:w="120" w:type="dxa"/>
              <w:bottom w:w="80" w:type="dxa"/>
              <w:right w:w="120" w:type="dxa"/>
            </w:tcMar>
            <w:vAlign w:val="center"/>
          </w:tcPr>
          <w:p w14:paraId="7A9D7D88" w14:textId="77777777" w:rsidR="00EA0C36" w:rsidRDefault="00CD5DDA">
            <w:pPr>
              <w:spacing w:after="0" w:line="252" w:lineRule="auto"/>
            </w:pPr>
            <w:r>
              <w:rPr>
                <w:rFonts w:eastAsia="Calibri"/>
                <w:sz w:val="16"/>
              </w:rPr>
              <w:t>Head / Proprietor</w:t>
            </w:r>
          </w:p>
        </w:tc>
        <w:tc>
          <w:tcPr>
            <w:tcW w:w="3260" w:type="dxa"/>
            <w:tcMar>
              <w:top w:w="80" w:type="dxa"/>
              <w:left w:w="120" w:type="dxa"/>
              <w:bottom w:w="80" w:type="dxa"/>
              <w:right w:w="120" w:type="dxa"/>
            </w:tcMar>
            <w:vAlign w:val="center"/>
          </w:tcPr>
          <w:p w14:paraId="06E5BB7A" w14:textId="77777777" w:rsidR="00EA0C36" w:rsidRDefault="00CD5DDA">
            <w:pPr>
              <w:spacing w:after="0" w:line="252" w:lineRule="auto"/>
            </w:pPr>
            <w:r>
              <w:rPr>
                <w:rFonts w:eastAsia="Calibri"/>
                <w:sz w:val="16"/>
              </w:rPr>
              <w:t>Registration certificate; admissions decision; consultation record.</w:t>
            </w:r>
          </w:p>
        </w:tc>
        <w:tc>
          <w:tcPr>
            <w:tcW w:w="2300" w:type="dxa"/>
            <w:tcMar>
              <w:top w:w="80" w:type="dxa"/>
              <w:left w:w="120" w:type="dxa"/>
              <w:bottom w:w="80" w:type="dxa"/>
              <w:right w:w="120" w:type="dxa"/>
            </w:tcMar>
            <w:vAlign w:val="center"/>
          </w:tcPr>
          <w:p w14:paraId="3655EE8B" w14:textId="77777777" w:rsidR="00EA0C36" w:rsidRDefault="00CD5DDA">
            <w:pPr>
              <w:spacing w:after="0" w:line="252" w:lineRule="auto"/>
            </w:pPr>
            <w:r>
              <w:rPr>
                <w:rFonts w:eastAsia="Calibri"/>
                <w:sz w:val="16"/>
              </w:rPr>
              <w:t>Referral outside registered range or material-change risk.</w:t>
            </w:r>
          </w:p>
        </w:tc>
      </w:tr>
      <w:tr w:rsidR="00EA0C36" w14:paraId="5F063DE4" w14:textId="77777777">
        <w:trPr>
          <w:cantSplit/>
        </w:trPr>
        <w:tc>
          <w:tcPr>
            <w:tcW w:w="2100" w:type="dxa"/>
            <w:shd w:val="clear" w:color="auto" w:fill="FAFBFC"/>
            <w:tcMar>
              <w:top w:w="80" w:type="dxa"/>
              <w:left w:w="120" w:type="dxa"/>
              <w:bottom w:w="80" w:type="dxa"/>
              <w:right w:w="120" w:type="dxa"/>
            </w:tcMar>
            <w:vAlign w:val="center"/>
          </w:tcPr>
          <w:p w14:paraId="21973195" w14:textId="77777777" w:rsidR="00EA0C36" w:rsidRDefault="00CD5DDA">
            <w:pPr>
              <w:spacing w:after="0" w:line="252" w:lineRule="auto"/>
            </w:pPr>
            <w:r>
              <w:rPr>
                <w:rFonts w:eastAsia="Calibri"/>
                <w:b/>
                <w:color w:val="164B42"/>
                <w:sz w:val="16"/>
              </w:rPr>
              <w:t>EHCP delivery</w:t>
            </w:r>
          </w:p>
        </w:tc>
        <w:tc>
          <w:tcPr>
            <w:tcW w:w="1700" w:type="dxa"/>
            <w:shd w:val="clear" w:color="auto" w:fill="FAFBFC"/>
            <w:tcMar>
              <w:top w:w="80" w:type="dxa"/>
              <w:left w:w="120" w:type="dxa"/>
              <w:bottom w:w="80" w:type="dxa"/>
              <w:right w:w="120" w:type="dxa"/>
            </w:tcMar>
            <w:vAlign w:val="center"/>
          </w:tcPr>
          <w:p w14:paraId="4055DBB9" w14:textId="77777777" w:rsidR="00EA0C36" w:rsidRDefault="00CD5DDA">
            <w:pPr>
              <w:spacing w:after="0" w:line="252" w:lineRule="auto"/>
            </w:pPr>
            <w:r>
              <w:rPr>
                <w:rFonts w:eastAsia="Calibri"/>
                <w:sz w:val="16"/>
              </w:rPr>
              <w:t>SENCO / Inclusion Lead</w:t>
            </w:r>
          </w:p>
        </w:tc>
        <w:tc>
          <w:tcPr>
            <w:tcW w:w="3260" w:type="dxa"/>
            <w:shd w:val="clear" w:color="auto" w:fill="FAFBFC"/>
            <w:tcMar>
              <w:top w:w="80" w:type="dxa"/>
              <w:left w:w="120" w:type="dxa"/>
              <w:bottom w:w="80" w:type="dxa"/>
              <w:right w:w="120" w:type="dxa"/>
            </w:tcMar>
            <w:vAlign w:val="center"/>
          </w:tcPr>
          <w:p w14:paraId="38DB23B2" w14:textId="77777777" w:rsidR="00EA0C36" w:rsidRDefault="00CD5DDA">
            <w:pPr>
              <w:spacing w:after="0" w:line="252" w:lineRule="auto"/>
            </w:pPr>
            <w:r>
              <w:rPr>
                <w:rFonts w:eastAsia="Calibri"/>
                <w:sz w:val="16"/>
              </w:rPr>
              <w:t>EHCP map; timetable; provision evidence; exception log.</w:t>
            </w:r>
          </w:p>
        </w:tc>
        <w:tc>
          <w:tcPr>
            <w:tcW w:w="2300" w:type="dxa"/>
            <w:shd w:val="clear" w:color="auto" w:fill="FAFBFC"/>
            <w:tcMar>
              <w:top w:w="80" w:type="dxa"/>
              <w:left w:w="120" w:type="dxa"/>
              <w:bottom w:w="80" w:type="dxa"/>
              <w:right w:w="120" w:type="dxa"/>
            </w:tcMar>
            <w:vAlign w:val="center"/>
          </w:tcPr>
          <w:p w14:paraId="49F53530" w14:textId="77777777" w:rsidR="00EA0C36" w:rsidRDefault="00CD5DDA">
            <w:pPr>
              <w:spacing w:after="0" w:line="252" w:lineRule="auto"/>
            </w:pPr>
            <w:r>
              <w:rPr>
                <w:rFonts w:eastAsia="Calibri"/>
                <w:sz w:val="16"/>
              </w:rPr>
              <w:t xml:space="preserve">Specified provision </w:t>
            </w:r>
            <w:proofErr w:type="gramStart"/>
            <w:r>
              <w:rPr>
                <w:rFonts w:eastAsia="Calibri"/>
                <w:sz w:val="16"/>
              </w:rPr>
              <w:t>not</w:t>
            </w:r>
            <w:proofErr w:type="gramEnd"/>
            <w:r>
              <w:rPr>
                <w:rFonts w:eastAsia="Calibri"/>
                <w:sz w:val="16"/>
              </w:rPr>
              <w:t xml:space="preserve"> delivered or no longer appropriate.</w:t>
            </w:r>
          </w:p>
        </w:tc>
      </w:tr>
      <w:tr w:rsidR="00EA0C36" w14:paraId="08C488B4" w14:textId="77777777">
        <w:trPr>
          <w:cantSplit/>
        </w:trPr>
        <w:tc>
          <w:tcPr>
            <w:tcW w:w="2100" w:type="dxa"/>
            <w:tcMar>
              <w:top w:w="80" w:type="dxa"/>
              <w:left w:w="120" w:type="dxa"/>
              <w:bottom w:w="80" w:type="dxa"/>
              <w:right w:w="120" w:type="dxa"/>
            </w:tcMar>
            <w:vAlign w:val="center"/>
          </w:tcPr>
          <w:p w14:paraId="0D812A4C" w14:textId="77777777" w:rsidR="00EA0C36" w:rsidRDefault="00CD5DDA">
            <w:pPr>
              <w:spacing w:after="0" w:line="252" w:lineRule="auto"/>
            </w:pPr>
            <w:r>
              <w:rPr>
                <w:rFonts w:eastAsia="Calibri"/>
                <w:b/>
                <w:color w:val="164B42"/>
                <w:sz w:val="16"/>
              </w:rPr>
              <w:t>Curriculum access</w:t>
            </w:r>
          </w:p>
        </w:tc>
        <w:tc>
          <w:tcPr>
            <w:tcW w:w="1700" w:type="dxa"/>
            <w:tcMar>
              <w:top w:w="80" w:type="dxa"/>
              <w:left w:w="120" w:type="dxa"/>
              <w:bottom w:w="80" w:type="dxa"/>
              <w:right w:w="120" w:type="dxa"/>
            </w:tcMar>
            <w:vAlign w:val="center"/>
          </w:tcPr>
          <w:p w14:paraId="2F40709D" w14:textId="77777777" w:rsidR="00EA0C36" w:rsidRDefault="00CD5DDA">
            <w:pPr>
              <w:spacing w:after="0" w:line="252" w:lineRule="auto"/>
            </w:pPr>
            <w:r>
              <w:rPr>
                <w:rFonts w:eastAsia="Calibri"/>
                <w:sz w:val="16"/>
              </w:rPr>
              <w:t>Curriculum lead / Teachers</w:t>
            </w:r>
          </w:p>
        </w:tc>
        <w:tc>
          <w:tcPr>
            <w:tcW w:w="3260" w:type="dxa"/>
            <w:tcMar>
              <w:top w:w="80" w:type="dxa"/>
              <w:left w:w="120" w:type="dxa"/>
              <w:bottom w:w="80" w:type="dxa"/>
              <w:right w:w="120" w:type="dxa"/>
            </w:tcMar>
            <w:vAlign w:val="center"/>
          </w:tcPr>
          <w:p w14:paraId="562D0A0E" w14:textId="77777777" w:rsidR="00EA0C36" w:rsidRDefault="00CD5DDA">
            <w:pPr>
              <w:spacing w:after="0" w:line="252" w:lineRule="auto"/>
            </w:pPr>
            <w:r>
              <w:rPr>
                <w:rFonts w:eastAsia="Calibri"/>
                <w:sz w:val="16"/>
              </w:rPr>
              <w:t>Plans, work, assessment, observation and participation evidence.</w:t>
            </w:r>
          </w:p>
        </w:tc>
        <w:tc>
          <w:tcPr>
            <w:tcW w:w="2300" w:type="dxa"/>
            <w:tcMar>
              <w:top w:w="80" w:type="dxa"/>
              <w:left w:w="120" w:type="dxa"/>
              <w:bottom w:w="80" w:type="dxa"/>
              <w:right w:w="120" w:type="dxa"/>
            </w:tcMar>
            <w:vAlign w:val="center"/>
          </w:tcPr>
          <w:p w14:paraId="18E79ED1" w14:textId="77777777" w:rsidR="00EA0C36" w:rsidRDefault="00CD5DDA">
            <w:pPr>
              <w:spacing w:after="0" w:line="252" w:lineRule="auto"/>
            </w:pPr>
            <w:r>
              <w:rPr>
                <w:rFonts w:eastAsia="Calibri"/>
                <w:sz w:val="16"/>
              </w:rPr>
              <w:t>Repeated withdrawal, weak progress or low expectation.</w:t>
            </w:r>
          </w:p>
        </w:tc>
      </w:tr>
      <w:tr w:rsidR="00EA0C36" w14:paraId="754537C7" w14:textId="77777777">
        <w:trPr>
          <w:cantSplit/>
        </w:trPr>
        <w:tc>
          <w:tcPr>
            <w:tcW w:w="2100" w:type="dxa"/>
            <w:shd w:val="clear" w:color="auto" w:fill="FAFBFC"/>
            <w:tcMar>
              <w:top w:w="80" w:type="dxa"/>
              <w:left w:w="120" w:type="dxa"/>
              <w:bottom w:w="80" w:type="dxa"/>
              <w:right w:w="120" w:type="dxa"/>
            </w:tcMar>
            <w:vAlign w:val="center"/>
          </w:tcPr>
          <w:p w14:paraId="76BD0D85" w14:textId="77777777" w:rsidR="00EA0C36" w:rsidRDefault="00CD5DDA">
            <w:pPr>
              <w:spacing w:after="0" w:line="252" w:lineRule="auto"/>
            </w:pPr>
            <w:r>
              <w:rPr>
                <w:rFonts w:eastAsia="Calibri"/>
                <w:b/>
                <w:color w:val="164B42"/>
                <w:sz w:val="16"/>
              </w:rPr>
              <w:t>Reasonable adjustments</w:t>
            </w:r>
          </w:p>
        </w:tc>
        <w:tc>
          <w:tcPr>
            <w:tcW w:w="1700" w:type="dxa"/>
            <w:shd w:val="clear" w:color="auto" w:fill="FAFBFC"/>
            <w:tcMar>
              <w:top w:w="80" w:type="dxa"/>
              <w:left w:w="120" w:type="dxa"/>
              <w:bottom w:w="80" w:type="dxa"/>
              <w:right w:w="120" w:type="dxa"/>
            </w:tcMar>
            <w:vAlign w:val="center"/>
          </w:tcPr>
          <w:p w14:paraId="4DBCA6FE" w14:textId="77777777" w:rsidR="00EA0C36" w:rsidRDefault="00CD5DDA">
            <w:pPr>
              <w:spacing w:after="0" w:line="252" w:lineRule="auto"/>
            </w:pPr>
            <w:r>
              <w:rPr>
                <w:rFonts w:eastAsia="Calibri"/>
                <w:sz w:val="16"/>
              </w:rPr>
              <w:t>Head / SENCO</w:t>
            </w:r>
          </w:p>
        </w:tc>
        <w:tc>
          <w:tcPr>
            <w:tcW w:w="3260" w:type="dxa"/>
            <w:shd w:val="clear" w:color="auto" w:fill="FAFBFC"/>
            <w:tcMar>
              <w:top w:w="80" w:type="dxa"/>
              <w:left w:w="120" w:type="dxa"/>
              <w:bottom w:w="80" w:type="dxa"/>
              <w:right w:w="120" w:type="dxa"/>
            </w:tcMar>
            <w:vAlign w:val="center"/>
          </w:tcPr>
          <w:p w14:paraId="595F4BE4" w14:textId="77777777" w:rsidR="00EA0C36" w:rsidRDefault="00CD5DDA">
            <w:pPr>
              <w:spacing w:after="0" w:line="252" w:lineRule="auto"/>
            </w:pPr>
            <w:r>
              <w:rPr>
                <w:rFonts w:eastAsia="Calibri"/>
                <w:sz w:val="16"/>
              </w:rPr>
              <w:t>Barrier and adjustment record; review; Accessibility Plan.</w:t>
            </w:r>
          </w:p>
        </w:tc>
        <w:tc>
          <w:tcPr>
            <w:tcW w:w="2300" w:type="dxa"/>
            <w:shd w:val="clear" w:color="auto" w:fill="FAFBFC"/>
            <w:tcMar>
              <w:top w:w="80" w:type="dxa"/>
              <w:left w:w="120" w:type="dxa"/>
              <w:bottom w:w="80" w:type="dxa"/>
              <w:right w:w="120" w:type="dxa"/>
            </w:tcMar>
            <w:vAlign w:val="center"/>
          </w:tcPr>
          <w:p w14:paraId="37EF6011" w14:textId="77777777" w:rsidR="00EA0C36" w:rsidRDefault="00CD5DDA">
            <w:pPr>
              <w:spacing w:after="0" w:line="252" w:lineRule="auto"/>
            </w:pPr>
            <w:r>
              <w:rPr>
                <w:rFonts w:eastAsia="Calibri"/>
                <w:sz w:val="16"/>
              </w:rPr>
              <w:t>Substantial disadvantage persists or request is declined.</w:t>
            </w:r>
          </w:p>
        </w:tc>
      </w:tr>
      <w:tr w:rsidR="00EA0C36" w14:paraId="1B017861" w14:textId="77777777">
        <w:trPr>
          <w:cantSplit/>
        </w:trPr>
        <w:tc>
          <w:tcPr>
            <w:tcW w:w="2100" w:type="dxa"/>
            <w:tcMar>
              <w:top w:w="80" w:type="dxa"/>
              <w:left w:w="120" w:type="dxa"/>
              <w:bottom w:w="80" w:type="dxa"/>
              <w:right w:w="120" w:type="dxa"/>
            </w:tcMar>
            <w:vAlign w:val="center"/>
          </w:tcPr>
          <w:p w14:paraId="7B79B1B2" w14:textId="77777777" w:rsidR="00EA0C36" w:rsidRDefault="00CD5DDA">
            <w:pPr>
              <w:spacing w:after="0" w:line="252" w:lineRule="auto"/>
            </w:pPr>
            <w:r>
              <w:rPr>
                <w:rFonts w:eastAsia="Calibri"/>
                <w:b/>
                <w:color w:val="164B42"/>
                <w:sz w:val="16"/>
              </w:rPr>
              <w:t>Safeguarding</w:t>
            </w:r>
          </w:p>
        </w:tc>
        <w:tc>
          <w:tcPr>
            <w:tcW w:w="1700" w:type="dxa"/>
            <w:tcMar>
              <w:top w:w="80" w:type="dxa"/>
              <w:left w:w="120" w:type="dxa"/>
              <w:bottom w:w="80" w:type="dxa"/>
              <w:right w:w="120" w:type="dxa"/>
            </w:tcMar>
            <w:vAlign w:val="center"/>
          </w:tcPr>
          <w:p w14:paraId="06A2E2CB" w14:textId="77777777" w:rsidR="00EA0C36" w:rsidRDefault="00CD5DDA">
            <w:pPr>
              <w:spacing w:after="0" w:line="252" w:lineRule="auto"/>
            </w:pPr>
            <w:r>
              <w:rPr>
                <w:rFonts w:eastAsia="Calibri"/>
                <w:sz w:val="16"/>
              </w:rPr>
              <w:t>DSL</w:t>
            </w:r>
          </w:p>
        </w:tc>
        <w:tc>
          <w:tcPr>
            <w:tcW w:w="3260" w:type="dxa"/>
            <w:tcMar>
              <w:top w:w="80" w:type="dxa"/>
              <w:left w:w="120" w:type="dxa"/>
              <w:bottom w:w="80" w:type="dxa"/>
              <w:right w:w="120" w:type="dxa"/>
            </w:tcMar>
            <w:vAlign w:val="center"/>
          </w:tcPr>
          <w:p w14:paraId="31E3333B" w14:textId="77777777" w:rsidR="00EA0C36" w:rsidRDefault="00CD5DDA">
            <w:pPr>
              <w:spacing w:after="0" w:line="252" w:lineRule="auto"/>
            </w:pPr>
            <w:r>
              <w:rPr>
                <w:rFonts w:eastAsia="Calibri"/>
                <w:sz w:val="16"/>
              </w:rPr>
              <w:t>Safeguarding system; pupil communication/safety plan; referrals.</w:t>
            </w:r>
          </w:p>
        </w:tc>
        <w:tc>
          <w:tcPr>
            <w:tcW w:w="2300" w:type="dxa"/>
            <w:tcMar>
              <w:top w:w="80" w:type="dxa"/>
              <w:left w:w="120" w:type="dxa"/>
              <w:bottom w:w="80" w:type="dxa"/>
              <w:right w:w="120" w:type="dxa"/>
            </w:tcMar>
            <w:vAlign w:val="center"/>
          </w:tcPr>
          <w:p w14:paraId="74311BB9" w14:textId="77777777" w:rsidR="00EA0C36" w:rsidRDefault="00CD5DDA">
            <w:pPr>
              <w:spacing w:after="0" w:line="252" w:lineRule="auto"/>
            </w:pPr>
            <w:r>
              <w:rPr>
                <w:rFonts w:eastAsia="Calibri"/>
                <w:sz w:val="16"/>
              </w:rPr>
              <w:t>Immediate concern, emerging pattern or communication barrier.</w:t>
            </w:r>
          </w:p>
        </w:tc>
      </w:tr>
      <w:tr w:rsidR="00EA0C36" w14:paraId="5F77439A" w14:textId="77777777">
        <w:trPr>
          <w:cantSplit/>
        </w:trPr>
        <w:tc>
          <w:tcPr>
            <w:tcW w:w="2100" w:type="dxa"/>
            <w:shd w:val="clear" w:color="auto" w:fill="FAFBFC"/>
            <w:tcMar>
              <w:top w:w="80" w:type="dxa"/>
              <w:left w:w="120" w:type="dxa"/>
              <w:bottom w:w="80" w:type="dxa"/>
              <w:right w:w="120" w:type="dxa"/>
            </w:tcMar>
            <w:vAlign w:val="center"/>
          </w:tcPr>
          <w:p w14:paraId="2273D192" w14:textId="77777777" w:rsidR="00EA0C36" w:rsidRDefault="00CD5DDA">
            <w:pPr>
              <w:spacing w:after="0" w:line="252" w:lineRule="auto"/>
            </w:pPr>
            <w:r>
              <w:rPr>
                <w:rFonts w:eastAsia="Calibri"/>
                <w:b/>
                <w:color w:val="164B42"/>
                <w:sz w:val="16"/>
              </w:rPr>
              <w:t>Therapy and health</w:t>
            </w:r>
          </w:p>
        </w:tc>
        <w:tc>
          <w:tcPr>
            <w:tcW w:w="1700" w:type="dxa"/>
            <w:shd w:val="clear" w:color="auto" w:fill="FAFBFC"/>
            <w:tcMar>
              <w:top w:w="80" w:type="dxa"/>
              <w:left w:w="120" w:type="dxa"/>
              <w:bottom w:w="80" w:type="dxa"/>
              <w:right w:w="120" w:type="dxa"/>
            </w:tcMar>
            <w:vAlign w:val="center"/>
          </w:tcPr>
          <w:p w14:paraId="503B8795" w14:textId="77777777" w:rsidR="00EA0C36" w:rsidRDefault="00CD5DDA">
            <w:pPr>
              <w:spacing w:after="0" w:line="252" w:lineRule="auto"/>
            </w:pPr>
            <w:r>
              <w:rPr>
                <w:rFonts w:eastAsia="Calibri"/>
                <w:sz w:val="16"/>
              </w:rPr>
              <w:t>Clinical / Health lead</w:t>
            </w:r>
          </w:p>
        </w:tc>
        <w:tc>
          <w:tcPr>
            <w:tcW w:w="3260" w:type="dxa"/>
            <w:shd w:val="clear" w:color="auto" w:fill="FAFBFC"/>
            <w:tcMar>
              <w:top w:w="80" w:type="dxa"/>
              <w:left w:w="120" w:type="dxa"/>
              <w:bottom w:w="80" w:type="dxa"/>
              <w:right w:w="120" w:type="dxa"/>
            </w:tcMar>
            <w:vAlign w:val="center"/>
          </w:tcPr>
          <w:p w14:paraId="16CD4C27" w14:textId="77777777" w:rsidR="00EA0C36" w:rsidRDefault="00CD5DDA">
            <w:pPr>
              <w:spacing w:after="0" w:line="252" w:lineRule="auto"/>
            </w:pPr>
            <w:r>
              <w:rPr>
                <w:rFonts w:eastAsia="Calibri"/>
                <w:sz w:val="16"/>
              </w:rPr>
              <w:t>Reports, plans, consent, competence and delivery records.</w:t>
            </w:r>
          </w:p>
        </w:tc>
        <w:tc>
          <w:tcPr>
            <w:tcW w:w="2300" w:type="dxa"/>
            <w:shd w:val="clear" w:color="auto" w:fill="FAFBFC"/>
            <w:tcMar>
              <w:top w:w="80" w:type="dxa"/>
              <w:left w:w="120" w:type="dxa"/>
              <w:bottom w:w="80" w:type="dxa"/>
              <w:right w:w="120" w:type="dxa"/>
            </w:tcMar>
            <w:vAlign w:val="center"/>
          </w:tcPr>
          <w:p w14:paraId="5CEF32A8" w14:textId="77777777" w:rsidR="00EA0C36" w:rsidRDefault="00CD5DDA">
            <w:pPr>
              <w:spacing w:after="0" w:line="252" w:lineRule="auto"/>
            </w:pPr>
            <w:r>
              <w:rPr>
                <w:rFonts w:eastAsia="Calibri"/>
                <w:sz w:val="16"/>
              </w:rPr>
              <w:t>Unmet health risk, expired plan or unavailable professional input.</w:t>
            </w:r>
          </w:p>
        </w:tc>
      </w:tr>
      <w:tr w:rsidR="00EA0C36" w14:paraId="3F4DB7F4" w14:textId="77777777">
        <w:trPr>
          <w:cantSplit/>
        </w:trPr>
        <w:tc>
          <w:tcPr>
            <w:tcW w:w="2100" w:type="dxa"/>
            <w:tcMar>
              <w:top w:w="80" w:type="dxa"/>
              <w:left w:w="120" w:type="dxa"/>
              <w:bottom w:w="80" w:type="dxa"/>
              <w:right w:w="120" w:type="dxa"/>
            </w:tcMar>
            <w:vAlign w:val="center"/>
          </w:tcPr>
          <w:p w14:paraId="7D694C59" w14:textId="77777777" w:rsidR="00EA0C36" w:rsidRDefault="00CD5DDA">
            <w:pPr>
              <w:spacing w:after="0" w:line="252" w:lineRule="auto"/>
            </w:pPr>
            <w:r>
              <w:rPr>
                <w:rFonts w:eastAsia="Calibri"/>
                <w:b/>
                <w:color w:val="164B42"/>
                <w:sz w:val="16"/>
              </w:rPr>
              <w:t>Attendance and inclusion</w:t>
            </w:r>
          </w:p>
        </w:tc>
        <w:tc>
          <w:tcPr>
            <w:tcW w:w="1700" w:type="dxa"/>
            <w:tcMar>
              <w:top w:w="80" w:type="dxa"/>
              <w:left w:w="120" w:type="dxa"/>
              <w:bottom w:w="80" w:type="dxa"/>
              <w:right w:w="120" w:type="dxa"/>
            </w:tcMar>
            <w:vAlign w:val="center"/>
          </w:tcPr>
          <w:p w14:paraId="4BA2F7A1" w14:textId="77777777" w:rsidR="00EA0C36" w:rsidRDefault="00CD5DDA">
            <w:pPr>
              <w:spacing w:after="0" w:line="252" w:lineRule="auto"/>
            </w:pPr>
            <w:r>
              <w:rPr>
                <w:rFonts w:eastAsia="Calibri"/>
                <w:sz w:val="16"/>
              </w:rPr>
              <w:t>Attendance lead / Head</w:t>
            </w:r>
          </w:p>
        </w:tc>
        <w:tc>
          <w:tcPr>
            <w:tcW w:w="3260" w:type="dxa"/>
            <w:tcMar>
              <w:top w:w="80" w:type="dxa"/>
              <w:left w:w="120" w:type="dxa"/>
              <w:bottom w:w="80" w:type="dxa"/>
              <w:right w:w="120" w:type="dxa"/>
            </w:tcMar>
            <w:vAlign w:val="center"/>
          </w:tcPr>
          <w:p w14:paraId="4602BAB9" w14:textId="77777777" w:rsidR="00EA0C36" w:rsidRDefault="00CD5DDA">
            <w:pPr>
              <w:spacing w:after="0" w:line="252" w:lineRule="auto"/>
            </w:pPr>
            <w:r>
              <w:rPr>
                <w:rFonts w:eastAsia="Calibri"/>
                <w:sz w:val="16"/>
              </w:rPr>
              <w:t>Attendance analysis; support plan; reintegration/reduced timetable record.</w:t>
            </w:r>
          </w:p>
        </w:tc>
        <w:tc>
          <w:tcPr>
            <w:tcW w:w="2300" w:type="dxa"/>
            <w:tcMar>
              <w:top w:w="80" w:type="dxa"/>
              <w:left w:w="120" w:type="dxa"/>
              <w:bottom w:w="80" w:type="dxa"/>
              <w:right w:w="120" w:type="dxa"/>
            </w:tcMar>
            <w:vAlign w:val="center"/>
          </w:tcPr>
          <w:p w14:paraId="71C21FE0" w14:textId="77777777" w:rsidR="00EA0C36" w:rsidRDefault="00CD5DDA">
            <w:pPr>
              <w:spacing w:after="0" w:line="252" w:lineRule="auto"/>
            </w:pPr>
            <w:r>
              <w:rPr>
                <w:rFonts w:eastAsia="Calibri"/>
                <w:sz w:val="16"/>
              </w:rPr>
              <w:t>Persistent/severe absence, internal non-attendance or informal exclusion risk.</w:t>
            </w:r>
          </w:p>
        </w:tc>
      </w:tr>
      <w:tr w:rsidR="00EA0C36" w14:paraId="2F2A5300" w14:textId="77777777">
        <w:trPr>
          <w:cantSplit/>
        </w:trPr>
        <w:tc>
          <w:tcPr>
            <w:tcW w:w="2100" w:type="dxa"/>
            <w:shd w:val="clear" w:color="auto" w:fill="FAFBFC"/>
            <w:tcMar>
              <w:top w:w="80" w:type="dxa"/>
              <w:left w:w="120" w:type="dxa"/>
              <w:bottom w:w="80" w:type="dxa"/>
              <w:right w:w="120" w:type="dxa"/>
            </w:tcMar>
            <w:vAlign w:val="center"/>
          </w:tcPr>
          <w:p w14:paraId="2396F4EB" w14:textId="77777777" w:rsidR="00EA0C36" w:rsidRDefault="00CD5DDA">
            <w:pPr>
              <w:spacing w:after="0" w:line="252" w:lineRule="auto"/>
            </w:pPr>
            <w:r>
              <w:rPr>
                <w:rFonts w:eastAsia="Calibri"/>
                <w:b/>
                <w:color w:val="164B42"/>
                <w:sz w:val="16"/>
              </w:rPr>
              <w:t>Workforce competence</w:t>
            </w:r>
          </w:p>
        </w:tc>
        <w:tc>
          <w:tcPr>
            <w:tcW w:w="1700" w:type="dxa"/>
            <w:shd w:val="clear" w:color="auto" w:fill="FAFBFC"/>
            <w:tcMar>
              <w:top w:w="80" w:type="dxa"/>
              <w:left w:w="120" w:type="dxa"/>
              <w:bottom w:w="80" w:type="dxa"/>
              <w:right w:w="120" w:type="dxa"/>
            </w:tcMar>
            <w:vAlign w:val="center"/>
          </w:tcPr>
          <w:p w14:paraId="713E96B6" w14:textId="77777777" w:rsidR="00EA0C36" w:rsidRDefault="00CD5DDA">
            <w:pPr>
              <w:spacing w:after="0" w:line="252" w:lineRule="auto"/>
            </w:pPr>
            <w:r>
              <w:rPr>
                <w:rFonts w:eastAsia="Calibri"/>
                <w:sz w:val="16"/>
              </w:rPr>
              <w:t>Head / Line managers</w:t>
            </w:r>
          </w:p>
        </w:tc>
        <w:tc>
          <w:tcPr>
            <w:tcW w:w="3260" w:type="dxa"/>
            <w:shd w:val="clear" w:color="auto" w:fill="FAFBFC"/>
            <w:tcMar>
              <w:top w:w="80" w:type="dxa"/>
              <w:left w:w="120" w:type="dxa"/>
              <w:bottom w:w="80" w:type="dxa"/>
              <w:right w:w="120" w:type="dxa"/>
            </w:tcMar>
            <w:vAlign w:val="center"/>
          </w:tcPr>
          <w:p w14:paraId="0928BEEE" w14:textId="77777777" w:rsidR="00EA0C36" w:rsidRDefault="00CD5DDA">
            <w:pPr>
              <w:spacing w:after="0" w:line="252" w:lineRule="auto"/>
            </w:pPr>
            <w:r>
              <w:rPr>
                <w:rFonts w:eastAsia="Calibri"/>
                <w:sz w:val="16"/>
              </w:rPr>
              <w:t>Induction, training, observation, supervision and competency records.</w:t>
            </w:r>
          </w:p>
        </w:tc>
        <w:tc>
          <w:tcPr>
            <w:tcW w:w="2300" w:type="dxa"/>
            <w:shd w:val="clear" w:color="auto" w:fill="FAFBFC"/>
            <w:tcMar>
              <w:top w:w="80" w:type="dxa"/>
              <w:left w:w="120" w:type="dxa"/>
              <w:bottom w:w="80" w:type="dxa"/>
              <w:right w:w="120" w:type="dxa"/>
            </w:tcMar>
            <w:vAlign w:val="center"/>
          </w:tcPr>
          <w:p w14:paraId="7B3158D8" w14:textId="77777777" w:rsidR="00EA0C36" w:rsidRDefault="00CD5DDA">
            <w:pPr>
              <w:spacing w:after="0" w:line="252" w:lineRule="auto"/>
            </w:pPr>
            <w:r>
              <w:rPr>
                <w:rFonts w:eastAsia="Calibri"/>
                <w:sz w:val="16"/>
              </w:rPr>
              <w:t>Staff deployed without required knowledge or competence.</w:t>
            </w:r>
          </w:p>
        </w:tc>
      </w:tr>
      <w:tr w:rsidR="00EA0C36" w14:paraId="65CB628F" w14:textId="77777777">
        <w:trPr>
          <w:cantSplit/>
        </w:trPr>
        <w:tc>
          <w:tcPr>
            <w:tcW w:w="2100" w:type="dxa"/>
            <w:tcMar>
              <w:top w:w="80" w:type="dxa"/>
              <w:left w:w="120" w:type="dxa"/>
              <w:bottom w:w="80" w:type="dxa"/>
              <w:right w:w="120" w:type="dxa"/>
            </w:tcMar>
            <w:vAlign w:val="center"/>
          </w:tcPr>
          <w:p w14:paraId="05BEFCA6" w14:textId="77777777" w:rsidR="00EA0C36" w:rsidRDefault="00CD5DDA">
            <w:pPr>
              <w:spacing w:after="0" w:line="252" w:lineRule="auto"/>
            </w:pPr>
            <w:r>
              <w:rPr>
                <w:rFonts w:eastAsia="Calibri"/>
                <w:b/>
                <w:color w:val="164B42"/>
                <w:sz w:val="16"/>
              </w:rPr>
              <w:lastRenderedPageBreak/>
              <w:t>Governance assurance</w:t>
            </w:r>
          </w:p>
        </w:tc>
        <w:tc>
          <w:tcPr>
            <w:tcW w:w="1700" w:type="dxa"/>
            <w:tcMar>
              <w:top w:w="80" w:type="dxa"/>
              <w:left w:w="120" w:type="dxa"/>
              <w:bottom w:w="80" w:type="dxa"/>
              <w:right w:w="120" w:type="dxa"/>
            </w:tcMar>
            <w:vAlign w:val="center"/>
          </w:tcPr>
          <w:p w14:paraId="0AEF1106" w14:textId="77777777" w:rsidR="00EA0C36" w:rsidRDefault="00CD5DDA">
            <w:pPr>
              <w:spacing w:after="0" w:line="252" w:lineRule="auto"/>
            </w:pPr>
            <w:r>
              <w:rPr>
                <w:rFonts w:eastAsia="Calibri"/>
                <w:sz w:val="16"/>
              </w:rPr>
              <w:t>Proprietor</w:t>
            </w:r>
          </w:p>
        </w:tc>
        <w:tc>
          <w:tcPr>
            <w:tcW w:w="3260" w:type="dxa"/>
            <w:tcMar>
              <w:top w:w="80" w:type="dxa"/>
              <w:left w:w="120" w:type="dxa"/>
              <w:bottom w:w="80" w:type="dxa"/>
              <w:right w:w="120" w:type="dxa"/>
            </w:tcMar>
            <w:vAlign w:val="center"/>
          </w:tcPr>
          <w:p w14:paraId="106CC6CF" w14:textId="77777777" w:rsidR="00EA0C36" w:rsidRDefault="00CD5DDA">
            <w:pPr>
              <w:spacing w:after="0" w:line="252" w:lineRule="auto"/>
            </w:pPr>
            <w:r>
              <w:rPr>
                <w:rFonts w:eastAsia="Calibri"/>
                <w:sz w:val="16"/>
              </w:rPr>
              <w:t>Termly dashboard; minutes; risk/actions log; policy review.</w:t>
            </w:r>
          </w:p>
        </w:tc>
        <w:tc>
          <w:tcPr>
            <w:tcW w:w="2300" w:type="dxa"/>
            <w:tcMar>
              <w:top w:w="80" w:type="dxa"/>
              <w:left w:w="120" w:type="dxa"/>
              <w:bottom w:w="80" w:type="dxa"/>
              <w:right w:w="120" w:type="dxa"/>
            </w:tcMar>
            <w:vAlign w:val="center"/>
          </w:tcPr>
          <w:p w14:paraId="3813AC72" w14:textId="77777777" w:rsidR="00EA0C36" w:rsidRDefault="00CD5DDA">
            <w:pPr>
              <w:spacing w:after="0" w:line="252" w:lineRule="auto"/>
            </w:pPr>
            <w:r>
              <w:rPr>
                <w:rFonts w:eastAsia="Calibri"/>
                <w:sz w:val="16"/>
              </w:rPr>
              <w:t>Repeated exception, serious incident, inspection issue or overdue action.</w:t>
            </w:r>
          </w:p>
        </w:tc>
      </w:tr>
    </w:tbl>
    <w:p w14:paraId="4690FD49" w14:textId="77777777" w:rsidR="00EA0C36" w:rsidRDefault="00EA0C36">
      <w:pPr>
        <w:spacing w:after="0"/>
      </w:pPr>
    </w:p>
    <w:p w14:paraId="4351C498" w14:textId="77777777" w:rsidR="00EA0C36" w:rsidRDefault="00CD5DDA">
      <w:pPr>
        <w:pStyle w:val="Heading1"/>
      </w:pPr>
      <w:r>
        <w:t>Appendix E. Reference framework</w:t>
      </w:r>
    </w:p>
    <w:p w14:paraId="32EFC45A" w14:textId="77777777" w:rsidR="00EA0C36" w:rsidRDefault="00CD5DDA">
      <w:r>
        <w:rPr>
          <w:rFonts w:eastAsia="Calibri"/>
        </w:rPr>
        <w:t xml:space="preserve">Official sources </w:t>
      </w:r>
      <w:proofErr w:type="gramStart"/>
      <w:r>
        <w:rPr>
          <w:rFonts w:eastAsia="Calibri"/>
        </w:rPr>
        <w:t>checked for</w:t>
      </w:r>
      <w:proofErr w:type="gramEnd"/>
      <w:r>
        <w:rPr>
          <w:rFonts w:eastAsia="Calibri"/>
        </w:rPr>
        <w:t xml:space="preserve"> this version (3 September 2026). Users should open the live source and confirm currency when the policy is reviewed.</w:t>
      </w:r>
    </w:p>
    <w:p w14:paraId="334C6EF6" w14:textId="69E162A1" w:rsidR="00EA0C36" w:rsidRDefault="00CD5DDA">
      <w:pPr>
        <w:pStyle w:val="MVSSource"/>
        <w:numPr>
          <w:ilvl w:val="0"/>
          <w:numId w:val="1"/>
        </w:numPr>
      </w:pPr>
      <w:r>
        <w:rPr>
          <w:rFonts w:eastAsia="Calibri"/>
          <w:b/>
          <w:color w:val="164B42"/>
        </w:rPr>
        <w:t>Children and Families Act 2014, Part 3</w:t>
      </w:r>
      <w:r>
        <w:rPr>
          <w:rFonts w:eastAsia="Calibri"/>
        </w:rPr>
        <w:t xml:space="preserve"> - SEND legal framework and EHCP duties. </w:t>
      </w:r>
      <w:hyperlink r:id="rId9">
        <w:r w:rsidR="00EA0C36">
          <w:rPr>
            <w:color w:val="193B5A"/>
            <w:u w:val="single"/>
          </w:rPr>
          <w:t>Official source</w:t>
        </w:r>
      </w:hyperlink>
    </w:p>
    <w:p w14:paraId="1649AB09" w14:textId="1F778CB1" w:rsidR="00EA0C36" w:rsidRDefault="00CD5DDA">
      <w:pPr>
        <w:pStyle w:val="MVSSource"/>
        <w:numPr>
          <w:ilvl w:val="0"/>
          <w:numId w:val="1"/>
        </w:numPr>
      </w:pPr>
      <w:r>
        <w:rPr>
          <w:rFonts w:eastAsia="Calibri"/>
          <w:b/>
          <w:color w:val="164B42"/>
        </w:rPr>
        <w:t>Special Educational Needs and Disability Regulations 2014</w:t>
      </w:r>
      <w:r>
        <w:rPr>
          <w:rFonts w:eastAsia="Calibri"/>
        </w:rPr>
        <w:t xml:space="preserve"> - EHC needs assessment, plans and review procedure. </w:t>
      </w:r>
      <w:hyperlink r:id="rId10">
        <w:r w:rsidR="00EA0C36">
          <w:rPr>
            <w:color w:val="193B5A"/>
            <w:u w:val="single"/>
          </w:rPr>
          <w:t>Official source</w:t>
        </w:r>
      </w:hyperlink>
    </w:p>
    <w:p w14:paraId="23333FAE" w14:textId="378094CD" w:rsidR="00EA0C36" w:rsidRDefault="00CD5DDA">
      <w:pPr>
        <w:pStyle w:val="MVSSource"/>
        <w:numPr>
          <w:ilvl w:val="0"/>
          <w:numId w:val="1"/>
        </w:numPr>
      </w:pPr>
      <w:r>
        <w:rPr>
          <w:rFonts w:eastAsia="Calibri"/>
          <w:b/>
          <w:color w:val="164B42"/>
        </w:rPr>
        <w:t>SEND code of practice: 0 to 25 years</w:t>
      </w:r>
      <w:r>
        <w:rPr>
          <w:rFonts w:eastAsia="Calibri"/>
        </w:rPr>
        <w:t xml:space="preserve"> - current GOV.UK edition; page updated 12 September 2024. </w:t>
      </w:r>
      <w:hyperlink r:id="rId11">
        <w:r w:rsidR="00EA0C36">
          <w:rPr>
            <w:color w:val="193B5A"/>
            <w:u w:val="single"/>
          </w:rPr>
          <w:t>Official source</w:t>
        </w:r>
      </w:hyperlink>
    </w:p>
    <w:p w14:paraId="001EADA9" w14:textId="5C4A49D5" w:rsidR="00EA0C36" w:rsidRDefault="00CD5DDA">
      <w:pPr>
        <w:pStyle w:val="MVSSource"/>
        <w:numPr>
          <w:ilvl w:val="0"/>
          <w:numId w:val="1"/>
        </w:numPr>
      </w:pPr>
      <w:r>
        <w:rPr>
          <w:rFonts w:eastAsia="Calibri"/>
          <w:b/>
          <w:color w:val="164B42"/>
        </w:rPr>
        <w:t>Equality Act 2010</w:t>
      </w:r>
      <w:r>
        <w:rPr>
          <w:rFonts w:eastAsia="Calibri"/>
        </w:rPr>
        <w:t xml:space="preserve"> - disability discrimination and reasonable adjustments. </w:t>
      </w:r>
      <w:hyperlink r:id="rId12">
        <w:r w:rsidR="00EA0C36">
          <w:rPr>
            <w:color w:val="193B5A"/>
            <w:u w:val="single"/>
          </w:rPr>
          <w:t>Official source</w:t>
        </w:r>
      </w:hyperlink>
    </w:p>
    <w:p w14:paraId="33F8EFC2" w14:textId="65B7ED8A" w:rsidR="00EA0C36" w:rsidRDefault="00CD5DDA">
      <w:pPr>
        <w:pStyle w:val="MVSSource"/>
        <w:numPr>
          <w:ilvl w:val="0"/>
          <w:numId w:val="1"/>
        </w:numPr>
      </w:pPr>
      <w:r>
        <w:rPr>
          <w:rFonts w:eastAsia="Calibri"/>
          <w:b/>
          <w:color w:val="164B42"/>
        </w:rPr>
        <w:t>Equality Act 2010: advice for schools</w:t>
      </w:r>
      <w:r>
        <w:rPr>
          <w:rFonts w:eastAsia="Calibri"/>
        </w:rPr>
        <w:t xml:space="preserve"> - DfE advice expressly covering independent schools. </w:t>
      </w:r>
      <w:hyperlink r:id="rId13">
        <w:r w:rsidR="00EA0C36">
          <w:rPr>
            <w:color w:val="193B5A"/>
            <w:u w:val="single"/>
          </w:rPr>
          <w:t>Official source</w:t>
        </w:r>
      </w:hyperlink>
    </w:p>
    <w:p w14:paraId="7012A444" w14:textId="6C72CF1E" w:rsidR="00EA0C36" w:rsidRDefault="00CD5DDA">
      <w:pPr>
        <w:pStyle w:val="MVSSource"/>
        <w:numPr>
          <w:ilvl w:val="0"/>
          <w:numId w:val="1"/>
        </w:numPr>
      </w:pPr>
      <w:r>
        <w:rPr>
          <w:rFonts w:eastAsia="Calibri"/>
          <w:b/>
          <w:color w:val="164B42"/>
        </w:rPr>
        <w:t>Education (Independent School Standards) Regulations 2014</w:t>
      </w:r>
      <w:r>
        <w:rPr>
          <w:rFonts w:eastAsia="Calibri"/>
        </w:rPr>
        <w:t xml:space="preserve"> - statutory standards for independent schools. </w:t>
      </w:r>
      <w:hyperlink r:id="rId14">
        <w:r w:rsidR="00EA0C36">
          <w:rPr>
            <w:color w:val="193B5A"/>
            <w:u w:val="single"/>
          </w:rPr>
          <w:t>Official source</w:t>
        </w:r>
      </w:hyperlink>
    </w:p>
    <w:p w14:paraId="1634B52C" w14:textId="5E9FF645" w:rsidR="00EA0C36" w:rsidRDefault="00CD5DDA">
      <w:pPr>
        <w:pStyle w:val="MVSSource"/>
        <w:numPr>
          <w:ilvl w:val="0"/>
          <w:numId w:val="1"/>
        </w:numPr>
      </w:pPr>
      <w:r>
        <w:rPr>
          <w:rFonts w:eastAsia="Calibri"/>
          <w:b/>
          <w:color w:val="164B42"/>
        </w:rPr>
        <w:t>Independent school standards guidance</w:t>
      </w:r>
      <w:r>
        <w:rPr>
          <w:rFonts w:eastAsia="Calibri"/>
        </w:rPr>
        <w:t xml:space="preserve"> - DfE guidance page updated 2 April 2026. </w:t>
      </w:r>
      <w:hyperlink r:id="rId15">
        <w:r w:rsidR="00EA0C36">
          <w:rPr>
            <w:color w:val="193B5A"/>
            <w:u w:val="single"/>
          </w:rPr>
          <w:t>Official source</w:t>
        </w:r>
      </w:hyperlink>
    </w:p>
    <w:p w14:paraId="7F17252F" w14:textId="52BE42C5" w:rsidR="00EA0C36" w:rsidRDefault="00CD5DDA">
      <w:pPr>
        <w:pStyle w:val="MVSSource"/>
        <w:numPr>
          <w:ilvl w:val="0"/>
          <w:numId w:val="1"/>
        </w:numPr>
      </w:pPr>
      <w:r>
        <w:rPr>
          <w:rFonts w:eastAsia="Calibri"/>
          <w:b/>
          <w:color w:val="164B42"/>
        </w:rPr>
        <w:t>Keeping children safe in education 2026</w:t>
      </w:r>
      <w:r>
        <w:rPr>
          <w:rFonts w:eastAsia="Calibri"/>
        </w:rPr>
        <w:t xml:space="preserve"> - in force from 1 September 2026. </w:t>
      </w:r>
      <w:hyperlink r:id="rId16">
        <w:r w:rsidR="00EA0C36">
          <w:rPr>
            <w:color w:val="193B5A"/>
            <w:u w:val="single"/>
          </w:rPr>
          <w:t>Official source</w:t>
        </w:r>
      </w:hyperlink>
    </w:p>
    <w:p w14:paraId="35FA71DD" w14:textId="71CA8486" w:rsidR="00EA0C36" w:rsidRDefault="00CD5DDA">
      <w:pPr>
        <w:pStyle w:val="MVSSource"/>
        <w:numPr>
          <w:ilvl w:val="0"/>
          <w:numId w:val="1"/>
        </w:numPr>
      </w:pPr>
      <w:r>
        <w:rPr>
          <w:rFonts w:eastAsia="Calibri"/>
          <w:b/>
          <w:color w:val="164B42"/>
        </w:rPr>
        <w:t>Working Together to Safeguard Children 2026</w:t>
      </w:r>
      <w:r>
        <w:rPr>
          <w:rFonts w:eastAsia="Calibri"/>
        </w:rPr>
        <w:t xml:space="preserve"> - statutory multi-agency safeguarding guidance. </w:t>
      </w:r>
      <w:hyperlink r:id="rId17">
        <w:r w:rsidR="00EA0C36">
          <w:rPr>
            <w:color w:val="193B5A"/>
            <w:u w:val="single"/>
          </w:rPr>
          <w:t>Official source</w:t>
        </w:r>
      </w:hyperlink>
    </w:p>
    <w:p w14:paraId="63EEF370" w14:textId="374A304B" w:rsidR="00EA0C36" w:rsidRDefault="00CD5DDA">
      <w:pPr>
        <w:pStyle w:val="MVSSource"/>
        <w:numPr>
          <w:ilvl w:val="0"/>
          <w:numId w:val="1"/>
        </w:numPr>
      </w:pPr>
      <w:r>
        <w:rPr>
          <w:rFonts w:eastAsia="Calibri"/>
          <w:b/>
          <w:color w:val="164B42"/>
        </w:rPr>
        <w:t>Independent school registration</w:t>
      </w:r>
      <w:r>
        <w:rPr>
          <w:rFonts w:eastAsia="Calibri"/>
        </w:rPr>
        <w:t xml:space="preserve"> - DfE registration requirements and current guidance. </w:t>
      </w:r>
      <w:hyperlink r:id="rId18">
        <w:r w:rsidR="00EA0C36">
          <w:rPr>
            <w:color w:val="193B5A"/>
            <w:u w:val="single"/>
          </w:rPr>
          <w:t>Official source</w:t>
        </w:r>
      </w:hyperlink>
    </w:p>
    <w:p w14:paraId="60FE0CD1" w14:textId="77777777" w:rsidR="00EA0C36" w:rsidRDefault="00CD5DDA">
      <w:pPr>
        <w:pStyle w:val="Heading2"/>
      </w:pPr>
      <w:r>
        <w:t>Related MVS policies and documents</w:t>
      </w:r>
    </w:p>
    <w:p w14:paraId="0D3E94CE" w14:textId="77777777" w:rsidR="00EA0C36" w:rsidRDefault="00CD5DDA">
      <w:pPr>
        <w:pStyle w:val="MVSBullet"/>
        <w:numPr>
          <w:ilvl w:val="0"/>
          <w:numId w:val="1"/>
        </w:numPr>
      </w:pPr>
      <w:r>
        <w:rPr>
          <w:rFonts w:eastAsia="Calibri"/>
        </w:rPr>
        <w:t>Admissions Policy and Procedure;</w:t>
      </w:r>
    </w:p>
    <w:p w14:paraId="34DF6560" w14:textId="77777777" w:rsidR="00EA0C36" w:rsidRDefault="00CD5DDA">
      <w:pPr>
        <w:pStyle w:val="MVSBullet"/>
        <w:numPr>
          <w:ilvl w:val="0"/>
          <w:numId w:val="1"/>
        </w:numPr>
      </w:pPr>
      <w:r>
        <w:rPr>
          <w:rFonts w:eastAsia="Calibri"/>
        </w:rPr>
        <w:t>Curriculum Policy, schemes of work and assessment procedures;</w:t>
      </w:r>
    </w:p>
    <w:p w14:paraId="7940D2BD" w14:textId="77777777" w:rsidR="00EA0C36" w:rsidRDefault="00CD5DDA">
      <w:pPr>
        <w:pStyle w:val="MVSBullet"/>
        <w:numPr>
          <w:ilvl w:val="0"/>
          <w:numId w:val="1"/>
        </w:numPr>
      </w:pPr>
      <w:r>
        <w:rPr>
          <w:rFonts w:eastAsia="Calibri"/>
        </w:rPr>
        <w:t>Safeguarding and Child Protection Policy;</w:t>
      </w:r>
    </w:p>
    <w:p w14:paraId="46E185B6" w14:textId="77777777" w:rsidR="00EA0C36" w:rsidRDefault="00CD5DDA">
      <w:pPr>
        <w:pStyle w:val="MVSBullet"/>
        <w:numPr>
          <w:ilvl w:val="0"/>
          <w:numId w:val="1"/>
        </w:numPr>
      </w:pPr>
      <w:r>
        <w:rPr>
          <w:rFonts w:eastAsia="Calibri"/>
        </w:rPr>
        <w:t>Behaviour / Positive Behaviour Support and Restrictive Intervention Policy;</w:t>
      </w:r>
    </w:p>
    <w:p w14:paraId="54D36411" w14:textId="77777777" w:rsidR="00EA0C36" w:rsidRDefault="00CD5DDA">
      <w:pPr>
        <w:pStyle w:val="MVSBullet"/>
        <w:numPr>
          <w:ilvl w:val="0"/>
          <w:numId w:val="1"/>
        </w:numPr>
      </w:pPr>
      <w:r>
        <w:rPr>
          <w:rFonts w:eastAsia="Calibri"/>
        </w:rPr>
        <w:t>Attendance Policy; Anti-bullying Policy; Accessibility Plan; Equality Policy;</w:t>
      </w:r>
    </w:p>
    <w:p w14:paraId="4CB2CEEB" w14:textId="77777777" w:rsidR="00EA0C36" w:rsidRDefault="00CD5DDA">
      <w:pPr>
        <w:pStyle w:val="MVSBullet"/>
        <w:numPr>
          <w:ilvl w:val="0"/>
          <w:numId w:val="1"/>
        </w:numPr>
      </w:pPr>
      <w:r>
        <w:rPr>
          <w:rFonts w:eastAsia="Calibri"/>
        </w:rPr>
        <w:t>Medication, Supporting Medical Needs and Personal Care procedures;</w:t>
      </w:r>
    </w:p>
    <w:p w14:paraId="02B8F90C" w14:textId="77777777" w:rsidR="00EA0C36" w:rsidRDefault="00CD5DDA">
      <w:pPr>
        <w:pStyle w:val="MVSBullet"/>
        <w:numPr>
          <w:ilvl w:val="0"/>
          <w:numId w:val="1"/>
        </w:numPr>
      </w:pPr>
      <w:r>
        <w:rPr>
          <w:rFonts w:eastAsia="Calibri"/>
        </w:rPr>
        <w:t>Data Protection Policy and Privacy Notices;</w:t>
      </w:r>
    </w:p>
    <w:p w14:paraId="0D36F583" w14:textId="77777777" w:rsidR="00EA0C36" w:rsidRDefault="00CD5DDA">
      <w:pPr>
        <w:pStyle w:val="MVSBullet"/>
        <w:numPr>
          <w:ilvl w:val="0"/>
          <w:numId w:val="1"/>
        </w:numPr>
      </w:pPr>
      <w:r>
        <w:rPr>
          <w:rFonts w:eastAsia="Calibri"/>
        </w:rPr>
        <w:t>Complaints Policy and Procedure; and</w:t>
      </w:r>
    </w:p>
    <w:p w14:paraId="10756641" w14:textId="77777777" w:rsidR="00EA0C36" w:rsidRDefault="00CD5DDA">
      <w:pPr>
        <w:pStyle w:val="MVSBullet"/>
        <w:numPr>
          <w:ilvl w:val="0"/>
          <w:numId w:val="1"/>
        </w:numPr>
      </w:pPr>
      <w:r>
        <w:rPr>
          <w:rFonts w:eastAsia="Calibri"/>
        </w:rPr>
        <w:t>Safer Recruitment, Staff Induction and Staff Code of Conduct.</w:t>
      </w:r>
    </w:p>
    <w:sectPr w:rsidR="00EA0C36" w:rsidSect="00034616">
      <w:headerReference w:type="default" r:id="rId19"/>
      <w:footerReference w:type="default" r:id="rId20"/>
      <w:footerReference w:type="first" r:id="rId21"/>
      <w:pgSz w:w="12240" w:h="15840"/>
      <w:pgMar w:top="1440" w:right="1440" w:bottom="144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30E1D" w14:textId="77777777" w:rsidR="00CD5DDA" w:rsidRDefault="00CD5DDA">
      <w:pPr>
        <w:spacing w:after="0" w:line="240" w:lineRule="auto"/>
      </w:pPr>
      <w:r>
        <w:separator/>
      </w:r>
    </w:p>
  </w:endnote>
  <w:endnote w:type="continuationSeparator" w:id="0">
    <w:p w14:paraId="7BFD3A4A" w14:textId="77777777" w:rsidR="00CD5DDA" w:rsidRDefault="00CD5D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6A119" w14:textId="77777777" w:rsidR="00EA0C36" w:rsidRDefault="00EA0C36">
    <w:pPr>
      <w:pStyle w:val="Footer"/>
    </w:pPr>
  </w:p>
  <w:tbl>
    <w:tblPr>
      <w:tblW w:w="936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6500"/>
      <w:gridCol w:w="2860"/>
    </w:tblGrid>
    <w:tr w:rsidR="00EA0C36" w14:paraId="3DAD450A" w14:textId="77777777">
      <w:trPr>
        <w:cantSplit/>
      </w:trPr>
      <w:tc>
        <w:tcPr>
          <w:tcW w:w="6500" w:type="dxa"/>
          <w:tcMar>
            <w:top w:w="80" w:type="dxa"/>
            <w:left w:w="120" w:type="dxa"/>
            <w:bottom w:w="80" w:type="dxa"/>
            <w:right w:w="120" w:type="dxa"/>
          </w:tcMar>
          <w:vAlign w:val="center"/>
        </w:tcPr>
        <w:p w14:paraId="02CF06F1" w14:textId="77777777" w:rsidR="00EA0C36" w:rsidRDefault="00CD5DDA">
          <w:pPr>
            <w:spacing w:after="0"/>
          </w:pPr>
          <w:r>
            <w:rPr>
              <w:rFonts w:eastAsia="Calibri"/>
              <w:color w:val="66727C"/>
              <w:sz w:val="16"/>
            </w:rPr>
            <w:t>Believe. Hope. Achieve.  |  Version 1.0  |  September 2026</w:t>
          </w:r>
        </w:p>
      </w:tc>
      <w:tc>
        <w:tcPr>
          <w:tcW w:w="2860" w:type="dxa"/>
          <w:tcMar>
            <w:top w:w="80" w:type="dxa"/>
            <w:left w:w="120" w:type="dxa"/>
            <w:bottom w:w="80" w:type="dxa"/>
            <w:right w:w="120" w:type="dxa"/>
          </w:tcMar>
          <w:vAlign w:val="center"/>
        </w:tcPr>
        <w:p w14:paraId="5B49EA45" w14:textId="77777777" w:rsidR="00EA0C36" w:rsidRDefault="00CD5DDA">
          <w:pPr>
            <w:spacing w:after="0"/>
            <w:jc w:val="right"/>
          </w:pPr>
          <w:r>
            <w:rPr>
              <w:rFonts w:eastAsia="Calibri"/>
              <w:color w:val="66727C"/>
              <w:sz w:val="17"/>
            </w:rPr>
            <w:t xml:space="preserve">Page </w:t>
          </w:r>
          <w:r>
            <w:rPr>
              <w:rFonts w:eastAsia="Calibri"/>
              <w:color w:val="66727C"/>
              <w:sz w:val="17"/>
            </w:rPr>
            <w:fldChar w:fldCharType="begin"/>
          </w:r>
          <w:r>
            <w:rPr>
              <w:rFonts w:eastAsia="Calibri"/>
              <w:color w:val="66727C"/>
              <w:sz w:val="17"/>
            </w:rPr>
            <w:instrText>PAGE</w:instrText>
          </w:r>
          <w:r>
            <w:rPr>
              <w:rFonts w:eastAsia="Calibri"/>
              <w:color w:val="66727C"/>
              <w:sz w:val="17"/>
            </w:rPr>
            <w:fldChar w:fldCharType="separate"/>
          </w:r>
          <w:r>
            <w:rPr>
              <w:rFonts w:eastAsia="Calibri"/>
              <w:color w:val="66727C"/>
              <w:sz w:val="17"/>
            </w:rPr>
            <w:t>1</w:t>
          </w:r>
          <w:r>
            <w:rPr>
              <w:rFonts w:eastAsia="Calibri"/>
              <w:color w:val="66727C"/>
              <w:sz w:val="17"/>
            </w:rPr>
            <w:fldChar w:fldCharType="end"/>
          </w:r>
          <w:r>
            <w:rPr>
              <w:rFonts w:eastAsia="Calibri"/>
              <w:color w:val="66727C"/>
              <w:sz w:val="17"/>
            </w:rPr>
            <w:t xml:space="preserve"> of </w:t>
          </w:r>
          <w:r>
            <w:rPr>
              <w:rFonts w:eastAsia="Calibri"/>
              <w:color w:val="66727C"/>
              <w:sz w:val="17"/>
            </w:rPr>
            <w:fldChar w:fldCharType="begin"/>
          </w:r>
          <w:r>
            <w:rPr>
              <w:rFonts w:eastAsia="Calibri"/>
              <w:color w:val="66727C"/>
              <w:sz w:val="17"/>
            </w:rPr>
            <w:instrText>NUMPAGES</w:instrText>
          </w:r>
          <w:r>
            <w:rPr>
              <w:rFonts w:eastAsia="Calibri"/>
              <w:color w:val="66727C"/>
              <w:sz w:val="17"/>
            </w:rPr>
            <w:fldChar w:fldCharType="separate"/>
          </w:r>
          <w:r>
            <w:rPr>
              <w:rFonts w:eastAsia="Calibri"/>
              <w:color w:val="66727C"/>
              <w:sz w:val="17"/>
            </w:rPr>
            <w:t>1</w:t>
          </w:r>
          <w:r>
            <w:rPr>
              <w:rFonts w:eastAsia="Calibri"/>
              <w:color w:val="66727C"/>
              <w:sz w:val="17"/>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15EDE" w14:textId="77777777" w:rsidR="00EA0C36" w:rsidRDefault="00CD5DDA">
    <w:pPr>
      <w:pStyle w:val="Footer"/>
      <w:jc w:val="center"/>
    </w:pPr>
    <w:r>
      <w:rPr>
        <w:rFonts w:eastAsia="Calibri"/>
        <w:color w:val="66727C"/>
        <w:sz w:val="17"/>
      </w:rPr>
      <w:t>MERE VALLEY SCHOOL  |  Believe. Hope. Achieve.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347BB" w14:textId="77777777" w:rsidR="00CD5DDA" w:rsidRDefault="00CD5DDA">
      <w:pPr>
        <w:spacing w:after="0" w:line="240" w:lineRule="auto"/>
      </w:pPr>
      <w:r>
        <w:separator/>
      </w:r>
    </w:p>
  </w:footnote>
  <w:footnote w:type="continuationSeparator" w:id="0">
    <w:p w14:paraId="2336E032" w14:textId="77777777" w:rsidR="00CD5DDA" w:rsidRDefault="00CD5D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721F3" w14:textId="77777777" w:rsidR="00EA0C36" w:rsidRDefault="00EA0C36">
    <w:pPr>
      <w:pStyle w:val="Header"/>
    </w:pPr>
  </w:p>
  <w:tbl>
    <w:tblPr>
      <w:tblW w:w="936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4800"/>
      <w:gridCol w:w="4560"/>
    </w:tblGrid>
    <w:tr w:rsidR="00EA0C36" w14:paraId="5E4A3D28" w14:textId="77777777">
      <w:trPr>
        <w:cantSplit/>
      </w:trPr>
      <w:tc>
        <w:tcPr>
          <w:tcW w:w="4800" w:type="dxa"/>
          <w:tcMar>
            <w:top w:w="80" w:type="dxa"/>
            <w:left w:w="120" w:type="dxa"/>
            <w:bottom w:w="80" w:type="dxa"/>
            <w:right w:w="120" w:type="dxa"/>
          </w:tcMar>
          <w:vAlign w:val="center"/>
        </w:tcPr>
        <w:p w14:paraId="100E72A6" w14:textId="77777777" w:rsidR="00EA0C36" w:rsidRDefault="00CD5DDA">
          <w:pPr>
            <w:spacing w:after="0"/>
          </w:pPr>
          <w:r>
            <w:rPr>
              <w:rFonts w:eastAsia="Calibri"/>
              <w:b/>
              <w:caps/>
              <w:color w:val="193B5A"/>
              <w:sz w:val="17"/>
            </w:rPr>
            <w:t>MERE VALLEY SCHOOL</w:t>
          </w:r>
        </w:p>
      </w:tc>
      <w:tc>
        <w:tcPr>
          <w:tcW w:w="4560" w:type="dxa"/>
          <w:tcMar>
            <w:top w:w="80" w:type="dxa"/>
            <w:left w:w="120" w:type="dxa"/>
            <w:bottom w:w="80" w:type="dxa"/>
            <w:right w:w="120" w:type="dxa"/>
          </w:tcMar>
          <w:vAlign w:val="center"/>
        </w:tcPr>
        <w:p w14:paraId="1550F817" w14:textId="7CF99229" w:rsidR="00EA0C36" w:rsidRDefault="00CD5DDA">
          <w:pPr>
            <w:spacing w:after="0"/>
            <w:jc w:val="right"/>
          </w:pPr>
          <w:r>
            <w:rPr>
              <w:rFonts w:eastAsia="Calibri"/>
              <w:caps/>
              <w:color w:val="66727C"/>
              <w:sz w:val="16"/>
            </w:rPr>
            <w:t xml:space="preserve">SEND POLICY  </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E746163"/>
    <w:multiLevelType w:val="singleLevel"/>
    <w:tmpl w:val="DCA2BD46"/>
    <w:lvl w:ilvl="0">
      <w:start w:val="1"/>
      <w:numFmt w:val="decimal"/>
      <w:pStyle w:val="ListBullet"/>
      <w:lvlText w:val="%1."/>
      <w:lvlJc w:val="left"/>
      <w:pPr>
        <w:tabs>
          <w:tab w:val="num" w:pos="540"/>
        </w:tabs>
        <w:spacing w:after="80" w:line="300" w:lineRule="auto"/>
        <w:ind w:left="540" w:hanging="270"/>
      </w:pPr>
      <w:rPr>
        <w:rFonts w:ascii="Calibri" w:hAnsi="Calibri"/>
      </w:rPr>
    </w:lvl>
  </w:abstractNum>
  <w:abstractNum w:abstractNumId="10" w15:restartNumberingAfterBreak="0">
    <w:nsid w:val="4D1F718D"/>
    <w:multiLevelType w:val="singleLevel"/>
    <w:tmpl w:val="105029D6"/>
    <w:lvl w:ilvl="0">
      <w:start w:val="1"/>
      <w:numFmt w:val="decimal"/>
      <w:lvlText w:val="%1."/>
      <w:lvlJc w:val="left"/>
      <w:pPr>
        <w:tabs>
          <w:tab w:val="num" w:pos="540"/>
        </w:tabs>
        <w:spacing w:after="80" w:line="300" w:lineRule="auto"/>
        <w:ind w:left="540" w:hanging="270"/>
      </w:pPr>
      <w:rPr>
        <w:rFonts w:ascii="Calibri" w:hAnsi="Calibri"/>
      </w:rPr>
    </w:lvl>
  </w:abstractNum>
  <w:abstractNum w:abstractNumId="11" w15:restartNumberingAfterBreak="0">
    <w:nsid w:val="584E7A8A"/>
    <w:multiLevelType w:val="singleLevel"/>
    <w:tmpl w:val="862E14BA"/>
    <w:lvl w:ilvl="0">
      <w:start w:val="1"/>
      <w:numFmt w:val="decimal"/>
      <w:lvlText w:val="%1."/>
      <w:lvlJc w:val="left"/>
      <w:pPr>
        <w:tabs>
          <w:tab w:val="num" w:pos="540"/>
        </w:tabs>
        <w:spacing w:after="80" w:line="300" w:lineRule="auto"/>
        <w:ind w:left="540" w:hanging="270"/>
      </w:pPr>
      <w:rPr>
        <w:rFonts w:ascii="Calibri" w:hAnsi="Calibri"/>
      </w:rPr>
    </w:lvl>
  </w:abstractNum>
  <w:abstractNum w:abstractNumId="12" w15:restartNumberingAfterBreak="0">
    <w:nsid w:val="62A35C39"/>
    <w:multiLevelType w:val="singleLevel"/>
    <w:tmpl w:val="85349AB2"/>
    <w:lvl w:ilvl="0">
      <w:start w:val="1"/>
      <w:numFmt w:val="bullet"/>
      <w:lvlText w:val="•"/>
      <w:lvlJc w:val="left"/>
      <w:pPr>
        <w:tabs>
          <w:tab w:val="num" w:pos="540"/>
        </w:tabs>
        <w:spacing w:after="80" w:line="300" w:lineRule="auto"/>
        <w:ind w:left="540" w:hanging="270"/>
      </w:pPr>
      <w:rPr>
        <w:rFonts w:ascii="Calibri" w:hAnsi="Calibri"/>
      </w:rPr>
    </w:lvl>
  </w:abstractNum>
  <w:num w:numId="1" w16cid:durableId="3632171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173C5"/>
    <w:rsid w:val="0029639D"/>
    <w:rsid w:val="002F74EC"/>
    <w:rsid w:val="00326F90"/>
    <w:rsid w:val="00381798"/>
    <w:rsid w:val="00AA1D8D"/>
    <w:rsid w:val="00B47730"/>
    <w:rsid w:val="00CB0664"/>
    <w:rsid w:val="00CD5DDA"/>
    <w:rsid w:val="00EA0C36"/>
    <w:rsid w:val="00EC7FF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E2562EC-F80E-43FF-9366-61091CD37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00" w:lineRule="auto"/>
    </w:pPr>
    <w:rPr>
      <w:rFonts w:ascii="Calibri" w:hAnsi="Calibri"/>
      <w:color w:val="1F2933"/>
      <w:sz w:val="21"/>
    </w:rPr>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b/>
      <w:bCs/>
      <w:color w:val="193B5A"/>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b/>
      <w:bCs/>
      <w:color w:val="164B42"/>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b/>
      <w:bCs/>
      <w:color w:val="193B5A"/>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360"/>
      </w:tabs>
      <w:contextualSpacing/>
    </w:pPr>
  </w:style>
  <w:style w:type="paragraph" w:styleId="ListBullet3">
    <w:name w:val="List Bullet 3"/>
    <w:basedOn w:val="Normal"/>
    <w:uiPriority w:val="99"/>
    <w:unhideWhenUsed/>
    <w:rsid w:val="00326F90"/>
    <w:pPr>
      <w:tabs>
        <w:tab w:val="num" w:pos="360"/>
      </w:tabs>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VSBullet">
    <w:name w:val="MVS Bullet"/>
    <w:basedOn w:val="Normal"/>
    <w:pPr>
      <w:spacing w:after="80"/>
      <w:ind w:left="540" w:hanging="271"/>
    </w:pPr>
  </w:style>
  <w:style w:type="paragraph" w:customStyle="1" w:styleId="MVSNumbered">
    <w:name w:val="MVS Numbered"/>
    <w:basedOn w:val="Normal"/>
    <w:pPr>
      <w:spacing w:after="80"/>
      <w:ind w:left="540" w:hanging="271"/>
    </w:pPr>
  </w:style>
  <w:style w:type="paragraph" w:customStyle="1" w:styleId="MVSSource">
    <w:name w:val="MVS Source"/>
    <w:basedOn w:val="Normal"/>
    <w:pPr>
      <w:spacing w:after="80"/>
      <w:ind w:left="540" w:hanging="271"/>
    </w:pPr>
    <w:rPr>
      <w:sz w:val="19"/>
    </w:rPr>
  </w:style>
  <w:style w:type="paragraph" w:customStyle="1" w:styleId="MVSTOC1">
    <w:name w:val="MVS TOC 1"/>
    <w:basedOn w:val="Normal"/>
    <w:pPr>
      <w:spacing w:after="10" w:line="240" w:lineRule="auto"/>
    </w:pPr>
    <w:rPr>
      <w:color w:val="193B5A"/>
      <w:sz w:val="17"/>
    </w:rPr>
  </w:style>
  <w:style w:type="paragraph" w:customStyle="1" w:styleId="MVSTOC2">
    <w:name w:val="MVS TOC 2"/>
    <w:basedOn w:val="Normal"/>
    <w:pPr>
      <w:spacing w:after="10" w:line="240" w:lineRule="auto"/>
      <w:ind w:left="403"/>
    </w:pPr>
    <w:rPr>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v.uk/government/publications/equality-act-2010-advice-for-schools" TargetMode="External"/><Relationship Id="rId18" Type="http://schemas.openxmlformats.org/officeDocument/2006/relationships/hyperlink" Target="https://www.gov.uk/government/publications/independent-school-registration"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legislation.gov.uk/ukpga/2010/15/contents" TargetMode="External"/><Relationship Id="rId17" Type="http://schemas.openxmlformats.org/officeDocument/2006/relationships/hyperlink" Target="https://www.gov.uk/government/publications/working-together-to-safeguard-children--2" TargetMode="External"/><Relationship Id="rId2" Type="http://schemas.openxmlformats.org/officeDocument/2006/relationships/numbering" Target="numbering.xml"/><Relationship Id="rId16" Type="http://schemas.openxmlformats.org/officeDocument/2006/relationships/hyperlink" Target="https://www.gov.uk/government/publications/keeping-children-safe-in-education--2"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send-code-of-practice-0-to-25" TargetMode="External"/><Relationship Id="rId5" Type="http://schemas.openxmlformats.org/officeDocument/2006/relationships/webSettings" Target="webSettings.xml"/><Relationship Id="rId15" Type="http://schemas.openxmlformats.org/officeDocument/2006/relationships/hyperlink" Target="https://www.gov.uk/government/publications/regulating-independent-schools" TargetMode="External"/><Relationship Id="rId23" Type="http://schemas.openxmlformats.org/officeDocument/2006/relationships/theme" Target="theme/theme1.xml"/><Relationship Id="rId10" Type="http://schemas.openxmlformats.org/officeDocument/2006/relationships/hyperlink" Target="https://www.legislation.gov.uk/uksi/2014/1530/contents"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legislation.gov.uk/ukpga/2014/6/part/3" TargetMode="External"/><Relationship Id="rId14" Type="http://schemas.openxmlformats.org/officeDocument/2006/relationships/hyperlink" Target="https://www.legislation.gov.uk/uksi/2014/3283/content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6274</Words>
  <Characters>35763</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41954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Mere Valley School SEND Policy</dc:title>
  <dc:subject>Special Educational Needs and Disabilities policy</dc:subject>
  <dc:creator>Mere Valley School</dc:creator>
  <cp:keywords>SEND, EHCP, inclusion, independent special school, Mere Valley School</cp:keywords>
  <dc:description>generated by python-docx</dc:description>
  <cp:lastModifiedBy>jon ascot</cp:lastModifiedBy>
  <cp:revision>3</cp:revision>
  <dcterms:created xsi:type="dcterms:W3CDTF">2013-12-23T23:15:00Z</dcterms:created>
  <dcterms:modified xsi:type="dcterms:W3CDTF">2026-09-03T08:45:00Z</dcterms:modified>
  <cp:category/>
</cp:coreProperties>
</file>