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Aptos" w:hAnsi="Aptos"/>
          <w:b/>
          <w:color w:val="D46D61"/>
          <w:sz w:val="19"/>
        </w:rPr>
        <w:t>JRPAX  /  CYBERSECURITY ADVISORY</w:t>
      </w:r>
    </w:p>
    <w:p>
      <w:pPr>
        <w:pStyle w:val="Title"/>
        <w:jc w:val="left"/>
      </w:pPr>
      <w:r>
        <w:t>Preparing Your Organization for NIST SP 800-171 Rev. 3</w:t>
      </w:r>
    </w:p>
    <w:p>
      <w:pPr>
        <w:pStyle w:val="Subtitle"/>
      </w:pPr>
      <w:r>
        <w:t>A leadership field guide for Directors of IT, Information Security, and Compliance</w:t>
      </w:r>
    </w:p>
    <w:p>
      <w:pPr>
        <w:spacing w:after="280"/>
        <w:pBdr>
          <w:bottom w:val="single" w:sz="18" w:space="1" w:color="D46D61"/>
        </w:pBdr>
      </w:pPr>
    </w:p>
    <w:tbl>
      <w:tblPr>
        <w:tblW w:type="dxa" w:w="9360"/>
        <w:jc w:val="center"/>
        <w:tblLayout w:type="fixed"/>
        <w:tblLook w:firstColumn="1" w:firstRow="1" w:lastColumn="0" w:lastRow="0" w:noHBand="0" w:noVBand="1" w:val="04A0"/>
        <w:tblInd w:w="120" w:type="dxa"/>
      </w:tblPr>
      <w:tblGrid>
        <w:gridCol w:w="9360"/>
      </w:tblGrid>
      <w:tr>
        <w:tc>
          <w:tcPr>
            <w:tcW w:type="dxa" w:w="9360"/>
            <w:shd w:fill="ECEEF7"/>
            <w:tcMar>
              <w:top w:w="150" w:type="dxa"/>
              <w:start w:w="180" w:type="dxa"/>
              <w:bottom w:w="150" w:type="dxa"/>
              <w:end w:w="180" w:type="dxa"/>
            </w:tcMar>
          </w:tcPr>
          <w:p>
            <w:pPr>
              <w:spacing w:after="0"/>
            </w:pPr>
            <w:r>
              <w:rPr>
                <w:rFonts w:ascii="Aptos" w:hAnsi="Aptos"/>
                <w:b/>
                <w:color w:val="252B52"/>
                <w:sz w:val="21"/>
              </w:rPr>
              <w:t xml:space="preserve">Leadership objective. </w:t>
            </w:r>
            <w:r>
              <w:rPr>
                <w:rFonts w:ascii="Aptos" w:hAnsi="Aptos"/>
                <w:b w:val="0"/>
                <w:color w:val="282938"/>
                <w:sz w:val="21"/>
              </w:rPr>
              <w:t>Turn the Rev. 3 transition into an owned, funded, evidence-ready program—not simply a control-mapping exercise.</w:t>
            </w:r>
          </w:p>
        </w:tc>
      </w:tr>
    </w:tbl>
    <w:p>
      <w:pPr>
        <w:spacing w:after="20"/>
      </w:pPr>
    </w:p>
    <w:p>
      <w:pPr>
        <w:pStyle w:val="Heading1"/>
      </w:pPr>
      <w:r>
        <w:t>What This Guide Helps You Do</w:t>
      </w:r>
    </w:p>
    <w:p>
      <w:pPr>
        <w:pStyle w:val="ListBullet"/>
        <w:spacing w:after="100" w:line="259" w:lineRule="auto"/>
      </w:pPr>
      <w:r>
        <w:rPr>
          <w:rFonts w:ascii="Aptos" w:hAnsi="Aptos"/>
          <w:b w:val="0"/>
          <w:color w:val="282938"/>
          <w:sz w:val="22"/>
        </w:rPr>
        <w:t>Understand the business and governance impact of moving from Rev. 2 to Rev. 3.</w:t>
      </w:r>
    </w:p>
    <w:p>
      <w:pPr>
        <w:pStyle w:val="ListBullet"/>
        <w:spacing w:after="100" w:line="259" w:lineRule="auto"/>
      </w:pPr>
      <w:r>
        <w:rPr>
          <w:rFonts w:ascii="Aptos" w:hAnsi="Aptos"/>
          <w:b w:val="0"/>
          <w:color w:val="282938"/>
          <w:sz w:val="22"/>
        </w:rPr>
        <w:t>Organize the right technical, compliance, legal, HR, procurement, and business owners.</w:t>
      </w:r>
    </w:p>
    <w:p>
      <w:pPr>
        <w:pStyle w:val="ListBullet"/>
        <w:spacing w:after="100" w:line="259" w:lineRule="auto"/>
      </w:pPr>
      <w:r>
        <w:rPr>
          <w:rFonts w:ascii="Aptos" w:hAnsi="Aptos"/>
          <w:b w:val="0"/>
          <w:color w:val="282938"/>
          <w:sz w:val="22"/>
        </w:rPr>
        <w:t>Prepare for a transition assessment without asking every team to become a NIST expert.</w:t>
      </w:r>
    </w:p>
    <w:p>
      <w:pPr>
        <w:pStyle w:val="ListBullet"/>
        <w:spacing w:after="100" w:line="259" w:lineRule="auto"/>
      </w:pPr>
      <w:r>
        <w:rPr>
          <w:rFonts w:ascii="Aptos" w:hAnsi="Aptos"/>
          <w:b w:val="0"/>
          <w:color w:val="282938"/>
          <w:sz w:val="22"/>
        </w:rPr>
        <w:t>Make and document the organization-defined decisions that Rev. 3 now requires.</w:t>
      </w:r>
    </w:p>
    <w:p>
      <w:pPr>
        <w:pStyle w:val="ListBullet"/>
        <w:spacing w:after="100" w:line="259" w:lineRule="auto"/>
      </w:pPr>
      <w:r>
        <w:rPr>
          <w:rFonts w:ascii="Aptos" w:hAnsi="Aptos"/>
          <w:b w:val="0"/>
          <w:color w:val="282938"/>
          <w:sz w:val="22"/>
        </w:rPr>
        <w:t>Identify gaps early enough to fund and remediate them before a formal CMMC assessment.</w:t>
      </w:r>
    </w:p>
    <w:p>
      <w:pPr>
        <w:pStyle w:val="Heading1"/>
      </w:pPr>
      <w:r>
        <w:t>The Leadership View of the Change</w:t>
      </w:r>
    </w:p>
    <w:tbl>
      <w:tblPr>
        <w:tblStyle w:val="TableGrid"/>
        <w:tblW w:type="dxa" w:w="9360"/>
        <w:jc w:val="center"/>
        <w:tblLayout w:type="fixed"/>
        <w:tblLook w:firstColumn="1" w:firstRow="1" w:lastColumn="0" w:lastRow="0" w:noHBand="0" w:noVBand="1" w:val="04A0"/>
        <w:tblInd w:w="120" w:type="dxa"/>
      </w:tblPr>
      <w:tblGrid>
        <w:gridCol w:w="1700"/>
        <w:gridCol w:w="1250"/>
        <w:gridCol w:w="1450"/>
        <w:gridCol w:w="4960"/>
      </w:tblGrid>
      <w:tr>
        <w:trPr>
          <w:tblHeader w:val="true"/>
        </w:trPr>
        <w:tc>
          <w:tcPr>
            <w:tcW w:type="dxa" w:w="1700"/>
            <w:shd w:fill="252B52"/>
            <w:tcMar>
              <w:top w:w="110" w:type="dxa"/>
              <w:start w:w="120" w:type="dxa"/>
              <w:bottom w:w="110" w:type="dxa"/>
              <w:end w:w="120" w:type="dxa"/>
            </w:tcMar>
            <w:vAlign w:val="center"/>
          </w:tcPr>
          <w:p>
            <w:pPr>
              <w:spacing w:after="0"/>
            </w:pPr>
            <w:r/>
            <w:r>
              <w:rPr>
                <w:rFonts w:ascii="Aptos" w:hAnsi="Aptos"/>
                <w:b/>
                <w:color w:val="FFFFFF"/>
                <w:sz w:val="19"/>
              </w:rPr>
              <w:t>Area</w:t>
            </w:r>
          </w:p>
        </w:tc>
        <w:tc>
          <w:tcPr>
            <w:tcW w:type="dxa" w:w="1250"/>
            <w:shd w:fill="252B52"/>
            <w:tcMar>
              <w:top w:w="110" w:type="dxa"/>
              <w:start w:w="120" w:type="dxa"/>
              <w:bottom w:w="110" w:type="dxa"/>
              <w:end w:w="120" w:type="dxa"/>
            </w:tcMar>
            <w:vAlign w:val="center"/>
          </w:tcPr>
          <w:p>
            <w:pPr>
              <w:spacing w:after="0"/>
            </w:pPr>
            <w:r/>
            <w:r>
              <w:rPr>
                <w:rFonts w:ascii="Aptos" w:hAnsi="Aptos"/>
                <w:b/>
                <w:color w:val="FFFFFF"/>
                <w:sz w:val="19"/>
              </w:rPr>
              <w:t>Rev. 2</w:t>
            </w:r>
          </w:p>
        </w:tc>
        <w:tc>
          <w:tcPr>
            <w:tcW w:type="dxa" w:w="1450"/>
            <w:shd w:fill="252B52"/>
            <w:tcMar>
              <w:top w:w="110" w:type="dxa"/>
              <w:start w:w="120" w:type="dxa"/>
              <w:bottom w:w="110" w:type="dxa"/>
              <w:end w:w="120" w:type="dxa"/>
            </w:tcMar>
            <w:vAlign w:val="center"/>
          </w:tcPr>
          <w:p>
            <w:pPr>
              <w:spacing w:after="0"/>
            </w:pPr>
            <w:r/>
            <w:r>
              <w:rPr>
                <w:rFonts w:ascii="Aptos" w:hAnsi="Aptos"/>
                <w:b/>
                <w:color w:val="FFFFFF"/>
                <w:sz w:val="19"/>
              </w:rPr>
              <w:t>Rev. 3</w:t>
            </w:r>
          </w:p>
        </w:tc>
        <w:tc>
          <w:tcPr>
            <w:tcW w:type="dxa" w:w="4960"/>
            <w:shd w:fill="252B52"/>
            <w:tcMar>
              <w:top w:w="110" w:type="dxa"/>
              <w:start w:w="120" w:type="dxa"/>
              <w:bottom w:w="110" w:type="dxa"/>
              <w:end w:w="120" w:type="dxa"/>
            </w:tcMar>
            <w:vAlign w:val="center"/>
          </w:tcPr>
          <w:p>
            <w:pPr>
              <w:spacing w:after="0"/>
            </w:pPr>
            <w:r/>
            <w:r>
              <w:rPr>
                <w:rFonts w:ascii="Aptos" w:hAnsi="Aptos"/>
                <w:b/>
                <w:color w:val="FFFFFF"/>
                <w:sz w:val="19"/>
              </w:rPr>
              <w:t>What It Means for You</w:t>
            </w:r>
          </w:p>
        </w:tc>
      </w:tr>
      <w:tr>
        <w:trPr>
          <w:cantSplit/>
        </w:trPr>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Requirements</w:t>
            </w:r>
          </w:p>
        </w:tc>
        <w:tc>
          <w:tcPr>
            <w:tcW w:type="dxa" w:w="125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110</w:t>
            </w:r>
          </w:p>
        </w:tc>
        <w:tc>
          <w:tcPr>
            <w:tcW w:type="dxa" w:w="145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97</w:t>
            </w:r>
          </w:p>
        </w:tc>
        <w:tc>
          <w:tcPr>
            <w:tcW w:type="dxa" w:w="496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Fewer total requirements does not mean less work; many requirements were consolidated or expanded.</w:t>
            </w:r>
          </w:p>
        </w:tc>
      </w:tr>
      <w:tr>
        <w:trPr>
          <w:cantSplit/>
        </w:trPr>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8"/>
              </w:rPr>
              <w:t>Families</w:t>
            </w:r>
          </w:p>
        </w:tc>
        <w:tc>
          <w:tcPr>
            <w:tcW w:type="dxa" w:w="1250"/>
            <w:tcMar>
              <w:top w:w="90" w:type="dxa"/>
              <w:start w:w="120" w:type="dxa"/>
              <w:bottom w:w="90" w:type="dxa"/>
              <w:end w:w="120" w:type="dxa"/>
            </w:tcMar>
            <w:vAlign w:val="center"/>
          </w:tcPr>
          <w:p>
            <w:pPr>
              <w:spacing w:after="0" w:line="252" w:lineRule="auto"/>
            </w:pPr>
            <w:r/>
            <w:r>
              <w:rPr>
                <w:rFonts w:ascii="Aptos" w:hAnsi="Aptos"/>
                <w:b w:val="0"/>
                <w:color w:val="282938"/>
                <w:sz w:val="18"/>
              </w:rPr>
              <w:t>14</w:t>
            </w:r>
          </w:p>
        </w:tc>
        <w:tc>
          <w:tcPr>
            <w:tcW w:type="dxa" w:w="1450"/>
            <w:tcMar>
              <w:top w:w="90" w:type="dxa"/>
              <w:start w:w="120" w:type="dxa"/>
              <w:bottom w:w="90" w:type="dxa"/>
              <w:end w:w="120" w:type="dxa"/>
            </w:tcMar>
            <w:vAlign w:val="center"/>
          </w:tcPr>
          <w:p>
            <w:pPr>
              <w:spacing w:after="0" w:line="252" w:lineRule="auto"/>
            </w:pPr>
            <w:r/>
            <w:r>
              <w:rPr>
                <w:rFonts w:ascii="Aptos" w:hAnsi="Aptos"/>
                <w:b w:val="0"/>
                <w:color w:val="282938"/>
                <w:sz w:val="18"/>
              </w:rPr>
              <w:t>17</w:t>
            </w:r>
          </w:p>
        </w:tc>
        <w:tc>
          <w:tcPr>
            <w:tcW w:type="dxa" w:w="4960"/>
            <w:tcMar>
              <w:top w:w="90" w:type="dxa"/>
              <w:start w:w="120" w:type="dxa"/>
              <w:bottom w:w="90" w:type="dxa"/>
              <w:end w:w="120" w:type="dxa"/>
            </w:tcMar>
            <w:vAlign w:val="center"/>
          </w:tcPr>
          <w:p>
            <w:pPr>
              <w:spacing w:after="0" w:line="252" w:lineRule="auto"/>
            </w:pPr>
            <w:r/>
            <w:r>
              <w:rPr>
                <w:rFonts w:ascii="Aptos" w:hAnsi="Aptos"/>
                <w:b w:val="0"/>
                <w:color w:val="282938"/>
                <w:sz w:val="18"/>
              </w:rPr>
              <w:t>Planning, acquisition, and supply chain risk now have explicit governance expectations.</w:t>
            </w:r>
          </w:p>
        </w:tc>
      </w:tr>
      <w:tr>
        <w:trPr>
          <w:cantSplit/>
        </w:trPr>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New requirements</w:t>
            </w:r>
          </w:p>
        </w:tc>
        <w:tc>
          <w:tcPr>
            <w:tcW w:type="dxa" w:w="125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w:t>
            </w:r>
          </w:p>
        </w:tc>
        <w:tc>
          <w:tcPr>
            <w:tcW w:type="dxa" w:w="145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19</w:t>
            </w:r>
          </w:p>
        </w:tc>
        <w:tc>
          <w:tcPr>
            <w:tcW w:type="dxa" w:w="496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Assign an owner and assess these outcomes even if the Rev. 2 program was mature.</w:t>
            </w:r>
          </w:p>
        </w:tc>
      </w:tr>
      <w:tr>
        <w:trPr>
          <w:cantSplit/>
        </w:trPr>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8"/>
              </w:rPr>
              <w:t>Organization-defined parameters</w:t>
            </w:r>
          </w:p>
        </w:tc>
        <w:tc>
          <w:tcPr>
            <w:tcW w:type="dxa" w:w="1250"/>
            <w:tcMar>
              <w:top w:w="90" w:type="dxa"/>
              <w:start w:w="120" w:type="dxa"/>
              <w:bottom w:w="90" w:type="dxa"/>
              <w:end w:w="120" w:type="dxa"/>
            </w:tcMar>
            <w:vAlign w:val="center"/>
          </w:tcPr>
          <w:p>
            <w:pPr>
              <w:spacing w:after="0" w:line="252" w:lineRule="auto"/>
            </w:pPr>
            <w:r/>
            <w:r>
              <w:rPr>
                <w:rFonts w:ascii="Aptos" w:hAnsi="Aptos"/>
                <w:b w:val="0"/>
                <w:color w:val="282938"/>
                <w:sz w:val="18"/>
              </w:rPr>
              <w:t>Limited explicit use</w:t>
            </w:r>
          </w:p>
        </w:tc>
        <w:tc>
          <w:tcPr>
            <w:tcW w:type="dxa" w:w="1450"/>
            <w:tcMar>
              <w:top w:w="90" w:type="dxa"/>
              <w:start w:w="120" w:type="dxa"/>
              <w:bottom w:w="90" w:type="dxa"/>
              <w:end w:w="120" w:type="dxa"/>
            </w:tcMar>
            <w:vAlign w:val="center"/>
          </w:tcPr>
          <w:p>
            <w:pPr>
              <w:spacing w:after="0" w:line="252" w:lineRule="auto"/>
            </w:pPr>
            <w:r/>
            <w:r>
              <w:rPr>
                <w:rFonts w:ascii="Aptos" w:hAnsi="Aptos"/>
                <w:b w:val="0"/>
                <w:color w:val="282938"/>
                <w:sz w:val="18"/>
              </w:rPr>
              <w:t>51 requirements</w:t>
            </w:r>
          </w:p>
        </w:tc>
        <w:tc>
          <w:tcPr>
            <w:tcW w:type="dxa" w:w="4960"/>
            <w:tcMar>
              <w:top w:w="90" w:type="dxa"/>
              <w:start w:w="120" w:type="dxa"/>
              <w:bottom w:w="90" w:type="dxa"/>
              <w:end w:w="120" w:type="dxa"/>
            </w:tcMar>
            <w:vAlign w:val="center"/>
          </w:tcPr>
          <w:p>
            <w:pPr>
              <w:spacing w:after="0" w:line="252" w:lineRule="auto"/>
            </w:pPr>
            <w:r/>
            <w:r>
              <w:rPr>
                <w:rFonts w:ascii="Aptos" w:hAnsi="Aptos"/>
                <w:b w:val="0"/>
                <w:color w:val="282938"/>
                <w:sz w:val="18"/>
              </w:rPr>
              <w:t>Leadership must approve measurable values, frequencies, time periods, and selections.</w:t>
            </w:r>
          </w:p>
        </w:tc>
      </w:tr>
      <w:tr>
        <w:trPr>
          <w:cantSplit/>
        </w:trPr>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Withdrawn or absorbed requirements</w:t>
            </w:r>
          </w:p>
        </w:tc>
        <w:tc>
          <w:tcPr>
            <w:tcW w:type="dxa" w:w="125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w:t>
            </w:r>
          </w:p>
        </w:tc>
        <w:tc>
          <w:tcPr>
            <w:tcW w:type="dxa" w:w="145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33 Rev. 2 items</w:t>
            </w:r>
          </w:p>
        </w:tc>
        <w:tc>
          <w:tcPr>
            <w:tcW w:type="dxa" w:w="496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Confirm the former security outcome is addressed elsewhere before retiring evidence.</w:t>
            </w:r>
          </w:p>
        </w:tc>
      </w:tr>
    </w:tbl>
    <w:p>
      <w:pPr>
        <w:spacing w:after="20"/>
      </w:pPr>
    </w:p>
    <w:tbl>
      <w:tblPr>
        <w:tblW w:type="dxa" w:w="9360"/>
        <w:jc w:val="center"/>
        <w:tblLayout w:type="fixed"/>
        <w:tblLook w:firstColumn="1" w:firstRow="1" w:lastColumn="0" w:lastRow="0" w:noHBand="0" w:noVBand="1" w:val="04A0"/>
        <w:tblInd w:w="120" w:type="dxa"/>
      </w:tblPr>
      <w:tblGrid>
        <w:gridCol w:w="9360"/>
      </w:tblGrid>
      <w:tr>
        <w:tc>
          <w:tcPr>
            <w:tcW w:type="dxa" w:w="9360"/>
            <w:shd w:fill="ECEEF7"/>
            <w:tcMar>
              <w:top w:w="150" w:type="dxa"/>
              <w:start w:w="180" w:type="dxa"/>
              <w:bottom w:w="150" w:type="dxa"/>
              <w:end w:w="180" w:type="dxa"/>
            </w:tcMar>
          </w:tcPr>
          <w:p>
            <w:pPr>
              <w:spacing w:after="0"/>
            </w:pPr>
            <w:r>
              <w:rPr>
                <w:rFonts w:ascii="Aptos" w:hAnsi="Aptos"/>
                <w:b/>
                <w:color w:val="252B52"/>
                <w:sz w:val="21"/>
              </w:rPr>
              <w:t xml:space="preserve">Do not assume continuity. </w:t>
            </w:r>
            <w:r>
              <w:rPr>
                <w:rFonts w:ascii="Aptos" w:hAnsi="Aptos"/>
                <w:b w:val="0"/>
                <w:color w:val="282938"/>
                <w:sz w:val="21"/>
              </w:rPr>
              <w:t>A Rev. 2 control mapping helps locate existing evidence, but it does not prove that the Rev. 3 outcome is satisfied.</w:t>
            </w:r>
          </w:p>
        </w:tc>
      </w:tr>
    </w:tbl>
    <w:p>
      <w:pPr>
        <w:spacing w:after="20"/>
      </w:pPr>
    </w:p>
    <w:p>
      <w:pPr>
        <w:pStyle w:val="Heading1"/>
      </w:pPr>
      <w:r>
        <w:t>Your Role as the Program Sponsor</w:t>
      </w:r>
    </w:p>
    <w:p>
      <w:pPr>
        <w:spacing w:after="120" w:line="264" w:lineRule="auto"/>
      </w:pPr>
      <w:r>
        <w:rPr>
          <w:rFonts w:ascii="Aptos" w:hAnsi="Aptos"/>
          <w:b w:val="0"/>
          <w:color w:val="282938"/>
          <w:sz w:val="22"/>
        </w:rPr>
        <w:t>You do not need to personally interpret or test every requirement. Your job is to establish authority, ownership, scope, resources, and evidence discipline so the organization can demonstrate that its protections operate as intended.</w:t>
      </w:r>
    </w:p>
    <w:tbl>
      <w:tblPr>
        <w:tblStyle w:val="TableGrid"/>
        <w:tblW w:type="dxa" w:w="9360"/>
        <w:jc w:val="center"/>
        <w:tblLayout w:type="fixed"/>
        <w:tblLook w:firstColumn="1" w:firstRow="1" w:lastColumn="0" w:lastRow="0" w:noHBand="0" w:noVBand="1" w:val="04A0"/>
        <w:tblInd w:w="120" w:type="dxa"/>
      </w:tblPr>
      <w:tblGrid>
        <w:gridCol w:w="3000"/>
        <w:gridCol w:w="6360"/>
      </w:tblGrid>
      <w:tr>
        <w:trPr>
          <w:tblHeader w:val="true"/>
        </w:trPr>
        <w:tc>
          <w:tcPr>
            <w:tcW w:type="dxa" w:w="3000"/>
            <w:shd w:fill="252B52"/>
            <w:tcMar>
              <w:top w:w="110" w:type="dxa"/>
              <w:start w:w="120" w:type="dxa"/>
              <w:bottom w:w="110" w:type="dxa"/>
              <w:end w:w="120" w:type="dxa"/>
            </w:tcMar>
            <w:vAlign w:val="center"/>
          </w:tcPr>
          <w:p>
            <w:pPr>
              <w:spacing w:after="0"/>
            </w:pPr>
            <w:r/>
            <w:r>
              <w:rPr>
                <w:rFonts w:ascii="Aptos" w:hAnsi="Aptos"/>
                <w:b/>
                <w:color w:val="FFFFFF"/>
                <w:sz w:val="19"/>
              </w:rPr>
              <w:t>Leadership Responsibility</w:t>
            </w:r>
          </w:p>
        </w:tc>
        <w:tc>
          <w:tcPr>
            <w:tcW w:type="dxa" w:w="6360"/>
            <w:shd w:fill="252B52"/>
            <w:tcMar>
              <w:top w:w="110" w:type="dxa"/>
              <w:start w:w="120" w:type="dxa"/>
              <w:bottom w:w="110" w:type="dxa"/>
              <w:end w:w="120" w:type="dxa"/>
            </w:tcMar>
            <w:vAlign w:val="center"/>
          </w:tcPr>
          <w:p>
            <w:pPr>
              <w:spacing w:after="0"/>
            </w:pPr>
            <w:r/>
            <w:r>
              <w:rPr>
                <w:rFonts w:ascii="Aptos" w:hAnsi="Aptos"/>
                <w:b/>
                <w:color w:val="FFFFFF"/>
                <w:sz w:val="19"/>
              </w:rPr>
              <w:t>Expected Outcome</w:t>
            </w:r>
          </w:p>
        </w:tc>
      </w:tr>
      <w:tr>
        <w:trPr>
          <w:cantSplit/>
        </w:trPr>
        <w:tc>
          <w:tcPr>
            <w:tcW w:type="dxa" w:w="30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Confirm the CUI scope</w:t>
            </w:r>
          </w:p>
        </w:tc>
        <w:tc>
          <w:tcPr>
            <w:tcW w:type="dxa" w:w="63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Documented systems, users, locations, data flows, external services, and security protection assets.</w:t>
            </w:r>
          </w:p>
        </w:tc>
      </w:tr>
      <w:tr>
        <w:trPr>
          <w:cantSplit/>
        </w:trPr>
        <w:tc>
          <w:tcPr>
            <w:tcW w:type="dxa" w:w="3000"/>
            <w:tcMar>
              <w:top w:w="90" w:type="dxa"/>
              <w:start w:w="120" w:type="dxa"/>
              <w:bottom w:w="90" w:type="dxa"/>
              <w:end w:w="120" w:type="dxa"/>
            </w:tcMar>
            <w:vAlign w:val="center"/>
          </w:tcPr>
          <w:p>
            <w:pPr>
              <w:spacing w:after="0" w:line="252" w:lineRule="auto"/>
            </w:pPr>
            <w:r/>
            <w:r>
              <w:rPr>
                <w:rFonts w:ascii="Aptos" w:hAnsi="Aptos"/>
                <w:b w:val="0"/>
                <w:color w:val="282938"/>
                <w:sz w:val="19"/>
              </w:rPr>
              <w:t>Name accountable owners</w:t>
            </w:r>
          </w:p>
        </w:tc>
        <w:tc>
          <w:tcPr>
            <w:tcW w:type="dxa" w:w="6360"/>
            <w:tcMar>
              <w:top w:w="90" w:type="dxa"/>
              <w:start w:w="120" w:type="dxa"/>
              <w:bottom w:w="90" w:type="dxa"/>
              <w:end w:w="120" w:type="dxa"/>
            </w:tcMar>
            <w:vAlign w:val="center"/>
          </w:tcPr>
          <w:p>
            <w:pPr>
              <w:spacing w:after="0" w:line="252" w:lineRule="auto"/>
            </w:pPr>
            <w:r/>
            <w:r>
              <w:rPr>
                <w:rFonts w:ascii="Aptos" w:hAnsi="Aptos"/>
                <w:b w:val="0"/>
                <w:color w:val="282938"/>
                <w:sz w:val="19"/>
              </w:rPr>
              <w:t>A business or technical owner for every requirement, ODP decision, evidence item, and remediation task.</w:t>
            </w:r>
          </w:p>
        </w:tc>
      </w:tr>
      <w:tr>
        <w:trPr>
          <w:cantSplit/>
        </w:trPr>
        <w:tc>
          <w:tcPr>
            <w:tcW w:type="dxa" w:w="30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Approve organizational parameters</w:t>
            </w:r>
          </w:p>
        </w:tc>
        <w:tc>
          <w:tcPr>
            <w:tcW w:type="dxa" w:w="63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Specific, measurable values with an authority, rationale, implementation owner, and review cadence.</w:t>
            </w:r>
          </w:p>
        </w:tc>
      </w:tr>
      <w:tr>
        <w:trPr>
          <w:cantSplit/>
        </w:trPr>
        <w:tc>
          <w:tcPr>
            <w:tcW w:type="dxa" w:w="3000"/>
            <w:tcMar>
              <w:top w:w="90" w:type="dxa"/>
              <w:start w:w="120" w:type="dxa"/>
              <w:bottom w:w="90" w:type="dxa"/>
              <w:end w:w="120" w:type="dxa"/>
            </w:tcMar>
            <w:vAlign w:val="center"/>
          </w:tcPr>
          <w:p>
            <w:pPr>
              <w:spacing w:after="0" w:line="252" w:lineRule="auto"/>
            </w:pPr>
            <w:r/>
            <w:r>
              <w:rPr>
                <w:rFonts w:ascii="Aptos" w:hAnsi="Aptos"/>
                <w:b w:val="0"/>
                <w:color w:val="282938"/>
                <w:sz w:val="19"/>
              </w:rPr>
              <w:t>Resolve cross-functional dependencies</w:t>
            </w:r>
          </w:p>
        </w:tc>
        <w:tc>
          <w:tcPr>
            <w:tcW w:type="dxa" w:w="6360"/>
            <w:tcMar>
              <w:top w:w="90" w:type="dxa"/>
              <w:start w:w="120" w:type="dxa"/>
              <w:bottom w:w="90" w:type="dxa"/>
              <w:end w:w="120" w:type="dxa"/>
            </w:tcMar>
            <w:vAlign w:val="center"/>
          </w:tcPr>
          <w:p>
            <w:pPr>
              <w:spacing w:after="0" w:line="252" w:lineRule="auto"/>
            </w:pPr>
            <w:r/>
            <w:r>
              <w:rPr>
                <w:rFonts w:ascii="Aptos" w:hAnsi="Aptos"/>
                <w:b w:val="0"/>
                <w:color w:val="282938"/>
                <w:sz w:val="19"/>
              </w:rPr>
              <w:t>HR, procurement, facilities, legal, engineering, IT operations, and suppliers participate where required.</w:t>
            </w:r>
          </w:p>
        </w:tc>
      </w:tr>
      <w:tr>
        <w:trPr>
          <w:cantSplit/>
        </w:trPr>
        <w:tc>
          <w:tcPr>
            <w:tcW w:type="dxa" w:w="30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Fund remediation</w:t>
            </w:r>
          </w:p>
        </w:tc>
        <w:tc>
          <w:tcPr>
            <w:tcW w:type="dxa" w:w="63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Gaps are prioritized by assessment impact and risk, with realistic due dates and executive escalation.</w:t>
            </w:r>
          </w:p>
        </w:tc>
      </w:tr>
      <w:tr>
        <w:trPr>
          <w:cantSplit/>
        </w:trPr>
        <w:tc>
          <w:tcPr>
            <w:tcW w:type="dxa" w:w="3000"/>
            <w:tcMar>
              <w:top w:w="90" w:type="dxa"/>
              <w:start w:w="120" w:type="dxa"/>
              <w:bottom w:w="90" w:type="dxa"/>
              <w:end w:w="120" w:type="dxa"/>
            </w:tcMar>
            <w:vAlign w:val="center"/>
          </w:tcPr>
          <w:p>
            <w:pPr>
              <w:spacing w:after="0" w:line="252" w:lineRule="auto"/>
            </w:pPr>
            <w:r/>
            <w:r>
              <w:rPr>
                <w:rFonts w:ascii="Aptos" w:hAnsi="Aptos"/>
                <w:b w:val="0"/>
                <w:color w:val="282938"/>
                <w:sz w:val="19"/>
              </w:rPr>
              <w:t>Require evidence readiness</w:t>
            </w:r>
          </w:p>
        </w:tc>
        <w:tc>
          <w:tcPr>
            <w:tcW w:type="dxa" w:w="6360"/>
            <w:tcMar>
              <w:top w:w="90" w:type="dxa"/>
              <w:start w:w="120" w:type="dxa"/>
              <w:bottom w:w="90" w:type="dxa"/>
              <w:end w:w="120" w:type="dxa"/>
            </w:tcMar>
            <w:vAlign w:val="center"/>
          </w:tcPr>
          <w:p>
            <w:pPr>
              <w:spacing w:after="0" w:line="252" w:lineRule="auto"/>
            </w:pPr>
            <w:r/>
            <w:r>
              <w:rPr>
                <w:rFonts w:ascii="Aptos" w:hAnsi="Aptos"/>
                <w:b w:val="0"/>
                <w:color w:val="282938"/>
                <w:sz w:val="19"/>
              </w:rPr>
              <w:t>Evidence shows implementation and operation across the full assessed environment—not only written policy.</w:t>
            </w:r>
          </w:p>
        </w:tc>
      </w:tr>
    </w:tbl>
    <w:p>
      <w:pPr>
        <w:spacing w:after="20"/>
      </w:pPr>
    </w:p>
    <w:p>
      <w:pPr>
        <w:pStyle w:val="Heading1"/>
      </w:pPr>
      <w:r>
        <w:t>Who Should Be at the Table</w:t>
      </w:r>
    </w:p>
    <w:tbl>
      <w:tblPr>
        <w:tblStyle w:val="TableGrid"/>
        <w:tblW w:type="dxa" w:w="9360"/>
        <w:jc w:val="center"/>
        <w:tblLayout w:type="fixed"/>
        <w:tblLook w:firstColumn="1" w:firstRow="1" w:lastColumn="0" w:lastRow="0" w:noHBand="0" w:noVBand="1" w:val="04A0"/>
        <w:tblInd w:w="120" w:type="dxa"/>
      </w:tblPr>
      <w:tblGrid>
        <w:gridCol w:w="2500"/>
        <w:gridCol w:w="6860"/>
      </w:tblGrid>
      <w:tr>
        <w:trPr>
          <w:tblHeader w:val="true"/>
        </w:trPr>
        <w:tc>
          <w:tcPr>
            <w:tcW w:type="dxa" w:w="2500"/>
            <w:shd w:fill="252B52"/>
            <w:tcMar>
              <w:top w:w="110" w:type="dxa"/>
              <w:start w:w="120" w:type="dxa"/>
              <w:bottom w:w="110" w:type="dxa"/>
              <w:end w:w="120" w:type="dxa"/>
            </w:tcMar>
            <w:vAlign w:val="center"/>
          </w:tcPr>
          <w:p>
            <w:pPr>
              <w:spacing w:after="0"/>
            </w:pPr>
            <w:r/>
            <w:r>
              <w:rPr>
                <w:rFonts w:ascii="Aptos" w:hAnsi="Aptos"/>
                <w:b/>
                <w:color w:val="FFFFFF"/>
                <w:sz w:val="19"/>
              </w:rPr>
              <w:t>Function</w:t>
            </w:r>
          </w:p>
        </w:tc>
        <w:tc>
          <w:tcPr>
            <w:tcW w:type="dxa" w:w="6860"/>
            <w:shd w:fill="252B52"/>
            <w:tcMar>
              <w:top w:w="110" w:type="dxa"/>
              <w:start w:w="120" w:type="dxa"/>
              <w:bottom w:w="110" w:type="dxa"/>
              <w:end w:w="120" w:type="dxa"/>
            </w:tcMar>
            <w:vAlign w:val="center"/>
          </w:tcPr>
          <w:p>
            <w:pPr>
              <w:spacing w:after="0"/>
            </w:pPr>
            <w:r/>
            <w:r>
              <w:rPr>
                <w:rFonts w:ascii="Aptos" w:hAnsi="Aptos"/>
                <w:b/>
                <w:color w:val="FFFFFF"/>
                <w:sz w:val="19"/>
              </w:rPr>
              <w:t>Primary Contribution</w:t>
            </w:r>
          </w:p>
        </w:tc>
      </w:tr>
      <w:tr>
        <w:trPr>
          <w:cantSplit/>
        </w:trPr>
        <w:tc>
          <w:tcPr>
            <w:tcW w:type="dxa" w:w="250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Executive sponsor</w:t>
            </w:r>
          </w:p>
        </w:tc>
        <w:tc>
          <w:tcPr>
            <w:tcW w:type="dxa" w:w="686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Authority, prioritization, risk acceptance, and funding.</w:t>
            </w:r>
          </w:p>
        </w:tc>
      </w:tr>
      <w:tr>
        <w:trPr>
          <w:cantSplit/>
        </w:trPr>
        <w:tc>
          <w:tcPr>
            <w:tcW w:type="dxa" w:w="2500"/>
            <w:tcMar>
              <w:top w:w="90" w:type="dxa"/>
              <w:start w:w="120" w:type="dxa"/>
              <w:bottom w:w="90" w:type="dxa"/>
              <w:end w:w="120" w:type="dxa"/>
            </w:tcMar>
            <w:vAlign w:val="center"/>
          </w:tcPr>
          <w:p>
            <w:pPr>
              <w:spacing w:after="0" w:line="252" w:lineRule="auto"/>
            </w:pPr>
            <w:r/>
            <w:r>
              <w:rPr>
                <w:rFonts w:ascii="Aptos" w:hAnsi="Aptos"/>
                <w:b w:val="0"/>
                <w:color w:val="282938"/>
                <w:sz w:val="18"/>
              </w:rPr>
              <w:t>IT and security operations</w:t>
            </w:r>
          </w:p>
        </w:tc>
        <w:tc>
          <w:tcPr>
            <w:tcW w:type="dxa" w:w="6860"/>
            <w:tcMar>
              <w:top w:w="90" w:type="dxa"/>
              <w:start w:w="120" w:type="dxa"/>
              <w:bottom w:w="90" w:type="dxa"/>
              <w:end w:w="120" w:type="dxa"/>
            </w:tcMar>
            <w:vAlign w:val="center"/>
          </w:tcPr>
          <w:p>
            <w:pPr>
              <w:spacing w:after="0" w:line="252" w:lineRule="auto"/>
            </w:pPr>
            <w:r/>
            <w:r>
              <w:rPr>
                <w:rFonts w:ascii="Aptos" w:hAnsi="Aptos"/>
                <w:b w:val="0"/>
                <w:color w:val="282938"/>
                <w:sz w:val="18"/>
              </w:rPr>
              <w:t>Architecture, configurations, monitoring, identity, vulnerability management, backup, and response evidence.</w:t>
            </w:r>
          </w:p>
        </w:tc>
      </w:tr>
      <w:tr>
        <w:trPr>
          <w:cantSplit/>
        </w:trPr>
        <w:tc>
          <w:tcPr>
            <w:tcW w:type="dxa" w:w="250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Compliance / GRC</w:t>
            </w:r>
          </w:p>
        </w:tc>
        <w:tc>
          <w:tcPr>
            <w:tcW w:type="dxa" w:w="686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Requirement mapping, policy alignment, evidence index, issue tracking, and assessment coordination.</w:t>
            </w:r>
          </w:p>
        </w:tc>
      </w:tr>
      <w:tr>
        <w:trPr>
          <w:cantSplit/>
        </w:trPr>
        <w:tc>
          <w:tcPr>
            <w:tcW w:type="dxa" w:w="2500"/>
            <w:tcMar>
              <w:top w:w="90" w:type="dxa"/>
              <w:start w:w="120" w:type="dxa"/>
              <w:bottom w:w="90" w:type="dxa"/>
              <w:end w:w="120" w:type="dxa"/>
            </w:tcMar>
            <w:vAlign w:val="center"/>
          </w:tcPr>
          <w:p>
            <w:pPr>
              <w:spacing w:after="0" w:line="252" w:lineRule="auto"/>
            </w:pPr>
            <w:r/>
            <w:r>
              <w:rPr>
                <w:rFonts w:ascii="Aptos" w:hAnsi="Aptos"/>
                <w:b w:val="0"/>
                <w:color w:val="282938"/>
                <w:sz w:val="18"/>
              </w:rPr>
              <w:t>System and application owners</w:t>
            </w:r>
          </w:p>
        </w:tc>
        <w:tc>
          <w:tcPr>
            <w:tcW w:type="dxa" w:w="6860"/>
            <w:tcMar>
              <w:top w:w="90" w:type="dxa"/>
              <w:start w:w="120" w:type="dxa"/>
              <w:bottom w:w="90" w:type="dxa"/>
              <w:end w:w="120" w:type="dxa"/>
            </w:tcMar>
            <w:vAlign w:val="center"/>
          </w:tcPr>
          <w:p>
            <w:pPr>
              <w:spacing w:after="0" w:line="252" w:lineRule="auto"/>
            </w:pPr>
            <w:r/>
            <w:r>
              <w:rPr>
                <w:rFonts w:ascii="Aptos" w:hAnsi="Aptos"/>
                <w:b w:val="0"/>
                <w:color w:val="282938"/>
                <w:sz w:val="18"/>
              </w:rPr>
              <w:t>System-specific implementation, data flow, access, configuration, and operational evidence.</w:t>
            </w:r>
          </w:p>
        </w:tc>
      </w:tr>
      <w:tr>
        <w:trPr>
          <w:cantSplit/>
        </w:trPr>
        <w:tc>
          <w:tcPr>
            <w:tcW w:type="dxa" w:w="250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HR and facilities</w:t>
            </w:r>
          </w:p>
        </w:tc>
        <w:tc>
          <w:tcPr>
            <w:tcW w:type="dxa" w:w="686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Personnel actions, training, physical access, alternate work sites, and termination/transfer processes.</w:t>
            </w:r>
          </w:p>
        </w:tc>
      </w:tr>
      <w:tr>
        <w:trPr>
          <w:cantSplit/>
        </w:trPr>
        <w:tc>
          <w:tcPr>
            <w:tcW w:type="dxa" w:w="2500"/>
            <w:tcMar>
              <w:top w:w="90" w:type="dxa"/>
              <w:start w:w="120" w:type="dxa"/>
              <w:bottom w:w="90" w:type="dxa"/>
              <w:end w:w="120" w:type="dxa"/>
            </w:tcMar>
            <w:vAlign w:val="center"/>
          </w:tcPr>
          <w:p>
            <w:pPr>
              <w:spacing w:after="0" w:line="252" w:lineRule="auto"/>
            </w:pPr>
            <w:r/>
            <w:r>
              <w:rPr>
                <w:rFonts w:ascii="Aptos" w:hAnsi="Aptos"/>
                <w:b w:val="0"/>
                <w:color w:val="282938"/>
                <w:sz w:val="18"/>
              </w:rPr>
              <w:t>Procurement, legal, and vendor management</w:t>
            </w:r>
          </w:p>
        </w:tc>
        <w:tc>
          <w:tcPr>
            <w:tcW w:type="dxa" w:w="6860"/>
            <w:tcMar>
              <w:top w:w="90" w:type="dxa"/>
              <w:start w:w="120" w:type="dxa"/>
              <w:bottom w:w="90" w:type="dxa"/>
              <w:end w:w="120" w:type="dxa"/>
            </w:tcMar>
            <w:vAlign w:val="center"/>
          </w:tcPr>
          <w:p>
            <w:pPr>
              <w:spacing w:after="0" w:line="252" w:lineRule="auto"/>
            </w:pPr>
            <w:r/>
            <w:r>
              <w:rPr>
                <w:rFonts w:ascii="Aptos" w:hAnsi="Aptos"/>
                <w:b w:val="0"/>
                <w:color w:val="282938"/>
                <w:sz w:val="18"/>
              </w:rPr>
              <w:t>Contract requirements, external-service oversight, supplier evidence, and supply chain risk.</w:t>
            </w:r>
          </w:p>
        </w:tc>
      </w:tr>
      <w:tr>
        <w:trPr>
          <w:cantSplit/>
        </w:trPr>
        <w:tc>
          <w:tcPr>
            <w:tcW w:type="dxa" w:w="250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MSPs, ESPs, and CSPs</w:t>
            </w:r>
          </w:p>
        </w:tc>
        <w:tc>
          <w:tcPr>
            <w:tcW w:type="dxa" w:w="6860"/>
            <w:tcMar>
              <w:top w:w="90" w:type="dxa"/>
              <w:start w:w="120" w:type="dxa"/>
              <w:bottom w:w="90" w:type="dxa"/>
              <w:end w:w="120" w:type="dxa"/>
            </w:tcMar>
            <w:vAlign w:val="center"/>
            <w:shd w:fill="F8F1EE"/>
          </w:tcPr>
          <w:p>
            <w:pPr>
              <w:spacing w:after="0" w:line="252" w:lineRule="auto"/>
            </w:pPr>
            <w:r/>
            <w:r>
              <w:rPr>
                <w:rFonts w:ascii="Aptos" w:hAnsi="Aptos"/>
                <w:b w:val="0"/>
                <w:color w:val="282938"/>
                <w:sz w:val="18"/>
              </w:rPr>
              <w:t>Shared responsibility, service descriptions, security evidence, incident obligations, and boundary dependencies.</w:t>
            </w:r>
          </w:p>
        </w:tc>
      </w:tr>
    </w:tbl>
    <w:p>
      <w:pPr>
        <w:spacing w:after="20"/>
      </w:pPr>
    </w:p>
    <w:p>
      <w:pPr>
        <w:pStyle w:val="Heading1"/>
      </w:pPr>
      <w:r>
        <w:t>Recommended Transition Plan</w:t>
      </w:r>
    </w:p>
    <w:p>
      <w:pPr>
        <w:pStyle w:val="ListNumber"/>
        <w:spacing w:after="140" w:line="259" w:lineRule="auto"/>
      </w:pPr>
      <w:r>
        <w:rPr>
          <w:rFonts w:ascii="Aptos" w:hAnsi="Aptos"/>
          <w:b/>
          <w:color w:val="252B52"/>
          <w:sz w:val="22"/>
        </w:rPr>
        <w:t xml:space="preserve">Confirm the boundary — </w:t>
      </w:r>
      <w:r>
        <w:rPr>
          <w:rFonts w:ascii="Aptos" w:hAnsi="Aptos"/>
          <w:b w:val="0"/>
          <w:color w:val="282938"/>
          <w:sz w:val="22"/>
        </w:rPr>
        <w:t>Validate where CUI is stored, processed, transmitted, viewed, backed up, and administered. Include remote users, alternate work sites, external services, and security tools.</w:t>
      </w:r>
    </w:p>
    <w:p>
      <w:pPr>
        <w:pStyle w:val="ListNumber"/>
        <w:spacing w:after="140" w:line="259" w:lineRule="auto"/>
      </w:pPr>
      <w:r>
        <w:rPr>
          <w:rFonts w:ascii="Aptos" w:hAnsi="Aptos"/>
          <w:b/>
          <w:color w:val="252B52"/>
          <w:sz w:val="22"/>
        </w:rPr>
        <w:t xml:space="preserve">Baseline the transition — </w:t>
      </w:r>
      <w:r>
        <w:rPr>
          <w:rFonts w:ascii="Aptos" w:hAnsi="Aptos"/>
          <w:b w:val="0"/>
          <w:color w:val="282938"/>
          <w:sz w:val="22"/>
        </w:rPr>
        <w:t>Use the workbook to map current Rev. 2 evidence to Rev. 3 and identify new, significantly changed, ODP, inherited, and withdrawn requirements.</w:t>
      </w:r>
    </w:p>
    <w:p>
      <w:pPr>
        <w:pStyle w:val="ListNumber"/>
        <w:spacing w:after="140" w:line="259" w:lineRule="auto"/>
      </w:pPr>
      <w:r>
        <w:rPr>
          <w:rFonts w:ascii="Aptos" w:hAnsi="Aptos"/>
          <w:b/>
          <w:color w:val="252B52"/>
          <w:sz w:val="22"/>
        </w:rPr>
        <w:t xml:space="preserve">Assign ownership — </w:t>
      </w:r>
      <w:r>
        <w:rPr>
          <w:rFonts w:ascii="Aptos" w:hAnsi="Aptos"/>
          <w:b w:val="0"/>
          <w:color w:val="282938"/>
          <w:sz w:val="22"/>
        </w:rPr>
        <w:t>Name one accountable owner for every requirement and one approver for every organization-defined parameter.</w:t>
      </w:r>
    </w:p>
    <w:p>
      <w:pPr>
        <w:pStyle w:val="ListNumber"/>
        <w:spacing w:after="140" w:line="259" w:lineRule="auto"/>
      </w:pPr>
      <w:r>
        <w:rPr>
          <w:rFonts w:ascii="Aptos" w:hAnsi="Aptos"/>
          <w:b/>
          <w:color w:val="252B52"/>
          <w:sz w:val="22"/>
        </w:rPr>
        <w:t xml:space="preserve">Make the decisions — </w:t>
      </w:r>
      <w:r>
        <w:rPr>
          <w:rFonts w:ascii="Aptos" w:hAnsi="Aptos"/>
          <w:b w:val="0"/>
          <w:color w:val="282938"/>
          <w:sz w:val="22"/>
        </w:rPr>
        <w:t>Define time periods, frequencies, events, thresholds, technologies, personnel, and other selections before technical testing begins.</w:t>
      </w:r>
    </w:p>
    <w:p>
      <w:pPr>
        <w:pStyle w:val="ListNumber"/>
        <w:spacing w:after="140" w:line="259" w:lineRule="auto"/>
      </w:pPr>
      <w:r>
        <w:rPr>
          <w:rFonts w:ascii="Aptos" w:hAnsi="Aptos"/>
          <w:b/>
          <w:color w:val="252B52"/>
          <w:sz w:val="22"/>
        </w:rPr>
        <w:t xml:space="preserve">Collect and validate evidence — </w:t>
      </w:r>
      <w:r>
        <w:rPr>
          <w:rFonts w:ascii="Aptos" w:hAnsi="Aptos"/>
          <w:b w:val="0"/>
          <w:color w:val="282938"/>
          <w:sz w:val="22"/>
        </w:rPr>
        <w:t>Gather policy, procedure, configuration, record, interview, observation, and test evidence that represents the full CUI scope.</w:t>
      </w:r>
    </w:p>
    <w:p>
      <w:pPr>
        <w:pStyle w:val="ListNumber"/>
        <w:spacing w:after="140" w:line="259" w:lineRule="auto"/>
      </w:pPr>
      <w:r>
        <w:rPr>
          <w:rFonts w:ascii="Aptos" w:hAnsi="Aptos"/>
          <w:b/>
          <w:color w:val="252B52"/>
          <w:sz w:val="22"/>
        </w:rPr>
        <w:t xml:space="preserve">Close priority gaps — </w:t>
      </w:r>
      <w:r>
        <w:rPr>
          <w:rFonts w:ascii="Aptos" w:hAnsi="Aptos"/>
          <w:b w:val="0"/>
          <w:color w:val="282938"/>
          <w:sz w:val="22"/>
        </w:rPr>
        <w:t>Remediate weaknesses that would prevent an outcome from being met; document remaining work with owners, milestones, resources, and dates.</w:t>
      </w:r>
    </w:p>
    <w:p>
      <w:pPr>
        <w:pStyle w:val="ListNumber"/>
        <w:spacing w:after="140" w:line="259" w:lineRule="auto"/>
      </w:pPr>
      <w:r>
        <w:rPr>
          <w:rFonts w:ascii="Aptos" w:hAnsi="Aptos"/>
          <w:b/>
          <w:color w:val="252B52"/>
          <w:sz w:val="22"/>
        </w:rPr>
        <w:t xml:space="preserve">Conduct a readiness review — </w:t>
      </w:r>
      <w:r>
        <w:rPr>
          <w:rFonts w:ascii="Aptos" w:hAnsi="Aptos"/>
          <w:b w:val="0"/>
          <w:color w:val="282938"/>
          <w:sz w:val="22"/>
        </w:rPr>
        <w:t>Have an independent internal team or advisor challenge scope, parameters, evidence quality, and operational consistency before formal assessment.</w:t>
      </w:r>
    </w:p>
    <w:p>
      <w:pPr>
        <w:pStyle w:val="ListNumber"/>
        <w:spacing w:after="140" w:line="259" w:lineRule="auto"/>
      </w:pPr>
      <w:r>
        <w:rPr>
          <w:rFonts w:ascii="Aptos" w:hAnsi="Aptos"/>
          <w:b/>
          <w:color w:val="252B52"/>
          <w:sz w:val="22"/>
        </w:rPr>
        <w:t xml:space="preserve">Maintain the program — </w:t>
      </w:r>
      <w:r>
        <w:rPr>
          <w:rFonts w:ascii="Aptos" w:hAnsi="Aptos"/>
          <w:b w:val="0"/>
          <w:color w:val="282938"/>
          <w:sz w:val="22"/>
        </w:rPr>
        <w:t>Update the SSP and operating documentation, monitor changes, review parameters, refresh evidence, and track supplier or system changes.</w:t>
      </w:r>
    </w:p>
    <w:p>
      <w:pPr>
        <w:pStyle w:val="Heading1"/>
      </w:pPr>
      <w:r>
        <w:t>Executive Readiness Gate</w:t>
      </w:r>
    </w:p>
    <w:tbl>
      <w:tblPr>
        <w:tblStyle w:val="TableGrid"/>
        <w:tblW w:type="dxa" w:w="9360"/>
        <w:jc w:val="center"/>
        <w:tblLayout w:type="fixed"/>
        <w:tblLook w:firstColumn="1" w:firstRow="1" w:lastColumn="0" w:lastRow="0" w:noHBand="0" w:noVBand="1" w:val="04A0"/>
        <w:tblInd w:w="120" w:type="dxa"/>
      </w:tblPr>
      <w:tblGrid>
        <w:gridCol w:w="700"/>
        <w:gridCol w:w="8660"/>
      </w:tblGrid>
      <w:tr>
        <w:trPr>
          <w:tblHeader w:val="true"/>
        </w:trPr>
        <w:tc>
          <w:tcPr>
            <w:tcW w:type="dxa" w:w="700"/>
            <w:shd w:fill="252B52"/>
            <w:tcMar>
              <w:top w:w="110" w:type="dxa"/>
              <w:start w:w="120" w:type="dxa"/>
              <w:bottom w:w="110" w:type="dxa"/>
              <w:end w:w="120" w:type="dxa"/>
            </w:tcMar>
            <w:vAlign w:val="center"/>
          </w:tcPr>
          <w:p>
            <w:pPr>
              <w:spacing w:after="0"/>
            </w:pPr>
            <w:r/>
            <w:r>
              <w:rPr>
                <w:rFonts w:ascii="Aptos" w:hAnsi="Aptos"/>
                <w:b/>
                <w:color w:val="FFFFFF"/>
                <w:sz w:val="20"/>
              </w:rPr>
              <w:t>Ready?</w:t>
            </w:r>
          </w:p>
        </w:tc>
        <w:tc>
          <w:tcPr>
            <w:tcW w:type="dxa" w:w="8660"/>
            <w:shd w:fill="252B52"/>
            <w:tcMar>
              <w:top w:w="110" w:type="dxa"/>
              <w:start w:w="120" w:type="dxa"/>
              <w:bottom w:w="110" w:type="dxa"/>
              <w:end w:w="120" w:type="dxa"/>
            </w:tcMar>
            <w:vAlign w:val="center"/>
          </w:tcPr>
          <w:p>
            <w:pPr>
              <w:spacing w:after="0"/>
            </w:pPr>
            <w:r/>
            <w:r>
              <w:rPr>
                <w:rFonts w:ascii="Aptos" w:hAnsi="Aptos"/>
                <w:b/>
                <w:color w:val="FFFFFF"/>
                <w:sz w:val="20"/>
              </w:rPr>
              <w:t>Question</w:t>
            </w:r>
          </w:p>
        </w:tc>
      </w:tr>
      <w:tr>
        <w:trPr>
          <w:cantSplit/>
        </w:trPr>
        <w:tc>
          <w:tcPr>
            <w:tcW w:type="dxa" w:w="7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w:t>
            </w:r>
          </w:p>
        </w:tc>
        <w:tc>
          <w:tcPr>
            <w:tcW w:type="dxa" w:w="86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Is the CUI boundary current and approved?</w:t>
            </w:r>
          </w:p>
        </w:tc>
      </w:tr>
      <w:tr>
        <w:trPr>
          <w:cantSplit/>
        </w:trPr>
        <w:tc>
          <w:tcPr>
            <w:tcW w:type="dxa" w:w="700"/>
            <w:tcMar>
              <w:top w:w="90" w:type="dxa"/>
              <w:start w:w="120" w:type="dxa"/>
              <w:bottom w:w="90" w:type="dxa"/>
              <w:end w:w="120" w:type="dxa"/>
            </w:tcMar>
            <w:vAlign w:val="center"/>
          </w:tcPr>
          <w:p>
            <w:pPr>
              <w:spacing w:after="0" w:line="252" w:lineRule="auto"/>
            </w:pPr>
            <w:r/>
            <w:r>
              <w:rPr>
                <w:rFonts w:ascii="Aptos" w:hAnsi="Aptos"/>
                <w:b w:val="0"/>
                <w:color w:val="282938"/>
                <w:sz w:val="19"/>
              </w:rPr>
              <w:t>☐</w:t>
            </w:r>
          </w:p>
        </w:tc>
        <w:tc>
          <w:tcPr>
            <w:tcW w:type="dxa" w:w="8660"/>
            <w:tcMar>
              <w:top w:w="90" w:type="dxa"/>
              <w:start w:w="120" w:type="dxa"/>
              <w:bottom w:w="90" w:type="dxa"/>
              <w:end w:w="120" w:type="dxa"/>
            </w:tcMar>
            <w:vAlign w:val="center"/>
          </w:tcPr>
          <w:p>
            <w:pPr>
              <w:spacing w:after="0" w:line="252" w:lineRule="auto"/>
            </w:pPr>
            <w:r/>
            <w:r>
              <w:rPr>
                <w:rFonts w:ascii="Aptos" w:hAnsi="Aptos"/>
                <w:b w:val="0"/>
                <w:color w:val="282938"/>
                <w:sz w:val="19"/>
              </w:rPr>
              <w:t>Are all 97 Rev. 3 requirements assigned to accountable owners?</w:t>
            </w:r>
          </w:p>
        </w:tc>
      </w:tr>
      <w:tr>
        <w:trPr>
          <w:cantSplit/>
        </w:trPr>
        <w:tc>
          <w:tcPr>
            <w:tcW w:type="dxa" w:w="7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w:t>
            </w:r>
          </w:p>
        </w:tc>
        <w:tc>
          <w:tcPr>
            <w:tcW w:type="dxa" w:w="86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Have all 19 new requirements been assessed?</w:t>
            </w:r>
          </w:p>
        </w:tc>
      </w:tr>
      <w:tr>
        <w:trPr>
          <w:cantSplit/>
        </w:trPr>
        <w:tc>
          <w:tcPr>
            <w:tcW w:type="dxa" w:w="700"/>
            <w:tcMar>
              <w:top w:w="90" w:type="dxa"/>
              <w:start w:w="120" w:type="dxa"/>
              <w:bottom w:w="90" w:type="dxa"/>
              <w:end w:w="120" w:type="dxa"/>
            </w:tcMar>
            <w:vAlign w:val="center"/>
          </w:tcPr>
          <w:p>
            <w:pPr>
              <w:spacing w:after="0" w:line="252" w:lineRule="auto"/>
            </w:pPr>
            <w:r/>
            <w:r>
              <w:rPr>
                <w:rFonts w:ascii="Aptos" w:hAnsi="Aptos"/>
                <w:b w:val="0"/>
                <w:color w:val="282938"/>
                <w:sz w:val="19"/>
              </w:rPr>
              <w:t>☐</w:t>
            </w:r>
          </w:p>
        </w:tc>
        <w:tc>
          <w:tcPr>
            <w:tcW w:type="dxa" w:w="8660"/>
            <w:tcMar>
              <w:top w:w="90" w:type="dxa"/>
              <w:start w:w="120" w:type="dxa"/>
              <w:bottom w:w="90" w:type="dxa"/>
              <w:end w:w="120" w:type="dxa"/>
            </w:tcMar>
            <w:vAlign w:val="center"/>
          </w:tcPr>
          <w:p>
            <w:pPr>
              <w:spacing w:after="0" w:line="252" w:lineRule="auto"/>
            </w:pPr>
            <w:r/>
            <w:r>
              <w:rPr>
                <w:rFonts w:ascii="Aptos" w:hAnsi="Aptos"/>
                <w:b w:val="0"/>
                <w:color w:val="282938"/>
                <w:sz w:val="19"/>
              </w:rPr>
              <w:t>Are all organization-defined parameters specific, approved, implemented, and testable?</w:t>
            </w:r>
          </w:p>
        </w:tc>
      </w:tr>
      <w:tr>
        <w:trPr>
          <w:cantSplit/>
        </w:trPr>
        <w:tc>
          <w:tcPr>
            <w:tcW w:type="dxa" w:w="7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w:t>
            </w:r>
          </w:p>
        </w:tc>
        <w:tc>
          <w:tcPr>
            <w:tcW w:type="dxa" w:w="86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Does evidence cover every in-scope site, system, user population, and service?</w:t>
            </w:r>
          </w:p>
        </w:tc>
      </w:tr>
      <w:tr>
        <w:trPr>
          <w:cantSplit/>
        </w:trPr>
        <w:tc>
          <w:tcPr>
            <w:tcW w:type="dxa" w:w="700"/>
            <w:tcMar>
              <w:top w:w="90" w:type="dxa"/>
              <w:start w:w="120" w:type="dxa"/>
              <w:bottom w:w="90" w:type="dxa"/>
              <w:end w:w="120" w:type="dxa"/>
            </w:tcMar>
            <w:vAlign w:val="center"/>
          </w:tcPr>
          <w:p>
            <w:pPr>
              <w:spacing w:after="0" w:line="252" w:lineRule="auto"/>
            </w:pPr>
            <w:r/>
            <w:r>
              <w:rPr>
                <w:rFonts w:ascii="Aptos" w:hAnsi="Aptos"/>
                <w:b w:val="0"/>
                <w:color w:val="282938"/>
                <w:sz w:val="19"/>
              </w:rPr>
              <w:t>☐</w:t>
            </w:r>
          </w:p>
        </w:tc>
        <w:tc>
          <w:tcPr>
            <w:tcW w:type="dxa" w:w="8660"/>
            <w:tcMar>
              <w:top w:w="90" w:type="dxa"/>
              <w:start w:w="120" w:type="dxa"/>
              <w:bottom w:w="90" w:type="dxa"/>
              <w:end w:w="120" w:type="dxa"/>
            </w:tcMar>
            <w:vAlign w:val="center"/>
          </w:tcPr>
          <w:p>
            <w:pPr>
              <w:spacing w:after="0" w:line="252" w:lineRule="auto"/>
            </w:pPr>
            <w:r/>
            <w:r>
              <w:rPr>
                <w:rFonts w:ascii="Aptos" w:hAnsi="Aptos"/>
                <w:b w:val="0"/>
                <w:color w:val="282938"/>
                <w:sz w:val="19"/>
              </w:rPr>
              <w:t>Are inherited and external-service responsibilities documented and supported?</w:t>
            </w:r>
          </w:p>
        </w:tc>
      </w:tr>
      <w:tr>
        <w:trPr>
          <w:cantSplit/>
        </w:trPr>
        <w:tc>
          <w:tcPr>
            <w:tcW w:type="dxa" w:w="7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w:t>
            </w:r>
          </w:p>
        </w:tc>
        <w:tc>
          <w:tcPr>
            <w:tcW w:type="dxa" w:w="86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Are high-impact gaps funded, owned, and tracked to realistic completion dates?</w:t>
            </w:r>
          </w:p>
        </w:tc>
      </w:tr>
      <w:tr>
        <w:trPr>
          <w:cantSplit/>
        </w:trPr>
        <w:tc>
          <w:tcPr>
            <w:tcW w:type="dxa" w:w="700"/>
            <w:tcMar>
              <w:top w:w="90" w:type="dxa"/>
              <w:start w:w="120" w:type="dxa"/>
              <w:bottom w:w="90" w:type="dxa"/>
              <w:end w:w="120" w:type="dxa"/>
            </w:tcMar>
            <w:vAlign w:val="center"/>
          </w:tcPr>
          <w:p>
            <w:pPr>
              <w:spacing w:after="0" w:line="252" w:lineRule="auto"/>
            </w:pPr>
            <w:r/>
            <w:r>
              <w:rPr>
                <w:rFonts w:ascii="Aptos" w:hAnsi="Aptos"/>
                <w:b w:val="0"/>
                <w:color w:val="282938"/>
                <w:sz w:val="19"/>
              </w:rPr>
              <w:t>☐</w:t>
            </w:r>
          </w:p>
        </w:tc>
        <w:tc>
          <w:tcPr>
            <w:tcW w:type="dxa" w:w="8660"/>
            <w:tcMar>
              <w:top w:w="90" w:type="dxa"/>
              <w:start w:w="120" w:type="dxa"/>
              <w:bottom w:w="90" w:type="dxa"/>
              <w:end w:w="120" w:type="dxa"/>
            </w:tcMar>
            <w:vAlign w:val="center"/>
          </w:tcPr>
          <w:p>
            <w:pPr>
              <w:spacing w:after="0" w:line="252" w:lineRule="auto"/>
            </w:pPr>
            <w:r/>
            <w:r>
              <w:rPr>
                <w:rFonts w:ascii="Aptos" w:hAnsi="Aptos"/>
                <w:b w:val="0"/>
                <w:color w:val="282938"/>
                <w:sz w:val="19"/>
              </w:rPr>
              <w:t>Do the SSP, policies, procedures, diagrams, and evidence index use Rev. 3 language and identifiers?</w:t>
            </w:r>
          </w:p>
        </w:tc>
      </w:tr>
    </w:tbl>
    <w:p>
      <w:pPr>
        <w:spacing w:after="20"/>
      </w:pPr>
    </w:p>
    <w:p>
      <w:pPr>
        <w:pStyle w:val="Heading1"/>
      </w:pPr>
      <w:r>
        <w:t>Customer Checklist: 19 New Rev. 3 Requirements</w:t>
      </w:r>
    </w:p>
    <w:p>
      <w:pPr>
        <w:spacing w:after="120" w:line="264" w:lineRule="auto"/>
      </w:pPr>
      <w:r>
        <w:rPr>
          <w:rFonts w:ascii="Aptos" w:hAnsi="Aptos"/>
          <w:b w:val="0"/>
          <w:color w:val="282938"/>
          <w:sz w:val="22"/>
        </w:rPr>
        <w:t>These requirements have no direct Rev. 2 requirement mapping. For each item, confirm the owner, implementation approach, evidence, and testing plan. The checklist is a planning aid; the complete requirement remains the assessment standard.</w:t>
      </w:r>
    </w:p>
    <w:tbl>
      <w:tblPr>
        <w:tblStyle w:val="TableGrid"/>
        <w:tblW w:type="dxa" w:w="9360"/>
        <w:jc w:val="center"/>
        <w:tblLayout w:type="fixed"/>
        <w:tblLook w:firstColumn="1" w:firstRow="1" w:lastColumn="0" w:lastRow="0" w:noHBand="0" w:noVBand="1" w:val="04A0"/>
        <w:tblInd w:w="120" w:type="dxa"/>
      </w:tblPr>
      <w:tblGrid>
        <w:gridCol w:w="450"/>
        <w:gridCol w:w="1050"/>
        <w:gridCol w:w="2600"/>
        <w:gridCol w:w="5260"/>
      </w:tblGrid>
      <w:tr>
        <w:trPr>
          <w:tblHeader w:val="true"/>
        </w:trPr>
        <w:tc>
          <w:tcPr>
            <w:tcW w:type="dxa" w:w="450"/>
            <w:shd w:fill="252B52"/>
            <w:tcMar>
              <w:top w:w="110" w:type="dxa"/>
              <w:start w:w="120" w:type="dxa"/>
              <w:bottom w:w="110" w:type="dxa"/>
              <w:end w:w="120" w:type="dxa"/>
            </w:tcMar>
            <w:vAlign w:val="center"/>
          </w:tcPr>
          <w:p>
            <w:pPr>
              <w:spacing w:after="0"/>
            </w:pPr>
            <w:r/>
            <w:r>
              <w:rPr>
                <w:rFonts w:ascii="Aptos" w:hAnsi="Aptos"/>
                <w:b/>
                <w:color w:val="FFFFFF"/>
                <w:sz w:val="18"/>
              </w:rPr>
            </w:r>
          </w:p>
        </w:tc>
        <w:tc>
          <w:tcPr>
            <w:tcW w:type="dxa" w:w="1050"/>
            <w:shd w:fill="252B52"/>
            <w:tcMar>
              <w:top w:w="110" w:type="dxa"/>
              <w:start w:w="120" w:type="dxa"/>
              <w:bottom w:w="110" w:type="dxa"/>
              <w:end w:w="120" w:type="dxa"/>
            </w:tcMar>
            <w:vAlign w:val="center"/>
          </w:tcPr>
          <w:p>
            <w:pPr>
              <w:spacing w:after="0"/>
            </w:pPr>
            <w:r/>
            <w:r>
              <w:rPr>
                <w:rFonts w:ascii="Aptos" w:hAnsi="Aptos"/>
                <w:b/>
                <w:color w:val="FFFFFF"/>
                <w:sz w:val="18"/>
              </w:rPr>
              <w:t>ID</w:t>
            </w:r>
          </w:p>
        </w:tc>
        <w:tc>
          <w:tcPr>
            <w:tcW w:type="dxa" w:w="2600"/>
            <w:shd w:fill="252B52"/>
            <w:tcMar>
              <w:top w:w="110" w:type="dxa"/>
              <w:start w:w="120" w:type="dxa"/>
              <w:bottom w:w="110" w:type="dxa"/>
              <w:end w:w="120" w:type="dxa"/>
            </w:tcMar>
            <w:vAlign w:val="center"/>
          </w:tcPr>
          <w:p>
            <w:pPr>
              <w:spacing w:after="0"/>
            </w:pPr>
            <w:r/>
            <w:r>
              <w:rPr>
                <w:rFonts w:ascii="Aptos" w:hAnsi="Aptos"/>
                <w:b/>
                <w:color w:val="FFFFFF"/>
                <w:sz w:val="18"/>
              </w:rPr>
              <w:t>Requirement</w:t>
            </w:r>
          </w:p>
        </w:tc>
        <w:tc>
          <w:tcPr>
            <w:tcW w:type="dxa" w:w="5260"/>
            <w:shd w:fill="252B52"/>
            <w:tcMar>
              <w:top w:w="110" w:type="dxa"/>
              <w:start w:w="120" w:type="dxa"/>
              <w:bottom w:w="110" w:type="dxa"/>
              <w:end w:w="120" w:type="dxa"/>
            </w:tcMar>
            <w:vAlign w:val="center"/>
          </w:tcPr>
          <w:p>
            <w:pPr>
              <w:spacing w:after="0"/>
            </w:pPr>
            <w:r/>
            <w:r>
              <w:rPr>
                <w:rFonts w:ascii="Aptos" w:hAnsi="Aptos"/>
                <w:b/>
                <w:color w:val="FFFFFF"/>
                <w:sz w:val="18"/>
              </w:rPr>
              <w:t>What Your Organization Needs to Do</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03.04.10</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System Component Inventory</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Maintain a supported system component inventory that includes ownership, location, version, and configuration data.</w:t>
            </w:r>
          </w:p>
        </w:tc>
      </w:tr>
      <w:tr>
        <w:trPr>
          <w:cantSplit/>
        </w:trPr>
        <w:tc>
          <w:tcPr>
            <w:tcW w:type="dxa" w:w="450"/>
            <w:tcMar>
              <w:top w:w="90" w:type="dxa"/>
              <w:start w:w="120" w:type="dxa"/>
              <w:bottom w:w="90" w:type="dxa"/>
              <w:end w:w="120" w:type="dxa"/>
            </w:tcMar>
            <w:vAlign w:val="center"/>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tcPr>
          <w:p>
            <w:pPr>
              <w:spacing w:after="0" w:line="252" w:lineRule="auto"/>
            </w:pPr>
            <w:r/>
            <w:r>
              <w:rPr>
                <w:rFonts w:ascii="Aptos" w:hAnsi="Aptos"/>
                <w:b w:val="0"/>
                <w:color w:val="282938"/>
                <w:sz w:val="17"/>
              </w:rPr>
              <w:t>03.04.11</w:t>
            </w:r>
          </w:p>
        </w:tc>
        <w:tc>
          <w:tcPr>
            <w:tcW w:type="dxa" w:w="2600"/>
            <w:tcMar>
              <w:top w:w="90" w:type="dxa"/>
              <w:start w:w="120" w:type="dxa"/>
              <w:bottom w:w="90" w:type="dxa"/>
              <w:end w:w="120" w:type="dxa"/>
            </w:tcMar>
            <w:vAlign w:val="center"/>
          </w:tcPr>
          <w:p>
            <w:pPr>
              <w:spacing w:after="0" w:line="252" w:lineRule="auto"/>
            </w:pPr>
            <w:r/>
            <w:r>
              <w:rPr>
                <w:rFonts w:ascii="Aptos" w:hAnsi="Aptos"/>
                <w:b w:val="0"/>
                <w:color w:val="282938"/>
                <w:sz w:val="17"/>
              </w:rPr>
              <w:t>Information Location</w:t>
            </w:r>
          </w:p>
        </w:tc>
        <w:tc>
          <w:tcPr>
            <w:tcW w:type="dxa" w:w="5260"/>
            <w:tcMar>
              <w:top w:w="90" w:type="dxa"/>
              <w:start w:w="120" w:type="dxa"/>
              <w:bottom w:w="90" w:type="dxa"/>
              <w:end w:w="120" w:type="dxa"/>
            </w:tcMar>
            <w:vAlign w:val="center"/>
          </w:tcPr>
          <w:p>
            <w:pPr>
              <w:spacing w:after="0" w:line="252" w:lineRule="auto"/>
            </w:pPr>
            <w:r/>
            <w:r>
              <w:rPr>
                <w:rFonts w:ascii="Aptos" w:hAnsi="Aptos"/>
                <w:b w:val="0"/>
                <w:color w:val="282938"/>
                <w:sz w:val="17"/>
              </w:rPr>
              <w:t>Assign an owner and assess the complete Rev. 3 outcome.</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03.04.12</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System and Component Configuration for High-Risk Areas</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Assign an owner and assess the complete Rev. 3 outcome.</w:t>
            </w:r>
          </w:p>
        </w:tc>
      </w:tr>
      <w:tr>
        <w:trPr>
          <w:cantSplit/>
        </w:trPr>
        <w:tc>
          <w:tcPr>
            <w:tcW w:type="dxa" w:w="450"/>
            <w:tcMar>
              <w:top w:w="90" w:type="dxa"/>
              <w:start w:w="120" w:type="dxa"/>
              <w:bottom w:w="90" w:type="dxa"/>
              <w:end w:w="120" w:type="dxa"/>
            </w:tcMar>
            <w:vAlign w:val="center"/>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tcPr>
          <w:p>
            <w:pPr>
              <w:spacing w:after="0" w:line="252" w:lineRule="auto"/>
            </w:pPr>
            <w:r/>
            <w:r>
              <w:rPr>
                <w:rFonts w:ascii="Aptos" w:hAnsi="Aptos"/>
                <w:b w:val="0"/>
                <w:color w:val="282938"/>
                <w:sz w:val="17"/>
              </w:rPr>
              <w:t>03.05.12</w:t>
            </w:r>
          </w:p>
        </w:tc>
        <w:tc>
          <w:tcPr>
            <w:tcW w:type="dxa" w:w="2600"/>
            <w:tcMar>
              <w:top w:w="90" w:type="dxa"/>
              <w:start w:w="120" w:type="dxa"/>
              <w:bottom w:w="90" w:type="dxa"/>
              <w:end w:w="120" w:type="dxa"/>
            </w:tcMar>
            <w:vAlign w:val="center"/>
          </w:tcPr>
          <w:p>
            <w:pPr>
              <w:spacing w:after="0" w:line="252" w:lineRule="auto"/>
            </w:pPr>
            <w:r/>
            <w:r>
              <w:rPr>
                <w:rFonts w:ascii="Aptos" w:hAnsi="Aptos"/>
                <w:b w:val="0"/>
                <w:color w:val="282938"/>
                <w:sz w:val="17"/>
              </w:rPr>
              <w:t>Authenticator Management</w:t>
            </w:r>
          </w:p>
        </w:tc>
        <w:tc>
          <w:tcPr>
            <w:tcW w:type="dxa" w:w="5260"/>
            <w:tcMar>
              <w:top w:w="90" w:type="dxa"/>
              <w:start w:w="120" w:type="dxa"/>
              <w:bottom w:w="90" w:type="dxa"/>
              <w:end w:w="120" w:type="dxa"/>
            </w:tcMar>
            <w:vAlign w:val="center"/>
          </w:tcPr>
          <w:p>
            <w:pPr>
              <w:spacing w:after="0" w:line="252" w:lineRule="auto"/>
            </w:pPr>
            <w:r/>
            <w:r>
              <w:rPr>
                <w:rFonts w:ascii="Aptos" w:hAnsi="Aptos"/>
                <w:b w:val="0"/>
                <w:color w:val="282938"/>
                <w:sz w:val="17"/>
              </w:rPr>
              <w:t>Define authenticator-management rules for issuance, replacement, protection, revocation, and disposal.</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03.06.04</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Incident Response Training</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Establish an incident-response testing program and retain evidence that tests and lessons learned occur.</w:t>
            </w:r>
          </w:p>
        </w:tc>
      </w:tr>
      <w:tr>
        <w:trPr>
          <w:cantSplit/>
        </w:trPr>
        <w:tc>
          <w:tcPr>
            <w:tcW w:type="dxa" w:w="450"/>
            <w:tcMar>
              <w:top w:w="90" w:type="dxa"/>
              <w:start w:w="120" w:type="dxa"/>
              <w:bottom w:w="90" w:type="dxa"/>
              <w:end w:w="120" w:type="dxa"/>
            </w:tcMar>
            <w:vAlign w:val="center"/>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tcPr>
          <w:p>
            <w:pPr>
              <w:spacing w:after="0" w:line="252" w:lineRule="auto"/>
            </w:pPr>
            <w:r/>
            <w:r>
              <w:rPr>
                <w:rFonts w:ascii="Aptos" w:hAnsi="Aptos"/>
                <w:b w:val="0"/>
                <w:color w:val="282938"/>
                <w:sz w:val="17"/>
              </w:rPr>
              <w:t>03.06.05</w:t>
            </w:r>
          </w:p>
        </w:tc>
        <w:tc>
          <w:tcPr>
            <w:tcW w:type="dxa" w:w="2600"/>
            <w:tcMar>
              <w:top w:w="90" w:type="dxa"/>
              <w:start w:w="120" w:type="dxa"/>
              <w:bottom w:w="90" w:type="dxa"/>
              <w:end w:w="120" w:type="dxa"/>
            </w:tcMar>
            <w:vAlign w:val="center"/>
          </w:tcPr>
          <w:p>
            <w:pPr>
              <w:spacing w:after="0" w:line="252" w:lineRule="auto"/>
            </w:pPr>
            <w:r/>
            <w:r>
              <w:rPr>
                <w:rFonts w:ascii="Aptos" w:hAnsi="Aptos"/>
                <w:b w:val="0"/>
                <w:color w:val="282938"/>
                <w:sz w:val="17"/>
              </w:rPr>
              <w:t>Incident Response Plan</w:t>
            </w:r>
          </w:p>
        </w:tc>
        <w:tc>
          <w:tcPr>
            <w:tcW w:type="dxa" w:w="5260"/>
            <w:tcMar>
              <w:top w:w="90" w:type="dxa"/>
              <w:start w:w="120" w:type="dxa"/>
              <w:bottom w:w="90" w:type="dxa"/>
              <w:end w:w="120" w:type="dxa"/>
            </w:tcMar>
            <w:vAlign w:val="center"/>
          </w:tcPr>
          <w:p>
            <w:pPr>
              <w:spacing w:after="0" w:line="252" w:lineRule="auto"/>
            </w:pPr>
            <w:r/>
            <w:r>
              <w:rPr>
                <w:rFonts w:ascii="Aptos" w:hAnsi="Aptos"/>
                <w:b w:val="0"/>
                <w:color w:val="282938"/>
                <w:sz w:val="17"/>
              </w:rPr>
              <w:t>Assign an owner and assess the complete Rev. 3 outcome.</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03.10.07</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Physical Access Control</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Define physical access controls for alternate work sites and confirm users understand their responsibilities.</w:t>
            </w:r>
          </w:p>
        </w:tc>
      </w:tr>
      <w:tr>
        <w:trPr>
          <w:cantSplit/>
        </w:trPr>
        <w:tc>
          <w:tcPr>
            <w:tcW w:type="dxa" w:w="450"/>
            <w:tcMar>
              <w:top w:w="90" w:type="dxa"/>
              <w:start w:w="120" w:type="dxa"/>
              <w:bottom w:w="90" w:type="dxa"/>
              <w:end w:w="120" w:type="dxa"/>
            </w:tcMar>
            <w:vAlign w:val="center"/>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tcPr>
          <w:p>
            <w:pPr>
              <w:spacing w:after="0" w:line="252" w:lineRule="auto"/>
            </w:pPr>
            <w:r/>
            <w:r>
              <w:rPr>
                <w:rFonts w:ascii="Aptos" w:hAnsi="Aptos"/>
                <w:b w:val="0"/>
                <w:color w:val="282938"/>
                <w:sz w:val="17"/>
              </w:rPr>
              <w:t>03.10.08</w:t>
            </w:r>
          </w:p>
        </w:tc>
        <w:tc>
          <w:tcPr>
            <w:tcW w:type="dxa" w:w="2600"/>
            <w:tcMar>
              <w:top w:w="90" w:type="dxa"/>
              <w:start w:w="120" w:type="dxa"/>
              <w:bottom w:w="90" w:type="dxa"/>
              <w:end w:w="120" w:type="dxa"/>
            </w:tcMar>
            <w:vAlign w:val="center"/>
          </w:tcPr>
          <w:p>
            <w:pPr>
              <w:spacing w:after="0" w:line="252" w:lineRule="auto"/>
            </w:pPr>
            <w:r/>
            <w:r>
              <w:rPr>
                <w:rFonts w:ascii="Aptos" w:hAnsi="Aptos"/>
                <w:b w:val="0"/>
                <w:color w:val="282938"/>
                <w:sz w:val="17"/>
              </w:rPr>
              <w:t xml:space="preserve">Access Control for Transmission  </w:t>
            </w:r>
          </w:p>
        </w:tc>
        <w:tc>
          <w:tcPr>
            <w:tcW w:type="dxa" w:w="5260"/>
            <w:tcMar>
              <w:top w:w="90" w:type="dxa"/>
              <w:start w:w="120" w:type="dxa"/>
              <w:bottom w:w="90" w:type="dxa"/>
              <w:end w:w="120" w:type="dxa"/>
            </w:tcMar>
            <w:vAlign w:val="center"/>
          </w:tcPr>
          <w:p>
            <w:pPr>
              <w:spacing w:after="0" w:line="252" w:lineRule="auto"/>
            </w:pPr>
            <w:r/>
            <w:r>
              <w:rPr>
                <w:rFonts w:ascii="Aptos" w:hAnsi="Aptos"/>
                <w:b w:val="0"/>
                <w:color w:val="282938"/>
                <w:sz w:val="17"/>
              </w:rPr>
              <w:t>Assign an owner and assess the complete Rev. 3 outcome.</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03.11.04</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Risk Response</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Assign an owner and assess the complete Rev. 3 outcome.</w:t>
            </w:r>
          </w:p>
        </w:tc>
      </w:tr>
      <w:tr>
        <w:trPr>
          <w:cantSplit/>
        </w:trPr>
        <w:tc>
          <w:tcPr>
            <w:tcW w:type="dxa" w:w="450"/>
            <w:tcMar>
              <w:top w:w="90" w:type="dxa"/>
              <w:start w:w="120" w:type="dxa"/>
              <w:bottom w:w="90" w:type="dxa"/>
              <w:end w:w="120" w:type="dxa"/>
            </w:tcMar>
            <w:vAlign w:val="center"/>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tcPr>
          <w:p>
            <w:pPr>
              <w:spacing w:after="0" w:line="252" w:lineRule="auto"/>
            </w:pPr>
            <w:r/>
            <w:r>
              <w:rPr>
                <w:rFonts w:ascii="Aptos" w:hAnsi="Aptos"/>
                <w:b w:val="0"/>
                <w:color w:val="282938"/>
                <w:sz w:val="17"/>
              </w:rPr>
              <w:t>03.12.05</w:t>
            </w:r>
          </w:p>
        </w:tc>
        <w:tc>
          <w:tcPr>
            <w:tcW w:type="dxa" w:w="2600"/>
            <w:tcMar>
              <w:top w:w="90" w:type="dxa"/>
              <w:start w:w="120" w:type="dxa"/>
              <w:bottom w:w="90" w:type="dxa"/>
              <w:end w:w="120" w:type="dxa"/>
            </w:tcMar>
            <w:vAlign w:val="center"/>
          </w:tcPr>
          <w:p>
            <w:pPr>
              <w:spacing w:after="0" w:line="252" w:lineRule="auto"/>
            </w:pPr>
            <w:r/>
            <w:r>
              <w:rPr>
                <w:rFonts w:ascii="Aptos" w:hAnsi="Aptos"/>
                <w:b w:val="0"/>
                <w:color w:val="282938"/>
                <w:sz w:val="17"/>
              </w:rPr>
              <w:t>Information Exchange</w:t>
            </w:r>
          </w:p>
        </w:tc>
        <w:tc>
          <w:tcPr>
            <w:tcW w:type="dxa" w:w="5260"/>
            <w:tcMar>
              <w:top w:w="90" w:type="dxa"/>
              <w:start w:w="120" w:type="dxa"/>
              <w:bottom w:w="90" w:type="dxa"/>
              <w:end w:w="120" w:type="dxa"/>
            </w:tcMar>
            <w:vAlign w:val="center"/>
          </w:tcPr>
          <w:p>
            <w:pPr>
              <w:spacing w:after="0" w:line="252" w:lineRule="auto"/>
            </w:pPr>
            <w:r/>
            <w:r>
              <w:rPr>
                <w:rFonts w:ascii="Aptos" w:hAnsi="Aptos"/>
                <w:b w:val="0"/>
                <w:color w:val="282938"/>
                <w:sz w:val="17"/>
              </w:rPr>
              <w:t>Create a plan of action and milestones process that records, owns, prioritizes, and tracks security weaknesses.</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03.14.08</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Information Management and Retention</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Assign an owner and assess the complete Rev. 3 outcome.</w:t>
            </w:r>
          </w:p>
        </w:tc>
      </w:tr>
      <w:tr>
        <w:trPr>
          <w:cantSplit/>
        </w:trPr>
        <w:tc>
          <w:tcPr>
            <w:tcW w:type="dxa" w:w="450"/>
            <w:tcMar>
              <w:top w:w="90" w:type="dxa"/>
              <w:start w:w="120" w:type="dxa"/>
              <w:bottom w:w="90" w:type="dxa"/>
              <w:end w:w="120" w:type="dxa"/>
            </w:tcMar>
            <w:vAlign w:val="center"/>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tcPr>
          <w:p>
            <w:pPr>
              <w:spacing w:after="0" w:line="252" w:lineRule="auto"/>
            </w:pPr>
            <w:r/>
            <w:r>
              <w:rPr>
                <w:rFonts w:ascii="Aptos" w:hAnsi="Aptos"/>
                <w:b w:val="0"/>
                <w:color w:val="282938"/>
                <w:sz w:val="17"/>
              </w:rPr>
              <w:t>03.15.01</w:t>
            </w:r>
          </w:p>
        </w:tc>
        <w:tc>
          <w:tcPr>
            <w:tcW w:type="dxa" w:w="2600"/>
            <w:tcMar>
              <w:top w:w="90" w:type="dxa"/>
              <w:start w:w="120" w:type="dxa"/>
              <w:bottom w:w="90" w:type="dxa"/>
              <w:end w:w="120" w:type="dxa"/>
            </w:tcMar>
            <w:vAlign w:val="center"/>
          </w:tcPr>
          <w:p>
            <w:pPr>
              <w:spacing w:after="0" w:line="252" w:lineRule="auto"/>
            </w:pPr>
            <w:r/>
            <w:r>
              <w:rPr>
                <w:rFonts w:ascii="Aptos" w:hAnsi="Aptos"/>
                <w:b w:val="0"/>
                <w:color w:val="282938"/>
                <w:sz w:val="17"/>
              </w:rPr>
              <w:t>Policy and Procedures</w:t>
            </w:r>
          </w:p>
        </w:tc>
        <w:tc>
          <w:tcPr>
            <w:tcW w:type="dxa" w:w="5260"/>
            <w:tcMar>
              <w:top w:w="90" w:type="dxa"/>
              <w:start w:w="120" w:type="dxa"/>
              <w:bottom w:w="90" w:type="dxa"/>
              <w:end w:w="120" w:type="dxa"/>
            </w:tcMar>
            <w:vAlign w:val="center"/>
          </w:tcPr>
          <w:p>
            <w:pPr>
              <w:spacing w:after="0" w:line="252" w:lineRule="auto"/>
            </w:pPr>
            <w:r/>
            <w:r>
              <w:rPr>
                <w:rFonts w:ascii="Aptos" w:hAnsi="Aptos"/>
                <w:b w:val="0"/>
                <w:color w:val="282938"/>
                <w:sz w:val="17"/>
              </w:rPr>
              <w:t>Create and periodically update security policies and procedures for each Rev. 3 requirement family.</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03.15.03</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Rules of Behavior</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Issue rules of behavior for users with access to CUI systems and retain acknowledgments.</w:t>
            </w:r>
          </w:p>
        </w:tc>
      </w:tr>
      <w:tr>
        <w:trPr>
          <w:cantSplit/>
        </w:trPr>
        <w:tc>
          <w:tcPr>
            <w:tcW w:type="dxa" w:w="450"/>
            <w:tcMar>
              <w:top w:w="90" w:type="dxa"/>
              <w:start w:w="120" w:type="dxa"/>
              <w:bottom w:w="90" w:type="dxa"/>
              <w:end w:w="120" w:type="dxa"/>
            </w:tcMar>
            <w:vAlign w:val="center"/>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tcPr>
          <w:p>
            <w:pPr>
              <w:spacing w:after="0" w:line="252" w:lineRule="auto"/>
            </w:pPr>
            <w:r/>
            <w:r>
              <w:rPr>
                <w:rFonts w:ascii="Aptos" w:hAnsi="Aptos"/>
                <w:b w:val="0"/>
                <w:color w:val="282938"/>
                <w:sz w:val="17"/>
              </w:rPr>
              <w:t>03.16.01</w:t>
            </w:r>
          </w:p>
        </w:tc>
        <w:tc>
          <w:tcPr>
            <w:tcW w:type="dxa" w:w="2600"/>
            <w:tcMar>
              <w:top w:w="90" w:type="dxa"/>
              <w:start w:w="120" w:type="dxa"/>
              <w:bottom w:w="90" w:type="dxa"/>
              <w:end w:w="120" w:type="dxa"/>
            </w:tcMar>
            <w:vAlign w:val="center"/>
          </w:tcPr>
          <w:p>
            <w:pPr>
              <w:spacing w:after="0" w:line="252" w:lineRule="auto"/>
            </w:pPr>
            <w:r/>
            <w:r>
              <w:rPr>
                <w:rFonts w:ascii="Aptos" w:hAnsi="Aptos"/>
                <w:b w:val="0"/>
                <w:color w:val="282938"/>
                <w:sz w:val="17"/>
              </w:rPr>
              <w:t>Security Engineering Principles</w:t>
            </w:r>
          </w:p>
        </w:tc>
        <w:tc>
          <w:tcPr>
            <w:tcW w:type="dxa" w:w="5260"/>
            <w:tcMar>
              <w:top w:w="90" w:type="dxa"/>
              <w:start w:w="120" w:type="dxa"/>
              <w:bottom w:w="90" w:type="dxa"/>
              <w:end w:w="120" w:type="dxa"/>
            </w:tcMar>
            <w:vAlign w:val="center"/>
          </w:tcPr>
          <w:p>
            <w:pPr>
              <w:spacing w:after="0" w:line="252" w:lineRule="auto"/>
            </w:pPr>
            <w:r/>
            <w:r>
              <w:rPr>
                <w:rFonts w:ascii="Aptos" w:hAnsi="Aptos"/>
                <w:b w:val="0"/>
                <w:color w:val="282938"/>
                <w:sz w:val="17"/>
              </w:rPr>
              <w:t>Document the security engineering principles used when designing, changing, and operating CUI systems.</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03.16.02</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Unsupported System Components</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Manage security requirements for system development and acquisition, including supplier and contract language.</w:t>
            </w:r>
          </w:p>
        </w:tc>
      </w:tr>
      <w:tr>
        <w:trPr>
          <w:cantSplit/>
        </w:trPr>
        <w:tc>
          <w:tcPr>
            <w:tcW w:type="dxa" w:w="450"/>
            <w:tcMar>
              <w:top w:w="90" w:type="dxa"/>
              <w:start w:w="120" w:type="dxa"/>
              <w:bottom w:w="90" w:type="dxa"/>
              <w:end w:w="120" w:type="dxa"/>
            </w:tcMar>
            <w:vAlign w:val="center"/>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tcPr>
          <w:p>
            <w:pPr>
              <w:spacing w:after="0" w:line="252" w:lineRule="auto"/>
            </w:pPr>
            <w:r/>
            <w:r>
              <w:rPr>
                <w:rFonts w:ascii="Aptos" w:hAnsi="Aptos"/>
                <w:b w:val="0"/>
                <w:color w:val="282938"/>
                <w:sz w:val="17"/>
              </w:rPr>
              <w:t>03.16.03</w:t>
            </w:r>
          </w:p>
        </w:tc>
        <w:tc>
          <w:tcPr>
            <w:tcW w:type="dxa" w:w="2600"/>
            <w:tcMar>
              <w:top w:w="90" w:type="dxa"/>
              <w:start w:w="120" w:type="dxa"/>
              <w:bottom w:w="90" w:type="dxa"/>
              <w:end w:w="120" w:type="dxa"/>
            </w:tcMar>
            <w:vAlign w:val="center"/>
          </w:tcPr>
          <w:p>
            <w:pPr>
              <w:spacing w:after="0" w:line="252" w:lineRule="auto"/>
            </w:pPr>
            <w:r/>
            <w:r>
              <w:rPr>
                <w:rFonts w:ascii="Aptos" w:hAnsi="Aptos"/>
                <w:b w:val="0"/>
                <w:color w:val="282938"/>
                <w:sz w:val="17"/>
              </w:rPr>
              <w:t>External System Services</w:t>
            </w:r>
          </w:p>
        </w:tc>
        <w:tc>
          <w:tcPr>
            <w:tcW w:type="dxa" w:w="5260"/>
            <w:tcMar>
              <w:top w:w="90" w:type="dxa"/>
              <w:start w:w="120" w:type="dxa"/>
              <w:bottom w:w="90" w:type="dxa"/>
              <w:end w:w="120" w:type="dxa"/>
            </w:tcMar>
            <w:vAlign w:val="center"/>
          </w:tcPr>
          <w:p>
            <w:pPr>
              <w:spacing w:after="0" w:line="252" w:lineRule="auto"/>
            </w:pPr>
            <w:r/>
            <w:r>
              <w:rPr>
                <w:rFonts w:ascii="Aptos" w:hAnsi="Aptos"/>
                <w:b w:val="0"/>
                <w:color w:val="282938"/>
                <w:sz w:val="17"/>
              </w:rPr>
              <w:t>Identify external system services, define required protections, and obtain evidence that providers meet them.</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03.17.01</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Supply Chain Risk Management Plan</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Develop and periodically update a supply chain risk management plan for the CUI environment.</w:t>
            </w:r>
          </w:p>
        </w:tc>
      </w:tr>
      <w:tr>
        <w:trPr>
          <w:cantSplit/>
        </w:trPr>
        <w:tc>
          <w:tcPr>
            <w:tcW w:type="dxa" w:w="450"/>
            <w:tcMar>
              <w:top w:w="90" w:type="dxa"/>
              <w:start w:w="120" w:type="dxa"/>
              <w:bottom w:w="90" w:type="dxa"/>
              <w:end w:w="120" w:type="dxa"/>
            </w:tcMar>
            <w:vAlign w:val="center"/>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tcPr>
          <w:p>
            <w:pPr>
              <w:spacing w:after="0" w:line="252" w:lineRule="auto"/>
            </w:pPr>
            <w:r/>
            <w:r>
              <w:rPr>
                <w:rFonts w:ascii="Aptos" w:hAnsi="Aptos"/>
                <w:b w:val="0"/>
                <w:color w:val="282938"/>
                <w:sz w:val="17"/>
              </w:rPr>
              <w:t>03.17.02</w:t>
            </w:r>
          </w:p>
        </w:tc>
        <w:tc>
          <w:tcPr>
            <w:tcW w:type="dxa" w:w="2600"/>
            <w:tcMar>
              <w:top w:w="90" w:type="dxa"/>
              <w:start w:w="120" w:type="dxa"/>
              <w:bottom w:w="90" w:type="dxa"/>
              <w:end w:w="120" w:type="dxa"/>
            </w:tcMar>
            <w:vAlign w:val="center"/>
          </w:tcPr>
          <w:p>
            <w:pPr>
              <w:spacing w:after="0" w:line="252" w:lineRule="auto"/>
            </w:pPr>
            <w:r/>
            <w:r>
              <w:rPr>
                <w:rFonts w:ascii="Aptos" w:hAnsi="Aptos"/>
                <w:b w:val="0"/>
                <w:color w:val="282938"/>
                <w:sz w:val="17"/>
              </w:rPr>
              <w:t>Acquisition Strategies, Tools, and Methods</w:t>
            </w:r>
          </w:p>
        </w:tc>
        <w:tc>
          <w:tcPr>
            <w:tcW w:type="dxa" w:w="5260"/>
            <w:tcMar>
              <w:top w:w="90" w:type="dxa"/>
              <w:start w:w="120" w:type="dxa"/>
              <w:bottom w:w="90" w:type="dxa"/>
              <w:end w:w="120" w:type="dxa"/>
            </w:tcMar>
            <w:vAlign w:val="center"/>
          </w:tcPr>
          <w:p>
            <w:pPr>
              <w:spacing w:after="0" w:line="252" w:lineRule="auto"/>
            </w:pPr>
            <w:r/>
            <w:r>
              <w:rPr>
                <w:rFonts w:ascii="Aptos" w:hAnsi="Aptos"/>
                <w:b w:val="0"/>
                <w:color w:val="282938"/>
                <w:sz w:val="17"/>
              </w:rPr>
              <w:t>Assign an owner and assess the complete Rev. 3 outcome.</w:t>
            </w:r>
          </w:p>
        </w:tc>
      </w:tr>
      <w:tr>
        <w:trPr>
          <w:cantSplit/>
        </w:trPr>
        <w:tc>
          <w:tcPr>
            <w:tcW w:type="dxa" w:w="4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w:t>
            </w:r>
          </w:p>
        </w:tc>
        <w:tc>
          <w:tcPr>
            <w:tcW w:type="dxa" w:w="105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03.17.03</w:t>
            </w:r>
          </w:p>
        </w:tc>
        <w:tc>
          <w:tcPr>
            <w:tcW w:type="dxa" w:w="260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Supply Chain Requirements and Processes</w:t>
            </w:r>
          </w:p>
        </w:tc>
        <w:tc>
          <w:tcPr>
            <w:tcW w:type="dxa" w:w="5260"/>
            <w:tcMar>
              <w:top w:w="90" w:type="dxa"/>
              <w:start w:w="120" w:type="dxa"/>
              <w:bottom w:w="90" w:type="dxa"/>
              <w:end w:w="120" w:type="dxa"/>
            </w:tcMar>
            <w:vAlign w:val="center"/>
            <w:shd w:fill="F8F1EE"/>
          </w:tcPr>
          <w:p>
            <w:pPr>
              <w:spacing w:after="0" w:line="252" w:lineRule="auto"/>
            </w:pPr>
            <w:r/>
            <w:r>
              <w:rPr>
                <w:rFonts w:ascii="Aptos" w:hAnsi="Aptos"/>
                <w:b w:val="0"/>
                <w:color w:val="282938"/>
                <w:sz w:val="17"/>
              </w:rPr>
              <w:t>Define and enforce supply chain security requirements for products, services, and suppliers.</w:t>
            </w:r>
          </w:p>
        </w:tc>
      </w:tr>
    </w:tbl>
    <w:p>
      <w:pPr>
        <w:spacing w:after="20"/>
      </w:pPr>
    </w:p>
    <w:p>
      <w:pPr>
        <w:pStyle w:val="Heading1"/>
      </w:pPr>
      <w:r>
        <w:t>Customer Checklist: Organization-Defined Parameters</w:t>
      </w:r>
    </w:p>
    <w:p>
      <w:pPr>
        <w:spacing w:after="120" w:line="264" w:lineRule="auto"/>
      </w:pPr>
      <w:r>
        <w:rPr>
          <w:rFonts w:ascii="Aptos" w:hAnsi="Aptos"/>
          <w:b w:val="0"/>
          <w:color w:val="282938"/>
          <w:sz w:val="22"/>
        </w:rPr>
        <w:t>Rev. 3 uses organization-defined parameters (ODPs) so that security requirements can reflect the organization and its risk. An ODP is not satisfied by writing “TBD,” “as needed,” or “periodically.” The selected value must be approved, implemented, and supported by evidence.</w:t>
      </w:r>
    </w:p>
    <w:tbl>
      <w:tblPr>
        <w:tblW w:type="dxa" w:w="9360"/>
        <w:jc w:val="center"/>
        <w:tblLayout w:type="fixed"/>
        <w:tblLook w:firstColumn="1" w:firstRow="1" w:lastColumn="0" w:lastRow="0" w:noHBand="0" w:noVBand="1" w:val="04A0"/>
        <w:tblInd w:w="120" w:type="dxa"/>
      </w:tblPr>
      <w:tblGrid>
        <w:gridCol w:w="9360"/>
      </w:tblGrid>
      <w:tr>
        <w:tc>
          <w:tcPr>
            <w:tcW w:type="dxa" w:w="9360"/>
            <w:shd w:fill="ECEEF7"/>
            <w:tcMar>
              <w:top w:w="150" w:type="dxa"/>
              <w:start w:w="180" w:type="dxa"/>
              <w:bottom w:w="150" w:type="dxa"/>
              <w:end w:w="180" w:type="dxa"/>
            </w:tcMar>
          </w:tcPr>
          <w:p>
            <w:pPr>
              <w:spacing w:after="0"/>
            </w:pPr>
            <w:r>
              <w:rPr>
                <w:rFonts w:ascii="Aptos" w:hAnsi="Aptos"/>
                <w:b/>
                <w:color w:val="252B52"/>
                <w:sz w:val="21"/>
              </w:rPr>
              <w:t xml:space="preserve">For every ODP, document five things: </w:t>
            </w:r>
            <w:r>
              <w:rPr>
                <w:rFonts w:ascii="Aptos" w:hAnsi="Aptos"/>
                <w:b w:val="0"/>
                <w:color w:val="282938"/>
                <w:sz w:val="21"/>
              </w:rPr>
              <w:t>the exact value or selection; the approving authority; the rationale or source; the implementation owner; and the review date.</w:t>
            </w:r>
          </w:p>
        </w:tc>
      </w:tr>
    </w:tbl>
    <w:p>
      <w:pPr>
        <w:spacing w:after="20"/>
      </w:pPr>
    </w:p>
    <w:tbl>
      <w:tblPr>
        <w:tblStyle w:val="TableGrid"/>
        <w:tblW w:type="dxa" w:w="9360"/>
        <w:jc w:val="center"/>
        <w:tblLayout w:type="fixed"/>
        <w:tblLook w:firstColumn="1" w:firstRow="1" w:lastColumn="0" w:lastRow="0" w:noHBand="0" w:noVBand="1" w:val="04A0"/>
        <w:tblInd w:w="120" w:type="dxa"/>
      </w:tblPr>
      <w:tblGrid>
        <w:gridCol w:w="400"/>
        <w:gridCol w:w="950"/>
        <w:gridCol w:w="2150"/>
        <w:gridCol w:w="1700"/>
        <w:gridCol w:w="4160"/>
      </w:tblGrid>
      <w:tr>
        <w:trPr>
          <w:tblHeader w:val="true"/>
        </w:trPr>
        <w:tc>
          <w:tcPr>
            <w:tcW w:type="dxa" w:w="400"/>
            <w:shd w:fill="252B52"/>
            <w:tcMar>
              <w:top w:w="110" w:type="dxa"/>
              <w:start w:w="120" w:type="dxa"/>
              <w:bottom w:w="110" w:type="dxa"/>
              <w:end w:w="120" w:type="dxa"/>
            </w:tcMar>
            <w:vAlign w:val="center"/>
          </w:tcPr>
          <w:p>
            <w:pPr>
              <w:spacing w:after="0"/>
            </w:pPr>
            <w:r/>
            <w:r>
              <w:rPr>
                <w:rFonts w:ascii="Aptos" w:hAnsi="Aptos"/>
                <w:b/>
                <w:color w:val="FFFFFF"/>
                <w:sz w:val="17"/>
              </w:rPr>
            </w:r>
          </w:p>
        </w:tc>
        <w:tc>
          <w:tcPr>
            <w:tcW w:type="dxa" w:w="950"/>
            <w:shd w:fill="252B52"/>
            <w:tcMar>
              <w:top w:w="110" w:type="dxa"/>
              <w:start w:w="120" w:type="dxa"/>
              <w:bottom w:w="110" w:type="dxa"/>
              <w:end w:w="120" w:type="dxa"/>
            </w:tcMar>
            <w:vAlign w:val="center"/>
          </w:tcPr>
          <w:p>
            <w:pPr>
              <w:spacing w:after="0"/>
            </w:pPr>
            <w:r/>
            <w:r>
              <w:rPr>
                <w:rFonts w:ascii="Aptos" w:hAnsi="Aptos"/>
                <w:b/>
                <w:color w:val="FFFFFF"/>
                <w:sz w:val="17"/>
              </w:rPr>
              <w:t>Rev. 3 ID</w:t>
            </w:r>
          </w:p>
        </w:tc>
        <w:tc>
          <w:tcPr>
            <w:tcW w:type="dxa" w:w="2150"/>
            <w:shd w:fill="252B52"/>
            <w:tcMar>
              <w:top w:w="110" w:type="dxa"/>
              <w:start w:w="120" w:type="dxa"/>
              <w:bottom w:w="110" w:type="dxa"/>
              <w:end w:w="120" w:type="dxa"/>
            </w:tcMar>
            <w:vAlign w:val="center"/>
          </w:tcPr>
          <w:p>
            <w:pPr>
              <w:spacing w:after="0"/>
            </w:pPr>
            <w:r/>
            <w:r>
              <w:rPr>
                <w:rFonts w:ascii="Aptos" w:hAnsi="Aptos"/>
                <w:b/>
                <w:color w:val="FFFFFF"/>
                <w:sz w:val="17"/>
              </w:rPr>
              <w:t>Requirement</w:t>
            </w:r>
          </w:p>
        </w:tc>
        <w:tc>
          <w:tcPr>
            <w:tcW w:type="dxa" w:w="1700"/>
            <w:shd w:fill="252B52"/>
            <w:tcMar>
              <w:top w:w="110" w:type="dxa"/>
              <w:start w:w="120" w:type="dxa"/>
              <w:bottom w:w="110" w:type="dxa"/>
              <w:end w:w="120" w:type="dxa"/>
            </w:tcMar>
            <w:vAlign w:val="center"/>
          </w:tcPr>
          <w:p>
            <w:pPr>
              <w:spacing w:after="0"/>
            </w:pPr>
            <w:r/>
            <w:r>
              <w:rPr>
                <w:rFonts w:ascii="Aptos" w:hAnsi="Aptos"/>
                <w:b/>
                <w:color w:val="FFFFFF"/>
                <w:sz w:val="17"/>
              </w:rPr>
              <w:t>Rev. 2 Context</w:t>
            </w:r>
          </w:p>
        </w:tc>
        <w:tc>
          <w:tcPr>
            <w:tcW w:type="dxa" w:w="4160"/>
            <w:shd w:fill="252B52"/>
            <w:tcMar>
              <w:top w:w="110" w:type="dxa"/>
              <w:start w:w="120" w:type="dxa"/>
              <w:bottom w:w="110" w:type="dxa"/>
              <w:end w:w="120" w:type="dxa"/>
            </w:tcMar>
            <w:vAlign w:val="center"/>
          </w:tcPr>
          <w:p>
            <w:pPr>
              <w:spacing w:after="0"/>
            </w:pPr>
            <w:r/>
            <w:r>
              <w:rPr>
                <w:rFonts w:ascii="Aptos" w:hAnsi="Aptos"/>
                <w:b/>
                <w:color w:val="FFFFFF"/>
                <w:sz w:val="17"/>
              </w:rPr>
              <w:t>Leadership Decision to Define</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03.01.01</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Account Management</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3.1.1</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time period to notify personnel/roles when accounts are no longer required; time period to notify personnel/roles when users terminated/transferred; time period to notify personnel/roles when system usage or need-to-know changes for an indivdual; time period of inactivity or circumstances in which users are required to log out</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03.01.05</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Least Privilege</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3.1.5</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security functions in which to authorize access; security-relevant informationin which to authorize access; frequency to review privileges assigned to roles/classes of users</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03.01.06</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Least Privilege – Privileged Accounts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3.1.6</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personnel or roles to restrict privileged accounts to</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03.01.08</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Unsuccessful Logon Attempts</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3.1.8</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number of consecutive invalid login attempts; selection of one or more options (lock account/note for time period, lock account/note until released by administrator, delay next logon prompt, notify system administrator, take other action) when maximum number of unsuccesfful login attempts is exceeded</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03.01.10</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Device Lock</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3.1.10</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select one or more ways to initiate device lock; time period to initiate device lock (if selected)</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03.01.11</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Session Termination</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3.1.11</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conditions or trigger events for session termination</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03.01.20</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Use of External Systems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3.1.20</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terms, conditions, and requirements to be satisfied on external systems</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03.02.01</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Literacy Training and Awareness</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3.2.1</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after intial training to provide security literacy training to users; events that necessitate re-taking training; frequency to update training content; events that necessitate updating training</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03.02.02</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Role-Based Training</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3.2.2</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frequency to provide role-based training after initial training; events that require providing role-based training; frequency to update training; events that necessitate updating training</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03.03.01</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Event Logging</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3.3.1</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events types to log; frequency to review and update event types selected for logging</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03.03.04</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Response to Audit Logging Process Failures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3.3.4</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time period to alert personnel/roles; additional action(s) to take in the event of audit logging failure</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03.03.05</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Audit Record Review, Analysis, and Reporting</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3.3.5</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review and analyze system audit records</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03.03.07</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Time Stamps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3.3.7</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granularity of time measurement</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03.04.01</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Baseline Configuration</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3.4.1</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review and update baseline configuration</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03.04.02</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Configuration Settings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3.4.2</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configuration settings</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03.04.06</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Least Functionality</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3.4.6</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prohibited or restricted functions, system ports, protocols, software, and/or services; frequency to review system for unneccesary or nonsecure functions, ports, protocols, connections, and services</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03.04.08</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Authorized Software – Allow by Exception</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3.4.8</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frequency to review and update authorized software programs</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03.04.10</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System Component Inventory</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review and update system component inventory</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03.04.12</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System and Component Configuration for High-Risk Areas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system configurations; security requirements</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03.05.01</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User Identification, Authentication, and Re-Authentication</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3.5.1</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circumstances or situations requiring re-authentication</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03.05.02</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Device Identification and Authentication</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3.5.2</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devices or types of devices to uniquely identify and authenticate</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03.05.05</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Identifier Management</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3.5.5</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time period to prevent reuse of identifiers; characteristic identifying individual status</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03.05.07</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Password Management</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3.5.7</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frequency to update list of commonly-used, expected, or compromised passwords; composition and complexity rules</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03.05.12</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Authenticator Management</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change or refresh authenticators; events to require a change or refresh of authenticators</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03.06.02</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Incident Monitoring, Reporting, and Response Assistance</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3.6.2</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authorities to report incident information to</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03.06.03</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Incident Response Testing</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3.6.3</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test effectiveness of incident response capability</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03.06.04</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Incident Response Training</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time period to provide incident response training for new role/access; frequency to provide incident response training after initial training; frequency to review and update training content; events that require an update to  incident response training content</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03.08.07</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Media Use</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3.8.7</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removeable system media that are restricted or prohibited</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03.09.01</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Personnel Screening</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3.9.1</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conditions requiring rescreening</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03.09.02</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Personnel Termination and Transfer</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3.9.2</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time period to disable system access</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03.10.01</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Physical Access Authorizations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3.10.1</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frequency to review facility access list</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03.10.02</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Monitoring Physical Access</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3.10.2</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review physical access logs; events or potential indications of events to review physical access logs</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03.10.06</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Alternate Work Site</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3.10.6</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security requirements employed at alternate work sites</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03.10.07</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Physical Access Control</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circumstances requiring visitor escorts and control of visitor activity</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03.11.01</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Risk Assessment</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3.11.1</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frequency to update risk assessments</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03.11.02</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Vulnerability Monitoring and Scanning</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3.11.2</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monitor and scan system for vulnerabilities; response time to remediate vulnerabilities; frequency to update vulnerabilities to be scanned</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03.12.01</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Security Assessment</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3.12.1</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frequency to determine if requirements have been satisfied</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03.12.05</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Information Exchange</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selection of one or more (interconnection security agreements, information exchange agreements, memoranda of understanding or agreement, service-level agreements, user agreements, non-disclosure agreements, or other types of agreements); frequency to review and update agreements</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03.13.09</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Network Disconnect</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3.13.9</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time period of inactivity to terminate the network connection</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03.13.10</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Cryptographic Key Establishment and Management</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3.13.10</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requirements for key generation, distribution, storage, access and destruction</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03.13.11</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Cryptographic Protection</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3.13.11</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types of cryptography used to protect confidentiality of CUI</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03.13.12</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Collaborative Computing Devices and Applications</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3.13.12</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exceptions where remote activation is allowed</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03.14.01</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Flaw Remediation</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Mapped from 3.14.1</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time period to install security-relevant software and firmware updates</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03.14.02</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Malicious Code Protection</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3.14.2</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perform system scans</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03.15.01</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Policy and Procedures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frequency to review and update policies and procedures</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03.15.02</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System Security Plan</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Mapped from 3.12.4</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review and update system security plan</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03.15.03</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Rules of Behavior</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frequency to review and update rules of behavior</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03.16.01</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Security Engineering Principles</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system security engineering principles to apply</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03.16.03</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External System Services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security requirements for external system services to comply with</w:t>
            </w:r>
          </w:p>
        </w:tc>
      </w:tr>
      <w:tr>
        <w:trPr>
          <w:cantSplit/>
        </w:trPr>
        <w:tc>
          <w:tcPr>
            <w:tcW w:type="dxa" w:w="400"/>
            <w:tcMar>
              <w:top w:w="90" w:type="dxa"/>
              <w:start w:w="120" w:type="dxa"/>
              <w:bottom w:w="90" w:type="dxa"/>
              <w:end w:w="120" w:type="dxa"/>
            </w:tcMar>
            <w:vAlign w:val="center"/>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tcPr>
          <w:p>
            <w:pPr>
              <w:spacing w:after="0" w:line="252" w:lineRule="auto"/>
            </w:pPr>
            <w:r/>
            <w:r>
              <w:rPr>
                <w:rFonts w:ascii="Aptos" w:hAnsi="Aptos"/>
                <w:b w:val="0"/>
                <w:color w:val="282938"/>
                <w:sz w:val="16"/>
              </w:rPr>
              <w:t>03.17.01</w:t>
            </w:r>
          </w:p>
        </w:tc>
        <w:tc>
          <w:tcPr>
            <w:tcW w:type="dxa" w:w="2150"/>
            <w:tcMar>
              <w:top w:w="90" w:type="dxa"/>
              <w:start w:w="120" w:type="dxa"/>
              <w:bottom w:w="90" w:type="dxa"/>
              <w:end w:w="120" w:type="dxa"/>
            </w:tcMar>
            <w:vAlign w:val="center"/>
          </w:tcPr>
          <w:p>
            <w:pPr>
              <w:spacing w:after="0" w:line="252" w:lineRule="auto"/>
            </w:pPr>
            <w:r/>
            <w:r>
              <w:rPr>
                <w:rFonts w:ascii="Aptos" w:hAnsi="Aptos"/>
                <w:b w:val="0"/>
                <w:color w:val="282938"/>
                <w:sz w:val="16"/>
              </w:rPr>
              <w:t>Supply Chain Risk Management Plan</w:t>
            </w:r>
          </w:p>
        </w:tc>
        <w:tc>
          <w:tcPr>
            <w:tcW w:type="dxa" w:w="1700"/>
            <w:tcMar>
              <w:top w:w="90" w:type="dxa"/>
              <w:start w:w="120" w:type="dxa"/>
              <w:bottom w:w="90" w:type="dxa"/>
              <w:end w:w="120" w:type="dxa"/>
            </w:tcMar>
            <w:vAlign w:val="center"/>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tcPr>
          <w:p>
            <w:pPr>
              <w:spacing w:after="0" w:line="252" w:lineRule="auto"/>
            </w:pPr>
            <w:r/>
            <w:r>
              <w:rPr>
                <w:rFonts w:ascii="Aptos" w:hAnsi="Aptos"/>
                <w:b w:val="0"/>
                <w:color w:val="282938"/>
                <w:sz w:val="16"/>
              </w:rPr>
              <w:t>frequency to review and update supply chain risk management plan</w:t>
            </w:r>
          </w:p>
        </w:tc>
      </w:tr>
      <w:tr>
        <w:trPr>
          <w:cantSplit/>
        </w:trPr>
        <w:tc>
          <w:tcPr>
            <w:tcW w:type="dxa" w:w="4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w:t>
            </w:r>
          </w:p>
        </w:tc>
        <w:tc>
          <w:tcPr>
            <w:tcW w:type="dxa" w:w="9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03.17.03</w:t>
            </w:r>
          </w:p>
        </w:tc>
        <w:tc>
          <w:tcPr>
            <w:tcW w:type="dxa" w:w="215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Supply Chain Requirements and Processes</w:t>
            </w:r>
          </w:p>
        </w:tc>
        <w:tc>
          <w:tcPr>
            <w:tcW w:type="dxa" w:w="170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New in Rev. 3</w:t>
            </w:r>
          </w:p>
        </w:tc>
        <w:tc>
          <w:tcPr>
            <w:tcW w:type="dxa" w:w="4160"/>
            <w:tcMar>
              <w:top w:w="90" w:type="dxa"/>
              <w:start w:w="120" w:type="dxa"/>
              <w:bottom w:w="90" w:type="dxa"/>
              <w:end w:w="120" w:type="dxa"/>
            </w:tcMar>
            <w:vAlign w:val="center"/>
            <w:shd w:fill="F8F1EE"/>
          </w:tcPr>
          <w:p>
            <w:pPr>
              <w:spacing w:after="0" w:line="252" w:lineRule="auto"/>
            </w:pPr>
            <w:r/>
            <w:r>
              <w:rPr>
                <w:rFonts w:ascii="Aptos" w:hAnsi="Aptos"/>
                <w:b w:val="0"/>
                <w:color w:val="282938"/>
                <w:sz w:val="16"/>
              </w:rPr>
              <w:t>security requirement to enforce to protect against supply chain risks</w:t>
            </w:r>
          </w:p>
        </w:tc>
      </w:tr>
    </w:tbl>
    <w:p>
      <w:pPr>
        <w:spacing w:after="20"/>
      </w:pPr>
    </w:p>
    <w:p>
      <w:pPr>
        <w:pStyle w:val="Heading1"/>
      </w:pPr>
      <w:r>
        <w:t>ODP Approval Checklist</w:t>
      </w:r>
    </w:p>
    <w:tbl>
      <w:tblPr>
        <w:tblStyle w:val="TableGrid"/>
        <w:tblW w:type="dxa" w:w="9360"/>
        <w:jc w:val="center"/>
        <w:tblLayout w:type="fixed"/>
        <w:tblLook w:firstColumn="1" w:firstRow="1" w:lastColumn="0" w:lastRow="0" w:noHBand="0" w:noVBand="1" w:val="04A0"/>
        <w:tblInd w:w="120" w:type="dxa"/>
      </w:tblPr>
      <w:tblGrid>
        <w:gridCol w:w="800"/>
        <w:gridCol w:w="8560"/>
      </w:tblGrid>
      <w:tr>
        <w:trPr>
          <w:tblHeader w:val="true"/>
        </w:trPr>
        <w:tc>
          <w:tcPr>
            <w:tcW w:type="dxa" w:w="800"/>
            <w:shd w:fill="252B52"/>
            <w:tcMar>
              <w:top w:w="110" w:type="dxa"/>
              <w:start w:w="120" w:type="dxa"/>
              <w:bottom w:w="110" w:type="dxa"/>
              <w:end w:w="120" w:type="dxa"/>
            </w:tcMar>
            <w:vAlign w:val="center"/>
          </w:tcPr>
          <w:p>
            <w:pPr>
              <w:spacing w:after="0"/>
            </w:pPr>
            <w:r/>
            <w:r>
              <w:rPr>
                <w:rFonts w:ascii="Aptos" w:hAnsi="Aptos"/>
                <w:b/>
                <w:color w:val="FFFFFF"/>
                <w:sz w:val="19"/>
              </w:rPr>
              <w:t>Confirm</w:t>
            </w:r>
          </w:p>
        </w:tc>
        <w:tc>
          <w:tcPr>
            <w:tcW w:type="dxa" w:w="8560"/>
            <w:shd w:fill="252B52"/>
            <w:tcMar>
              <w:top w:w="110" w:type="dxa"/>
              <w:start w:w="120" w:type="dxa"/>
              <w:bottom w:w="110" w:type="dxa"/>
              <w:end w:w="120" w:type="dxa"/>
            </w:tcMar>
            <w:vAlign w:val="center"/>
          </w:tcPr>
          <w:p>
            <w:pPr>
              <w:spacing w:after="0"/>
            </w:pPr>
            <w:r/>
            <w:r>
              <w:rPr>
                <w:rFonts w:ascii="Aptos" w:hAnsi="Aptos"/>
                <w:b/>
                <w:color w:val="FFFFFF"/>
                <w:sz w:val="19"/>
              </w:rPr>
              <w:t>Acceptance Criterion</w:t>
            </w:r>
          </w:p>
        </w:tc>
      </w:tr>
      <w:tr>
        <w:trPr>
          <w:cantSplit/>
        </w:trPr>
        <w:tc>
          <w:tcPr>
            <w:tcW w:type="dxa" w:w="8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w:t>
            </w:r>
          </w:p>
        </w:tc>
        <w:tc>
          <w:tcPr>
            <w:tcW w:type="dxa" w:w="85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The value or selection is specific and measurable.</w:t>
            </w:r>
          </w:p>
        </w:tc>
      </w:tr>
      <w:tr>
        <w:trPr>
          <w:cantSplit/>
        </w:trPr>
        <w:tc>
          <w:tcPr>
            <w:tcW w:type="dxa" w:w="800"/>
            <w:tcMar>
              <w:top w:w="90" w:type="dxa"/>
              <w:start w:w="120" w:type="dxa"/>
              <w:bottom w:w="90" w:type="dxa"/>
              <w:end w:w="120" w:type="dxa"/>
            </w:tcMar>
            <w:vAlign w:val="center"/>
          </w:tcPr>
          <w:p>
            <w:pPr>
              <w:spacing w:after="0" w:line="252" w:lineRule="auto"/>
            </w:pPr>
            <w:r/>
            <w:r>
              <w:rPr>
                <w:rFonts w:ascii="Aptos" w:hAnsi="Aptos"/>
                <w:b w:val="0"/>
                <w:color w:val="282938"/>
                <w:sz w:val="19"/>
              </w:rPr>
              <w:t>☐</w:t>
            </w:r>
          </w:p>
        </w:tc>
        <w:tc>
          <w:tcPr>
            <w:tcW w:type="dxa" w:w="8560"/>
            <w:tcMar>
              <w:top w:w="90" w:type="dxa"/>
              <w:start w:w="120" w:type="dxa"/>
              <w:bottom w:w="90" w:type="dxa"/>
              <w:end w:w="120" w:type="dxa"/>
            </w:tcMar>
            <w:vAlign w:val="center"/>
          </w:tcPr>
          <w:p>
            <w:pPr>
              <w:spacing w:after="0" w:line="252" w:lineRule="auto"/>
            </w:pPr>
            <w:r/>
            <w:r>
              <w:rPr>
                <w:rFonts w:ascii="Aptos" w:hAnsi="Aptos"/>
                <w:b w:val="0"/>
                <w:color w:val="282938"/>
                <w:sz w:val="19"/>
              </w:rPr>
              <w:t>The source, rationale, and approving authority are recorded.</w:t>
            </w:r>
          </w:p>
        </w:tc>
      </w:tr>
      <w:tr>
        <w:trPr>
          <w:cantSplit/>
        </w:trPr>
        <w:tc>
          <w:tcPr>
            <w:tcW w:type="dxa" w:w="8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w:t>
            </w:r>
          </w:p>
        </w:tc>
        <w:tc>
          <w:tcPr>
            <w:tcW w:type="dxa" w:w="85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Policies, procedures, configurations, contracts, and the SSP use the same value.</w:t>
            </w:r>
          </w:p>
        </w:tc>
      </w:tr>
      <w:tr>
        <w:trPr>
          <w:cantSplit/>
        </w:trPr>
        <w:tc>
          <w:tcPr>
            <w:tcW w:type="dxa" w:w="800"/>
            <w:tcMar>
              <w:top w:w="90" w:type="dxa"/>
              <w:start w:w="120" w:type="dxa"/>
              <w:bottom w:w="90" w:type="dxa"/>
              <w:end w:w="120" w:type="dxa"/>
            </w:tcMar>
            <w:vAlign w:val="center"/>
          </w:tcPr>
          <w:p>
            <w:pPr>
              <w:spacing w:after="0" w:line="252" w:lineRule="auto"/>
            </w:pPr>
            <w:r/>
            <w:r>
              <w:rPr>
                <w:rFonts w:ascii="Aptos" w:hAnsi="Aptos"/>
                <w:b w:val="0"/>
                <w:color w:val="282938"/>
                <w:sz w:val="19"/>
              </w:rPr>
              <w:t>☐</w:t>
            </w:r>
          </w:p>
        </w:tc>
        <w:tc>
          <w:tcPr>
            <w:tcW w:type="dxa" w:w="8560"/>
            <w:tcMar>
              <w:top w:w="90" w:type="dxa"/>
              <w:start w:w="120" w:type="dxa"/>
              <w:bottom w:w="90" w:type="dxa"/>
              <w:end w:w="120" w:type="dxa"/>
            </w:tcMar>
            <w:vAlign w:val="center"/>
          </w:tcPr>
          <w:p>
            <w:pPr>
              <w:spacing w:after="0" w:line="252" w:lineRule="auto"/>
            </w:pPr>
            <w:r/>
            <w:r>
              <w:rPr>
                <w:rFonts w:ascii="Aptos" w:hAnsi="Aptos"/>
                <w:b w:val="0"/>
                <w:color w:val="282938"/>
                <w:sz w:val="19"/>
              </w:rPr>
              <w:t>The value is implemented consistently across the full CUI scope.</w:t>
            </w:r>
          </w:p>
        </w:tc>
      </w:tr>
      <w:tr>
        <w:trPr>
          <w:cantSplit/>
        </w:trPr>
        <w:tc>
          <w:tcPr>
            <w:tcW w:type="dxa" w:w="80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w:t>
            </w:r>
          </w:p>
        </w:tc>
        <w:tc>
          <w:tcPr>
            <w:tcW w:type="dxa" w:w="8560"/>
            <w:tcMar>
              <w:top w:w="90" w:type="dxa"/>
              <w:start w:w="120" w:type="dxa"/>
              <w:bottom w:w="90" w:type="dxa"/>
              <w:end w:w="120" w:type="dxa"/>
            </w:tcMar>
            <w:vAlign w:val="center"/>
            <w:shd w:fill="F8F1EE"/>
          </w:tcPr>
          <w:p>
            <w:pPr>
              <w:spacing w:after="0" w:line="252" w:lineRule="auto"/>
            </w:pPr>
            <w:r/>
            <w:r>
              <w:rPr>
                <w:rFonts w:ascii="Aptos" w:hAnsi="Aptos"/>
                <w:b w:val="0"/>
                <w:color w:val="282938"/>
                <w:sz w:val="19"/>
              </w:rPr>
              <w:t>Evidence demonstrates operation at the defined frequency, time period, threshold, event, or condition.</w:t>
            </w:r>
          </w:p>
        </w:tc>
      </w:tr>
      <w:tr>
        <w:trPr>
          <w:cantSplit/>
        </w:trPr>
        <w:tc>
          <w:tcPr>
            <w:tcW w:type="dxa" w:w="800"/>
            <w:tcMar>
              <w:top w:w="90" w:type="dxa"/>
              <w:start w:w="120" w:type="dxa"/>
              <w:bottom w:w="90" w:type="dxa"/>
              <w:end w:w="120" w:type="dxa"/>
            </w:tcMar>
            <w:vAlign w:val="center"/>
          </w:tcPr>
          <w:p>
            <w:pPr>
              <w:spacing w:after="0" w:line="252" w:lineRule="auto"/>
            </w:pPr>
            <w:r/>
            <w:r>
              <w:rPr>
                <w:rFonts w:ascii="Aptos" w:hAnsi="Aptos"/>
                <w:b w:val="0"/>
                <w:color w:val="282938"/>
                <w:sz w:val="19"/>
              </w:rPr>
              <w:t>☐</w:t>
            </w:r>
          </w:p>
        </w:tc>
        <w:tc>
          <w:tcPr>
            <w:tcW w:type="dxa" w:w="8560"/>
            <w:tcMar>
              <w:top w:w="90" w:type="dxa"/>
              <w:start w:w="120" w:type="dxa"/>
              <w:bottom w:w="90" w:type="dxa"/>
              <w:end w:w="120" w:type="dxa"/>
            </w:tcMar>
            <w:vAlign w:val="center"/>
          </w:tcPr>
          <w:p>
            <w:pPr>
              <w:spacing w:after="0" w:line="252" w:lineRule="auto"/>
            </w:pPr>
            <w:r/>
            <w:r>
              <w:rPr>
                <w:rFonts w:ascii="Aptos" w:hAnsi="Aptos"/>
                <w:b w:val="0"/>
                <w:color w:val="282938"/>
                <w:sz w:val="19"/>
              </w:rPr>
              <w:t>A trigger or review cadence exists to keep the parameter current.</w:t>
            </w:r>
          </w:p>
        </w:tc>
      </w:tr>
    </w:tbl>
    <w:p>
      <w:pPr>
        <w:spacing w:after="20"/>
      </w:pPr>
    </w:p>
    <w:p>
      <w:pPr>
        <w:pStyle w:val="Heading1"/>
      </w:pPr>
      <w:r>
        <w:t>What Good Preparation Looks Like</w:t>
      </w:r>
    </w:p>
    <w:p>
      <w:pPr>
        <w:pStyle w:val="ListBullet"/>
        <w:spacing w:after="100" w:line="259" w:lineRule="auto"/>
      </w:pPr>
      <w:r>
        <w:rPr>
          <w:rFonts w:ascii="Aptos" w:hAnsi="Aptos"/>
          <w:b w:val="0"/>
          <w:color w:val="282938"/>
          <w:sz w:val="22"/>
        </w:rPr>
        <w:t>Leaders can explain the CUI boundary and shared-responsibility model without relying on tribal knowledge.</w:t>
      </w:r>
    </w:p>
    <w:p>
      <w:pPr>
        <w:pStyle w:val="ListBullet"/>
        <w:spacing w:after="100" w:line="259" w:lineRule="auto"/>
      </w:pPr>
      <w:r>
        <w:rPr>
          <w:rFonts w:ascii="Aptos" w:hAnsi="Aptos"/>
          <w:b w:val="0"/>
          <w:color w:val="282938"/>
          <w:sz w:val="22"/>
        </w:rPr>
        <w:t>Requirement owners know exactly what they own and which evidence they must maintain.</w:t>
      </w:r>
    </w:p>
    <w:p>
      <w:pPr>
        <w:pStyle w:val="ListBullet"/>
        <w:spacing w:after="100" w:line="259" w:lineRule="auto"/>
      </w:pPr>
      <w:r>
        <w:rPr>
          <w:rFonts w:ascii="Aptos" w:hAnsi="Aptos"/>
          <w:b w:val="0"/>
          <w:color w:val="282938"/>
          <w:sz w:val="22"/>
        </w:rPr>
        <w:t>ODP decisions are consistent across policy, system configuration, contracts, and operating records.</w:t>
      </w:r>
    </w:p>
    <w:p>
      <w:pPr>
        <w:pStyle w:val="ListBullet"/>
        <w:spacing w:after="100" w:line="259" w:lineRule="auto"/>
      </w:pPr>
      <w:r>
        <w:rPr>
          <w:rFonts w:ascii="Aptos" w:hAnsi="Aptos"/>
          <w:b w:val="0"/>
          <w:color w:val="282938"/>
          <w:sz w:val="22"/>
        </w:rPr>
        <w:t>Evidence is current, traceable, representative, and tied to the applicable Rev. 3 outcome.</w:t>
      </w:r>
    </w:p>
    <w:p>
      <w:pPr>
        <w:pStyle w:val="ListBullet"/>
        <w:spacing w:after="100" w:line="259" w:lineRule="auto"/>
      </w:pPr>
      <w:r>
        <w:rPr>
          <w:rFonts w:ascii="Aptos" w:hAnsi="Aptos"/>
          <w:b w:val="0"/>
          <w:color w:val="282938"/>
          <w:sz w:val="22"/>
        </w:rPr>
        <w:t>Open gaps have credible remediation plans and are not hidden behind vague narratives.</w:t>
      </w:r>
    </w:p>
    <w:p>
      <w:pPr>
        <w:pStyle w:val="ListBullet"/>
        <w:spacing w:after="100" w:line="259" w:lineRule="auto"/>
      </w:pPr>
      <w:r>
        <w:rPr>
          <w:rFonts w:ascii="Aptos" w:hAnsi="Aptos"/>
          <w:b w:val="0"/>
          <w:color w:val="282938"/>
          <w:sz w:val="22"/>
        </w:rPr>
        <w:t>Changes to systems, suppliers, locations, or CUI flows trigger a review of scope and evidence.</w:t>
      </w:r>
    </w:p>
    <w:tbl>
      <w:tblPr>
        <w:tblW w:type="dxa" w:w="9360"/>
        <w:jc w:val="center"/>
        <w:tblLayout w:type="fixed"/>
        <w:tblLook w:firstColumn="1" w:firstRow="1" w:lastColumn="0" w:lastRow="0" w:noHBand="0" w:noVBand="1" w:val="04A0"/>
        <w:tblInd w:w="120" w:type="dxa"/>
      </w:tblPr>
      <w:tblGrid>
        <w:gridCol w:w="9360"/>
      </w:tblGrid>
      <w:tr>
        <w:tc>
          <w:tcPr>
            <w:tcW w:type="dxa" w:w="9360"/>
            <w:shd w:fill="F8F1EE"/>
            <w:tcMar>
              <w:top w:w="150" w:type="dxa"/>
              <w:start w:w="180" w:type="dxa"/>
              <w:bottom w:w="150" w:type="dxa"/>
              <w:end w:w="180" w:type="dxa"/>
            </w:tcMar>
          </w:tcPr>
          <w:p>
            <w:pPr>
              <w:spacing w:after="0"/>
            </w:pPr>
            <w:r>
              <w:rPr>
                <w:rFonts w:ascii="Aptos" w:hAnsi="Aptos"/>
                <w:b/>
                <w:color w:val="252B52"/>
                <w:sz w:val="21"/>
              </w:rPr>
              <w:t xml:space="preserve">Final leadership question. </w:t>
            </w:r>
            <w:r>
              <w:rPr>
                <w:rFonts w:ascii="Aptos" w:hAnsi="Aptos"/>
                <w:b w:val="0"/>
                <w:color w:val="282938"/>
                <w:sz w:val="21"/>
              </w:rPr>
              <w:t>Could your team demonstrate—not merely state—that every Rev. 3 outcome operates consistently across the entire CUI environment? If the answer is not yet yes, the workbook should show exactly what remains, who owns it, and when it will be complete.</w:t>
            </w:r>
          </w:p>
        </w:tc>
      </w:tr>
    </w:tbl>
    <w:p>
      <w:pPr>
        <w:spacing w:after="20"/>
      </w:pPr>
    </w:p>
    <w:p>
      <w:pPr>
        <w:pStyle w:val="Heading1"/>
      </w:pPr>
      <w:r>
        <w:t>Authoritative References</w:t>
      </w:r>
    </w:p>
    <w:p>
      <w:pPr>
        <w:spacing w:after="60" w:line="264" w:lineRule="auto"/>
      </w:pPr>
      <w:r>
        <w:rPr>
          <w:rFonts w:ascii="Aptos" w:hAnsi="Aptos"/>
          <w:b w:val="0"/>
          <w:color w:val="282938"/>
          <w:sz w:val="22"/>
        </w:rPr>
        <w:t>NIST SP 800-171 Rev. 3, Protecting Controlled Unclassified Information in Nonfederal Systems and Organizations: https://csrc.nist.gov/pubs/sp/800/171/r3/final</w:t>
      </w:r>
    </w:p>
    <w:p>
      <w:pPr>
        <w:spacing w:after="60" w:line="264" w:lineRule="auto"/>
      </w:pPr>
      <w:r>
        <w:rPr>
          <w:rFonts w:ascii="Aptos" w:hAnsi="Aptos"/>
          <w:b w:val="0"/>
          <w:color w:val="282938"/>
          <w:sz w:val="22"/>
        </w:rPr>
        <w:t>NIST Rev. 2-to-Rev. 3 Change Analysis: https://csrc.nist.gov/pubs/sp/800/171/r3/final</w:t>
      </w:r>
    </w:p>
    <w:p>
      <w:pPr>
        <w:spacing w:before="160"/>
      </w:pPr>
      <w:r>
        <w:rPr>
          <w:rFonts w:ascii="Aptos" w:hAnsi="Aptos"/>
          <w:b w:val="0"/>
          <w:color w:val="626273"/>
          <w:sz w:val="19"/>
        </w:rPr>
        <w:t>Use this guide with the NIST 800-171 Rev. 3 Transition Assessment Workbook. It does not replace the authoritative NIST requirements or applicable CMMC assessment guidance.</w:t>
      </w:r>
    </w:p>
    <w:sectPr w:rsidR="00FC693F" w:rsidRPr="0006063C" w:rsidSect="00034616">
      <w:headerReference w:type="default" r:id="rId9"/>
      <w:footerReference w:type="default" r:id="rId10"/>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color w:val="626273"/>
        <w:sz w:val="17"/>
      </w:rPr>
      <w:t xml:space="preserve">JRPax Advisory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Georgia" w:hAnsi="Georgia"/>
        <w:b/>
        <w:color w:val="D46D61"/>
        <w:sz w:val="20"/>
      </w:rPr>
      <w:t>JRPax</w:t>
    </w:r>
    <w:r>
      <w:rPr>
        <w:rFonts w:ascii="Aptos" w:hAnsi="Aptos"/>
        <w:b w:val="0"/>
        <w:color w:val="626273"/>
        <w:sz w:val="17"/>
      </w:rPr>
      <w:t xml:space="preserve">  /  NIST SP 800-171 REV. 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Georgia" w:hAnsi="Georgia"/>
      <w:b/>
      <w:bCs/>
      <w:color w:val="4D5FA3"/>
      <w:sz w:val="34"/>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Georgia" w:hAnsi="Georgia"/>
      <w:b/>
      <w:bCs/>
      <w:color w:val="4D5FA3"/>
      <w:sz w:val="27"/>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Georgia" w:hAnsi="Georgia"/>
      <w:b/>
      <w:bCs/>
      <w:color w:val="252B5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20" w:line="240" w:lineRule="auto" w:before="0"/>
      <w:contextualSpacing/>
    </w:pPr>
    <w:rPr>
      <w:rFonts w:asciiTheme="majorHAnsi" w:eastAsiaTheme="majorEastAsia" w:hAnsiTheme="majorHAnsi" w:cstheme="majorBidi" w:ascii="Georgia" w:hAnsi="Georgia"/>
      <w:b/>
      <w:color w:val="252B52"/>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Georgia" w:hAnsi="Georgia"/>
      <w:b w:val="0"/>
      <w:i/>
      <w:iCs/>
      <w:color w:val="62627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720" w:hanging="360"/>
      <w:contextualSpacing/>
    </w:pPr>
    <w:rPr>
      <w:rFonts w:ascii="Aptos" w:hAnsi="Apto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ind w:left="720" w:hanging="360"/>
      <w:contextualSpacing/>
    </w:pPr>
    <w:rPr>
      <w:rFonts w:ascii="Aptos" w:hAnsi="Apto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Rodriguez</dc:creator>
  <cp:keywords/>
  <cp:lastModifiedBy/>
  <cp:revision>1</cp:revision>
  <dcterms:created xsi:type="dcterms:W3CDTF">2013-12-23T23:15:00Z</dcterms:created>
  <dcterms:modified xsi:type="dcterms:W3CDTF">2013-12-23T23:15:00Z</dcterms:modified>
  <cp:category/>
</cp:coreProperties>
</file>