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How to Use the Rev. 3 Transition Assessment Workbook</w:t>
      </w:r>
    </w:p>
    <w:p>
      <w:pPr>
        <w:pStyle w:val="Subtitle"/>
      </w:pPr>
      <w:r>
        <w:t>A simple guide for assessment leads, control owners, and client stakeholders</w:t>
      </w:r>
    </w:p>
    <w:p>
      <w:pPr>
        <w:spacing w:after="240"/>
        <w:pBdr>
          <w:bottom w:val="single" w:sz="16" w:space="1" w:color="2F6690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AF2F8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24D"/>
                <w:sz w:val="22"/>
              </w:rPr>
              <w:t xml:space="preserve">Purpose.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Use the workbook to move from a Rev. 2 starting point to a complete, evidence-based Rev. 3 assessment. The dashboard updates automatically as the Assessment Register is completed.</w:t>
            </w:r>
          </w:p>
        </w:tc>
      </w:tr>
    </w:tbl>
    <w:p>
      <w:pPr>
        <w:spacing w:after="40"/>
      </w:pPr>
    </w:p>
    <w:p>
      <w:pPr>
        <w:pStyle w:val="Heading1"/>
      </w:pPr>
      <w:r>
        <w:t>Before You Start</w:t>
      </w:r>
    </w:p>
    <w:p>
      <w:pPr>
        <w:pStyle w:val="ListBullet"/>
        <w:spacing w:after="80" w:line="300" w:lineRule="auto"/>
        <w:ind w:left="540" w:hanging="271"/>
      </w:pPr>
      <w:r>
        <w:t>Confirm the contract, CUI categories, system or enclave boundary, locations, users, technologies, and external service providers in scope.</w:t>
      </w:r>
    </w:p>
    <w:p>
      <w:pPr>
        <w:pStyle w:val="ListBullet"/>
        <w:spacing w:after="80" w:line="300" w:lineRule="auto"/>
        <w:ind w:left="540" w:hanging="271"/>
      </w:pPr>
      <w:r>
        <w:t>Collect the prior Rev. 2 SSP, assessment results, SPRS score, POA&amp;M, policies, diagrams, inventories, and evidence index.</w:t>
      </w:r>
    </w:p>
    <w:p>
      <w:pPr>
        <w:pStyle w:val="ListBullet"/>
        <w:spacing w:after="80" w:line="300" w:lineRule="auto"/>
        <w:ind w:left="540" w:hanging="271"/>
      </w:pPr>
      <w:r>
        <w:t>Assign an assessment lead and identify control owners who can provide evidence, participate in interviews, and demonstrate operation.</w:t>
      </w:r>
    </w:p>
    <w:p>
      <w:pPr>
        <w:pStyle w:val="ListBullet"/>
        <w:spacing w:after="80" w:line="300" w:lineRule="auto"/>
        <w:ind w:left="540" w:hanging="271"/>
      </w:pPr>
      <w:r>
        <w:t>Set an evidence naming convention, such as AC-03.01.01-E01, so every conclusion can be traced to a source.</w:t>
      </w:r>
    </w:p>
    <w:p>
      <w:pPr>
        <w:pStyle w:val="Heading1"/>
      </w:pPr>
      <w:r>
        <w:t>The Three Worksheets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17324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Worksheet</w:t>
            </w:r>
          </w:p>
        </w:tc>
        <w:tc>
          <w:tcPr>
            <w:tcW w:type="dxa" w:w="6660"/>
            <w:shd w:fill="17324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What It Is For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Client Guide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Enter engagement details, follow the five-phase plan, and monitor the live summary by status and control family.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Assessment Register</w:t>
            </w:r>
          </w:p>
        </w:tc>
        <w:tc>
          <w:tcPr>
            <w:tcW w:type="dxa" w:w="666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Complete the row for each of the 97 active Rev. 3 requirements. This is the primary working sheet.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ODP &amp; Retired R2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Define all organization-defined parameters before testing and review the Rev. 2 requirements that were withdrawn or absorbed.</w:t>
            </w:r>
          </w:p>
        </w:tc>
      </w:tr>
    </w:tbl>
    <w:p>
      <w:pPr>
        <w:pStyle w:val="Heading1"/>
      </w:pPr>
      <w:r>
        <w:t>Recommended Workflow</w:t>
      </w:r>
    </w:p>
    <w:p>
      <w:pPr>
        <w:pStyle w:val="ListNumber"/>
        <w:spacing w:after="100" w:line="300" w:lineRule="auto"/>
        <w:ind w:left="540" w:hanging="271"/>
      </w:pPr>
      <w:r>
        <w:t>Complete the engagement details on Client Guide. Record the client, enclave, assessment lead, date, contract or program, and prior Rev. 2 baseline.</w:t>
      </w:r>
    </w:p>
    <w:p>
      <w:pPr>
        <w:pStyle w:val="ListNumber"/>
        <w:spacing w:after="100" w:line="300" w:lineRule="auto"/>
        <w:ind w:left="540" w:hanging="271"/>
      </w:pPr>
      <w:r>
        <w:t>Confirm scope before assessing controls. Make sure the Assessment Register represents every component that processes, stores, transmits, or protects CUI.</w:t>
      </w:r>
    </w:p>
    <w:p>
      <w:pPr>
        <w:pStyle w:val="ListNumber"/>
        <w:spacing w:after="100" w:line="300" w:lineRule="auto"/>
        <w:ind w:left="540" w:hanging="271"/>
      </w:pPr>
      <w:r>
        <w:t>Start with the ODP &amp; Retired R2 sheet. Enter each organization-defined value and its authority, approver, or source. Undefined ODPs are counted on the dashboard.</w:t>
      </w:r>
    </w:p>
    <w:p>
      <w:pPr>
        <w:pStyle w:val="ListNumber"/>
        <w:spacing w:after="100" w:line="300" w:lineRule="auto"/>
        <w:ind w:left="540" w:hanging="271"/>
      </w:pPr>
      <w:r>
        <w:t>Work through the Assessment Register. Prioritize rows marked New Rev. 3 requirement or Significant change, but complete all 97 active requirements.</w:t>
      </w:r>
    </w:p>
    <w:p>
      <w:pPr>
        <w:pStyle w:val="ListNumber"/>
        <w:spacing w:after="100" w:line="300" w:lineRule="auto"/>
        <w:ind w:left="540" w:hanging="271"/>
      </w:pPr>
      <w:r>
        <w:t>For each row, examine evidence, interview the responsible people, and test or observe operation. Record evidence references and the assessor conclusion.</w:t>
      </w:r>
    </w:p>
    <w:p>
      <w:pPr>
        <w:pStyle w:val="ListNumber"/>
        <w:spacing w:after="100" w:line="300" w:lineRule="auto"/>
        <w:ind w:left="540" w:hanging="271"/>
      </w:pPr>
      <w:r>
        <w:t>Assign remediation actions, owners, target dates, and risk priorities for gaps. Update the SSP and POA&amp;M inputs as decisions are made.</w:t>
      </w:r>
    </w:p>
    <w:p>
      <w:pPr>
        <w:pStyle w:val="ListNumber"/>
        <w:spacing w:after="100" w:line="300" w:lineRule="auto"/>
        <w:ind w:left="540" w:hanging="271"/>
      </w:pPr>
      <w:r>
        <w:t>Review the Client Guide dashboard with leadership. Retest closed gaps and preserve the final evidence set for readiness and ongoing monitoring.</w:t>
      </w:r>
    </w:p>
    <w:p>
      <w:pPr>
        <w:pStyle w:val="Heading1"/>
      </w:pPr>
      <w:r>
        <w:t>How to Complete the Assessment Register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1900"/>
        <w:gridCol w:w="5910"/>
      </w:tblGrid>
      <w:tr>
        <w:trPr>
          <w:tblHeader w:val="true"/>
        </w:trPr>
        <w:tc>
          <w:tcPr>
            <w:tcW w:type="dxa" w:w="1550"/>
            <w:shd w:fill="17324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Field</w:t>
            </w:r>
          </w:p>
        </w:tc>
        <w:tc>
          <w:tcPr>
            <w:tcW w:type="dxa" w:w="1900"/>
            <w:shd w:fill="17324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Allowed Entry</w:t>
            </w:r>
          </w:p>
        </w:tc>
        <w:tc>
          <w:tcPr>
            <w:tcW w:type="dxa" w:w="5910"/>
            <w:shd w:fill="17324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How to Use It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Status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Not Assessed</w:t>
            </w:r>
          </w:p>
        </w:tc>
        <w:tc>
          <w:tcPr>
            <w:tcW w:type="dxa" w:w="5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Work has not started or evidence is insufficient.</w:t>
            </w:r>
          </w:p>
        </w:tc>
      </w:tr>
      <w:tr>
        <w:trPr>
          <w:cantSplit/>
        </w:trPr>
        <w:tc>
          <w:tcPr>
            <w:tcW w:type="dxa" w:w="155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Status</w:t>
            </w:r>
          </w:p>
        </w:tc>
        <w:tc>
          <w:tcPr>
            <w:tcW w:type="dxa" w:w="190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Met</w:t>
            </w:r>
          </w:p>
        </w:tc>
        <w:tc>
          <w:tcPr>
            <w:tcW w:type="dxa" w:w="591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Evidence and testing support the complete requirement across the assessed scope.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Status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Partially Met</w:t>
            </w:r>
          </w:p>
        </w:tc>
        <w:tc>
          <w:tcPr>
            <w:tcW w:type="dxa" w:w="5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Some elements, systems, sites, or operating periods do not meet the requirement.</w:t>
            </w:r>
          </w:p>
        </w:tc>
      </w:tr>
      <w:tr>
        <w:trPr>
          <w:cantSplit/>
        </w:trPr>
        <w:tc>
          <w:tcPr>
            <w:tcW w:type="dxa" w:w="155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Status</w:t>
            </w:r>
          </w:p>
        </w:tc>
        <w:tc>
          <w:tcPr>
            <w:tcW w:type="dxa" w:w="190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Not Met</w:t>
            </w:r>
          </w:p>
        </w:tc>
        <w:tc>
          <w:tcPr>
            <w:tcW w:type="dxa" w:w="591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The requirement is absent, ineffective, or unsupported.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Status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N/A</w:t>
            </w:r>
          </w:p>
        </w:tc>
        <w:tc>
          <w:tcPr>
            <w:tcW w:type="dxa" w:w="5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Use only when the requirement truly does not apply; document the scope-based justification.</w:t>
            </w:r>
          </w:p>
        </w:tc>
      </w:tr>
      <w:tr>
        <w:trPr>
          <w:cantSplit/>
        </w:trPr>
        <w:tc>
          <w:tcPr>
            <w:tcW w:type="dxa" w:w="155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Maturity</w:t>
            </w:r>
          </w:p>
        </w:tc>
        <w:tc>
          <w:tcPr>
            <w:tcW w:type="dxa" w:w="190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0-3</w:t>
            </w:r>
          </w:p>
        </w:tc>
        <w:tc>
          <w:tcPr>
            <w:tcW w:type="dxa" w:w="591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0 not implemented; 1 ad hoc; 2 defined; 3 operating consistently.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Evidence confidence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0-2</w:t>
            </w:r>
          </w:p>
        </w:tc>
        <w:tc>
          <w:tcPr>
            <w:tcW w:type="dxa" w:w="59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0 unsupported; 1 partial or indirect; 2 strong, current, and repeatable.</w:t>
            </w:r>
          </w:p>
        </w:tc>
      </w:tr>
      <w:tr>
        <w:trPr>
          <w:cantSplit/>
        </w:trPr>
        <w:tc>
          <w:tcPr>
            <w:tcW w:type="dxa" w:w="155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Risk priority</w:t>
            </w:r>
          </w:p>
        </w:tc>
        <w:tc>
          <w:tcPr>
            <w:tcW w:type="dxa" w:w="190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Critical / High / Medium / Low</w:t>
            </w:r>
          </w:p>
        </w:tc>
        <w:tc>
          <w:tcPr>
            <w:tcW w:type="dxa" w:w="5910"/>
            <w:vAlign w:val="center"/>
            <w:shd w:fill="F5F7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Use the client risk method to prioritize treatment; do not use priority as a substitute for the control conclusion.</w:t>
            </w:r>
          </w:p>
        </w:tc>
      </w:tr>
    </w:tbl>
    <w:p>
      <w:pPr>
        <w:pStyle w:val="Heading2"/>
      </w:pPr>
      <w:r>
        <w:t>Evidence Rule of Thumb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FF4D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24D"/>
                <w:sz w:val="22"/>
              </w:rPr>
              <w:t xml:space="preserve">Use all three methods. </w:t>
            </w:r>
            <w:r>
              <w:rPr>
                <w:rFonts w:ascii="Calibri" w:hAnsi="Calibri"/>
                <w:b w:val="0"/>
                <w:i w:val="0"/>
                <w:color w:val="000000"/>
                <w:sz w:val="22"/>
              </w:rPr>
              <w:t>Examine documents and system records, interview responsible personnel, and test or observe operation. A policy alone is not enough to mark a requirement Met.</w:t>
            </w:r>
          </w:p>
        </w:tc>
      </w:tr>
    </w:tbl>
    <w:p>
      <w:pPr>
        <w:spacing w:after="40"/>
      </w:pPr>
    </w:p>
    <w:p>
      <w:pPr>
        <w:pStyle w:val="Heading2"/>
      </w:pPr>
      <w:r>
        <w:t>What Good Evidence Looks Like</w:t>
      </w:r>
    </w:p>
    <w:p>
      <w:pPr>
        <w:pStyle w:val="ListBullet"/>
        <w:spacing w:after="80" w:line="300" w:lineRule="auto"/>
        <w:ind w:left="540" w:hanging="271"/>
      </w:pPr>
      <w:r>
        <w:t>Current: covers the assessment period and the current environment.</w:t>
      </w:r>
    </w:p>
    <w:p>
      <w:pPr>
        <w:pStyle w:val="ListBullet"/>
        <w:spacing w:after="80" w:line="300" w:lineRule="auto"/>
        <w:ind w:left="540" w:hanging="271"/>
      </w:pPr>
      <w:r>
        <w:t>Scoped: clearly applies to the CUI systems, users, locations, and service providers being assessed.</w:t>
      </w:r>
    </w:p>
    <w:p>
      <w:pPr>
        <w:pStyle w:val="ListBullet"/>
        <w:spacing w:after="80" w:line="300" w:lineRule="auto"/>
        <w:ind w:left="540" w:hanging="271"/>
      </w:pPr>
      <w:r>
        <w:t>Authoritative: comes from the system of record, responsible owner, or approved configuration source.</w:t>
      </w:r>
    </w:p>
    <w:p>
      <w:pPr>
        <w:pStyle w:val="ListBullet"/>
        <w:spacing w:after="80" w:line="300" w:lineRule="auto"/>
        <w:ind w:left="540" w:hanging="271"/>
      </w:pPr>
      <w:r>
        <w:t>Repeatable: another assessor could follow the reference and reach the same conclusion.</w:t>
      </w:r>
    </w:p>
    <w:p>
      <w:pPr>
        <w:pStyle w:val="ListBullet"/>
        <w:spacing w:after="80" w:line="300" w:lineRule="auto"/>
        <w:ind w:left="540" w:hanging="271"/>
      </w:pPr>
      <w:r>
        <w:t>Complete: addresses every part of the requirement, including selections and organization-defined values.</w:t>
      </w:r>
    </w:p>
    <w:p>
      <w:pPr>
        <w:pStyle w:val="Heading1"/>
      </w:pPr>
      <w:r>
        <w:t>Completion Check</w:t>
      </w:r>
    </w:p>
    <w:p>
      <w:pPr>
        <w:pStyle w:val="ListBullet"/>
        <w:spacing w:after="80" w:line="300" w:lineRule="auto"/>
        <w:ind w:left="540" w:hanging="271"/>
      </w:pPr>
      <w:r>
        <w:t>All 97 active Rev. 3 requirements have a conclusion or documented N/A justification.</w:t>
      </w:r>
    </w:p>
    <w:p>
      <w:pPr>
        <w:pStyle w:val="ListBullet"/>
        <w:spacing w:after="80" w:line="300" w:lineRule="auto"/>
        <w:ind w:left="540" w:hanging="271"/>
      </w:pPr>
      <w:r>
        <w:t>Every ODP has a defined value and documented authority or approver.</w:t>
      </w:r>
    </w:p>
    <w:p>
      <w:pPr>
        <w:pStyle w:val="ListBullet"/>
        <w:spacing w:after="80" w:line="300" w:lineRule="auto"/>
        <w:ind w:left="540" w:hanging="271"/>
      </w:pPr>
      <w:r>
        <w:t>Each Met conclusion points to evidence; each gap has an action, owner, risk priority, and target date.</w:t>
      </w:r>
    </w:p>
    <w:p>
      <w:pPr>
        <w:pStyle w:val="ListBullet"/>
        <w:spacing w:after="80" w:line="300" w:lineRule="auto"/>
        <w:ind w:left="540" w:hanging="271"/>
      </w:pPr>
      <w:r>
        <w:t>The SSP matches the assessed boundary and actual implementation.</w:t>
      </w:r>
    </w:p>
    <w:p>
      <w:pPr>
        <w:pStyle w:val="ListBullet"/>
        <w:spacing w:after="80" w:line="300" w:lineRule="auto"/>
        <w:ind w:left="540" w:hanging="271"/>
      </w:pPr>
      <w:r>
        <w:t>Remediated items were retested and closure evidence was retained.</w:t>
      </w:r>
    </w:p>
    <w:p>
      <w:pPr>
        <w:pStyle w:val="ListBullet"/>
        <w:spacing w:after="80" w:line="300" w:lineRule="auto"/>
        <w:ind w:left="540" w:hanging="271"/>
      </w:pPr>
      <w:r>
        <w:t>Leadership reviewed readiness, residual risk, and the ongoing monitoring plan.</w:t>
      </w:r>
    </w:p>
    <w:p>
      <w:pPr>
        <w:pStyle w:val="Heading1"/>
      </w:pPr>
      <w:r>
        <w:t>Common Mistakes to Avoid</w:t>
      </w:r>
    </w:p>
    <w:p>
      <w:pPr>
        <w:pStyle w:val="ListBullet"/>
        <w:spacing w:after="80" w:line="300" w:lineRule="auto"/>
        <w:ind w:left="540" w:hanging="271"/>
      </w:pPr>
      <w:r>
        <w:t>Treating Rev. 3 as a simple renumbering exercise.</w:t>
      </w:r>
    </w:p>
    <w:p>
      <w:pPr>
        <w:pStyle w:val="ListBullet"/>
        <w:spacing w:after="80" w:line="300" w:lineRule="auto"/>
        <w:ind w:left="540" w:hanging="271"/>
      </w:pPr>
      <w:r>
        <w:t>Reusing Rev. 2 evidence without confirming it satisfies the expanded Rev. 3 outcome.</w:t>
      </w:r>
    </w:p>
    <w:p>
      <w:pPr>
        <w:pStyle w:val="ListBullet"/>
        <w:spacing w:after="80" w:line="300" w:lineRule="auto"/>
        <w:ind w:left="540" w:hanging="271"/>
      </w:pPr>
      <w:r>
        <w:t>Leaving ODPs blank until the end of the assessment.</w:t>
      </w:r>
    </w:p>
    <w:p>
      <w:pPr>
        <w:pStyle w:val="ListBullet"/>
        <w:spacing w:after="80" w:line="300" w:lineRule="auto"/>
        <w:ind w:left="540" w:hanging="271"/>
      </w:pPr>
      <w:r>
        <w:t>Marking controls Met based only on policy language or screenshots without operating evidence.</w:t>
      </w:r>
    </w:p>
    <w:p>
      <w:pPr>
        <w:pStyle w:val="ListBullet"/>
        <w:spacing w:after="80" w:line="300" w:lineRule="auto"/>
        <w:ind w:left="540" w:hanging="271"/>
      </w:pPr>
      <w:r>
        <w:t>Assessing the corporate environment while overlooking the actual CUI boundary, external services, or alternate work sites.</w:t>
      </w:r>
    </w:p>
    <w:p>
      <w:pPr>
        <w:pStyle w:val="ListBullet"/>
        <w:spacing w:after="80" w:line="300" w:lineRule="auto"/>
        <w:ind w:left="540" w:hanging="271"/>
      </w:pPr>
      <w:r>
        <w:t>Closing a gap without retesting the implemented change.</w:t>
      </w:r>
    </w:p>
    <w:p>
      <w:pPr>
        <w:spacing w:before="160" w:after="40"/>
      </w:pPr>
      <w:r>
        <w:rPr>
          <w:rFonts w:ascii="Calibri" w:hAnsi="Calibri"/>
          <w:b/>
          <w:i w:val="0"/>
          <w:color w:val="667085"/>
          <w:sz w:val="18"/>
        </w:rPr>
        <w:t xml:space="preserve">Sources: </w:t>
      </w:r>
      <w:hyperlink r:id="rId11">
        <w:r>
          <w:rPr>
            <w:color w:val="2F6690"/>
            <w:u w:val="single"/>
          </w:rPr>
          <w:t>NIST SP 800-171 Rev. 3</w:t>
        </w:r>
      </w:hyperlink>
      <w:r>
        <w:rPr>
          <w:rFonts w:ascii="Calibri" w:hAnsi="Calibri"/>
          <w:b w:val="0"/>
          <w:i w:val="0"/>
          <w:color w:val="667085"/>
          <w:sz w:val="18"/>
        </w:rPr>
        <w:t xml:space="preserve"> | </w:t>
      </w:r>
      <w:hyperlink r:id="rId12">
        <w:r>
          <w:rPr>
            <w:color w:val="2F6690"/>
            <w:u w:val="single"/>
          </w:rPr>
          <w:t>NIST Rev. 2-to-Rev. 3 Change Analysis</w:t>
        </w:r>
      </w:hyperlink>
    </w:p>
    <w:p>
      <w:r>
        <w:rPr>
          <w:rFonts w:ascii="Calibri" w:hAnsi="Calibri"/>
          <w:b w:val="0"/>
          <w:i/>
          <w:color w:val="667085"/>
          <w:sz w:val="18"/>
        </w:rPr>
        <w:t>Companion file: NIST_800-171_Rev3_Transition_Assessment_Workbook.xlsx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667085"/>
        <w:sz w:val="18"/>
      </w:rPr>
      <w:t xml:space="preserve">Client reference | Page </w:t>
    </w:r>
    <w:r>
      <w:rPr>
        <w:rFonts w:ascii="Calibri" w:hAnsi="Calibri"/>
        <w:b w:val="0"/>
        <w:i w:val="0"/>
        <w:color w:val="667085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/>
        <w:b/>
        <w:i w:val="0"/>
        <w:color w:val="667085"/>
        <w:sz w:val="18"/>
      </w:rPr>
      <w:t>NIST SP 800-171 Rev. 3 | Workbook User Guide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F669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F669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7324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66708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src.nist.gov/pubs/sp/800/171/r3/final" TargetMode="External"/><Relationship Id="rId12" Type="http://schemas.openxmlformats.org/officeDocument/2006/relationships/hyperlink" Target="https://csrc.nist.gov/files/pubs/sp/800/171/r3/final/docs/sp800-171r2-to-r3-analysi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Rodriguez</dc:creator>
  <cp:keywords/>
  <cp:lastModifiedBy/>
  <cp:revision>1</cp:revision>
  <dcterms:created xsi:type="dcterms:W3CDTF">2013-12-23T23:15:00Z</dcterms:created>
  <dcterms:modified xsi:type="dcterms:W3CDTF">2013-12-23T23:15:00Z</dcterms:modified>
  <cp:category/>
</cp:coreProperties>
</file>