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Rev. 3 Major Changes and Assessment Checklists</w:t>
      </w:r>
    </w:p>
    <w:p>
      <w:pPr>
        <w:pStyle w:val="Subtitle"/>
      </w:pPr>
      <w:r>
        <w:t>What changed from Rev. 2, what is new, and which controls require defined parameters</w:t>
      </w:r>
    </w:p>
    <w:p>
      <w:pPr>
        <w:spacing w:after="240"/>
        <w:pBdr>
          <w:bottom w:val="single" w:sz="16" w:space="1" w:color="2F6690"/>
        </w:pBdr>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FF4D6"/>
          </w:tcPr>
          <w:p>
            <w:pPr>
              <w:spacing w:after="0"/>
            </w:pPr>
            <w:r>
              <w:rPr>
                <w:rFonts w:ascii="Calibri" w:hAnsi="Calibri"/>
                <w:b/>
                <w:i w:val="0"/>
                <w:color w:val="17324D"/>
                <w:sz w:val="22"/>
              </w:rPr>
              <w:t xml:space="preserve">Bottom line. </w:t>
            </w:r>
            <w:r>
              <w:rPr>
                <w:rFonts w:ascii="Calibri" w:hAnsi="Calibri"/>
                <w:b w:val="0"/>
                <w:i w:val="0"/>
                <w:color w:val="000000"/>
                <w:sz w:val="22"/>
              </w:rPr>
              <w:t>Rev. 3 is not a one-for-one renumbering of Rev. 2. It reduces the active requirement count while adding new families, new requirements, more explicit outcomes, and many organization-defined parameters that must be decided before consistent assessment.</w:t>
            </w:r>
          </w:p>
        </w:tc>
      </w:tr>
    </w:tbl>
    <w:p>
      <w:pPr>
        <w:spacing w:after="40"/>
      </w:pPr>
    </w:p>
    <w:p>
      <w:pPr>
        <w:spacing w:after="160"/>
      </w:pPr>
      <w:r>
        <w:rPr>
          <w:rFonts w:ascii="Calibri" w:hAnsi="Calibri"/>
          <w:b/>
          <w:i w:val="0"/>
          <w:color w:val="667085"/>
          <w:sz w:val="18"/>
        </w:rPr>
        <w:t xml:space="preserve">Sources: </w:t>
      </w:r>
      <w:hyperlink r:id="rId11">
        <w:r>
          <w:rPr>
            <w:color w:val="2F6690"/>
            <w:u w:val="single"/>
          </w:rPr>
          <w:t>NIST SP 800-171 Rev. 3</w:t>
        </w:r>
      </w:hyperlink>
      <w:r>
        <w:rPr>
          <w:rFonts w:ascii="Calibri" w:hAnsi="Calibri"/>
          <w:b w:val="0"/>
          <w:i w:val="0"/>
          <w:color w:val="667085"/>
          <w:sz w:val="18"/>
        </w:rPr>
        <w:t xml:space="preserve"> | </w:t>
      </w:r>
      <w:hyperlink r:id="rId12">
        <w:r>
          <w:rPr>
            <w:color w:val="2F6690"/>
            <w:u w:val="single"/>
          </w:rPr>
          <w:t>NIST Rev. 2-to-Rev. 3 Change Analysis</w:t>
        </w:r>
      </w:hyperlink>
    </w:p>
    <w:p>
      <w:pPr>
        <w:pStyle w:val="Heading1"/>
      </w:pPr>
      <w:r>
        <w:t>Major Changes at a Glance</w:t>
      </w:r>
    </w:p>
    <w:tbl>
      <w:tblPr>
        <w:tblStyle w:val="TableGrid"/>
        <w:tblW w:type="dxa" w:w="9360"/>
        <w:jc w:val="left"/>
        <w:tblLayout w:type="fixed"/>
        <w:tblLook w:firstColumn="1" w:firstRow="1" w:lastColumn="0" w:lastRow="0" w:noHBand="0" w:noVBand="1" w:val="04A0"/>
        <w:tblInd w:w="120" w:type="dxa"/>
      </w:tblPr>
      <w:tblGrid>
        <w:gridCol w:w="1800"/>
        <w:gridCol w:w="1350"/>
        <w:gridCol w:w="1350"/>
        <w:gridCol w:w="4860"/>
      </w:tblGrid>
      <w:tr>
        <w:trPr>
          <w:tblHeader w:val="true"/>
        </w:trPr>
        <w:tc>
          <w:tcPr>
            <w:tcW w:type="dxa" w:w="1800"/>
            <w:shd w:fill="17324D"/>
            <w:vAlign w:val="center"/>
            <w:tcMar>
              <w:top w:w="80" w:type="dxa"/>
              <w:start w:w="120" w:type="dxa"/>
              <w:bottom w:w="80" w:type="dxa"/>
              <w:end w:w="120" w:type="dxa"/>
            </w:tcMar>
          </w:tcPr>
          <w:p>
            <w:r>
              <w:rPr>
                <w:rFonts w:ascii="Calibri" w:hAnsi="Calibri"/>
                <w:b/>
                <w:i w:val="0"/>
                <w:color w:val="FFFFFF"/>
                <w:sz w:val="19"/>
              </w:rPr>
              <w:t>Area</w:t>
            </w:r>
          </w:p>
        </w:tc>
        <w:tc>
          <w:tcPr>
            <w:tcW w:type="dxa" w:w="1350"/>
            <w:shd w:fill="17324D"/>
            <w:vAlign w:val="center"/>
            <w:tcMar>
              <w:top w:w="80" w:type="dxa"/>
              <w:start w:w="120" w:type="dxa"/>
              <w:bottom w:w="80" w:type="dxa"/>
              <w:end w:w="120" w:type="dxa"/>
            </w:tcMar>
          </w:tcPr>
          <w:p>
            <w:r>
              <w:rPr>
                <w:rFonts w:ascii="Calibri" w:hAnsi="Calibri"/>
                <w:b/>
                <w:i w:val="0"/>
                <w:color w:val="FFFFFF"/>
                <w:sz w:val="19"/>
              </w:rPr>
              <w:t>Rev. 2</w:t>
            </w:r>
          </w:p>
        </w:tc>
        <w:tc>
          <w:tcPr>
            <w:tcW w:type="dxa" w:w="1350"/>
            <w:shd w:fill="17324D"/>
            <w:vAlign w:val="center"/>
            <w:tcMar>
              <w:top w:w="80" w:type="dxa"/>
              <w:start w:w="120" w:type="dxa"/>
              <w:bottom w:w="80" w:type="dxa"/>
              <w:end w:w="120" w:type="dxa"/>
            </w:tcMar>
          </w:tcPr>
          <w:p>
            <w:r>
              <w:rPr>
                <w:rFonts w:ascii="Calibri" w:hAnsi="Calibri"/>
                <w:b/>
                <w:i w:val="0"/>
                <w:color w:val="FFFFFF"/>
                <w:sz w:val="19"/>
              </w:rPr>
              <w:t>Rev. 3</w:t>
            </w:r>
          </w:p>
        </w:tc>
        <w:tc>
          <w:tcPr>
            <w:tcW w:type="dxa" w:w="4860"/>
            <w:shd w:fill="17324D"/>
            <w:vAlign w:val="center"/>
            <w:tcMar>
              <w:top w:w="80" w:type="dxa"/>
              <w:start w:w="120" w:type="dxa"/>
              <w:bottom w:w="80" w:type="dxa"/>
              <w:end w:w="120" w:type="dxa"/>
            </w:tcMar>
          </w:tcPr>
          <w:p>
            <w:r>
              <w:rPr>
                <w:rFonts w:ascii="Calibri" w:hAnsi="Calibri"/>
                <w:b/>
                <w:i w:val="0"/>
                <w:color w:val="FFFFFF"/>
                <w:sz w:val="19"/>
              </w:rPr>
              <w:t>Practical Meaning</w:t>
            </w:r>
          </w:p>
        </w:tc>
      </w:tr>
      <w:tr>
        <w:trPr>
          <w:cantSplit/>
        </w:trPr>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Active requirements</w:t>
            </w:r>
          </w:p>
        </w:tc>
        <w:tc>
          <w:tcPr>
            <w:tcW w:type="dxa" w:w="135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110 in Rev. 2</w:t>
            </w:r>
          </w:p>
        </w:tc>
        <w:tc>
          <w:tcPr>
            <w:tcW w:type="dxa" w:w="135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97 in Rev. 3</w:t>
            </w:r>
          </w:p>
        </w:tc>
        <w:tc>
          <w:tcPr>
            <w:tcW w:type="dxa" w:w="486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Requirements were reorganized, consolidated, expanded, added, or withdrawn.</w:t>
            </w:r>
          </w:p>
        </w:tc>
      </w:tr>
      <w:tr>
        <w:trPr>
          <w:cantSplit/>
        </w:trPr>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Requirement families</w:t>
            </w:r>
          </w:p>
        </w:tc>
        <w:tc>
          <w:tcPr>
            <w:tcW w:type="dxa" w:w="13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14</w:t>
            </w:r>
          </w:p>
        </w:tc>
        <w:tc>
          <w:tcPr>
            <w:tcW w:type="dxa" w:w="13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17</w:t>
            </w:r>
          </w:p>
        </w:tc>
        <w:tc>
          <w:tcPr>
            <w:tcW w:type="dxa" w:w="486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Planning, System and Services Acquisition, and Supply Chain Risk Management are now explicit families.</w:t>
            </w:r>
          </w:p>
        </w:tc>
      </w:tr>
      <w:tr>
        <w:trPr>
          <w:cantSplit/>
        </w:trPr>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New Rev. 3 requirements</w:t>
            </w:r>
          </w:p>
        </w:tc>
        <w:tc>
          <w:tcPr>
            <w:tcW w:type="dxa" w:w="135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w:t>
            </w:r>
          </w:p>
        </w:tc>
        <w:tc>
          <w:tcPr>
            <w:tcW w:type="dxa" w:w="135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19</w:t>
            </w:r>
          </w:p>
        </w:tc>
        <w:tc>
          <w:tcPr>
            <w:tcW w:type="dxa" w:w="486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These do not have direct Rev. 2 requirement mappings and need fresh assessment coverage.</w:t>
            </w:r>
          </w:p>
        </w:tc>
      </w:tr>
      <w:tr>
        <w:trPr>
          <w:cantSplit/>
        </w:trPr>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Withdrawn or absorbed Rev. 2 requirements</w:t>
            </w:r>
          </w:p>
        </w:tc>
        <w:tc>
          <w:tcPr>
            <w:tcW w:type="dxa" w:w="13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w:t>
            </w:r>
          </w:p>
        </w:tc>
        <w:tc>
          <w:tcPr>
            <w:tcW w:type="dxa" w:w="13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33</w:t>
            </w:r>
          </w:p>
        </w:tc>
        <w:tc>
          <w:tcPr>
            <w:tcW w:type="dxa" w:w="486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9"/>
              </w:rPr>
              <w:t>Do not simply drop the old outcome; confirm where it was absorbed or why it no longer applies.</w:t>
            </w:r>
          </w:p>
        </w:tc>
      </w:tr>
      <w:tr>
        <w:trPr>
          <w:cantSplit/>
        </w:trPr>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Requirements with ODPs</w:t>
            </w:r>
          </w:p>
        </w:tc>
        <w:tc>
          <w:tcPr>
            <w:tcW w:type="dxa" w:w="135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Limited explicit use</w:t>
            </w:r>
          </w:p>
        </w:tc>
        <w:tc>
          <w:tcPr>
            <w:tcW w:type="dxa" w:w="135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51</w:t>
            </w:r>
          </w:p>
        </w:tc>
        <w:tc>
          <w:tcPr>
            <w:tcW w:type="dxa" w:w="4860"/>
            <w:vAlign w:val="center"/>
            <w:tcMar>
              <w:top w:w="80" w:type="dxa"/>
              <w:start w:w="120" w:type="dxa"/>
              <w:bottom w:w="80" w:type="dxa"/>
              <w:end w:w="120" w:type="dxa"/>
            </w:tcMar>
          </w:tcPr>
          <w:p>
            <w:pPr>
              <w:spacing w:before="0" w:after="40" w:line="264" w:lineRule="auto"/>
            </w:pPr>
            <w:r>
              <w:rPr>
                <w:rFonts w:ascii="Calibri" w:hAnsi="Calibri"/>
                <w:b w:val="0"/>
                <w:i w:val="0"/>
                <w:color w:val="000000"/>
                <w:sz w:val="19"/>
              </w:rPr>
              <w:t>The organization or federal source must define values, selections, frequencies, time periods, and other parameters.</w:t>
            </w:r>
          </w:p>
        </w:tc>
      </w:tr>
    </w:tbl>
    <w:p>
      <w:pPr>
        <w:pStyle w:val="Heading1"/>
      </w:pPr>
      <w:r>
        <w:t>What Assessors Should Do Differently</w:t>
      </w:r>
    </w:p>
    <w:p>
      <w:pPr>
        <w:pStyle w:val="ListBullet"/>
        <w:spacing w:after="80" w:line="300" w:lineRule="auto"/>
        <w:ind w:left="540" w:hanging="271"/>
      </w:pPr>
      <w:r>
        <w:t>Assess the Rev. 3 outcome as written; use the mapping only to locate reusable Rev. 2 evidence.</w:t>
      </w:r>
    </w:p>
    <w:p>
      <w:pPr>
        <w:pStyle w:val="ListBullet"/>
        <w:spacing w:after="80" w:line="300" w:lineRule="auto"/>
        <w:ind w:left="540" w:hanging="271"/>
      </w:pPr>
      <w:r>
        <w:t>Prioritize the 19 new requirements and the 46 requirements classified by NIST as significantly changed.</w:t>
      </w:r>
    </w:p>
    <w:p>
      <w:pPr>
        <w:pStyle w:val="ListBullet"/>
        <w:spacing w:after="80" w:line="300" w:lineRule="auto"/>
        <w:ind w:left="540" w:hanging="271"/>
      </w:pPr>
      <w:r>
        <w:t>Define and approve ODP values before testing. The value becomes part of the requirement.</w:t>
      </w:r>
    </w:p>
    <w:p>
      <w:pPr>
        <w:pStyle w:val="ListBullet"/>
        <w:spacing w:after="80" w:line="300" w:lineRule="auto"/>
        <w:ind w:left="540" w:hanging="271"/>
      </w:pPr>
      <w:r>
        <w:t>Review new family-level governance for policy, planning, acquisition, external services, and supply chain risk.</w:t>
      </w:r>
    </w:p>
    <w:p>
      <w:pPr>
        <w:pStyle w:val="ListBullet"/>
        <w:spacing w:after="80" w:line="300" w:lineRule="auto"/>
        <w:ind w:left="540" w:hanging="271"/>
      </w:pPr>
      <w:r>
        <w:t>Confirm evidence demonstrates operation across the full CUI scope, not just documented intent.</w:t>
      </w:r>
    </w:p>
    <w:p>
      <w:pPr>
        <w:pStyle w:val="ListBullet"/>
        <w:spacing w:after="80" w:line="300" w:lineRule="auto"/>
        <w:ind w:left="540" w:hanging="271"/>
      </w:pPr>
      <w:r>
        <w:t>Update the SSP, procedures, architecture, evidence index, and remediation plan to use Rev. 3 identifiers and outcomes.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AF2F8"/>
          </w:tcPr>
          <w:p>
            <w:pPr>
              <w:spacing w:after="0"/>
            </w:pPr>
            <w:r>
              <w:rPr>
                <w:rFonts w:ascii="Calibri" w:hAnsi="Calibri"/>
                <w:b/>
                <w:i w:val="0"/>
                <w:color w:val="17324D"/>
                <w:sz w:val="22"/>
              </w:rPr>
              <w:t xml:space="preserve">Important. </w:t>
            </w:r>
            <w:r>
              <w:rPr>
                <w:rFonts w:ascii="Calibri" w:hAnsi="Calibri"/>
                <w:b w:val="0"/>
                <w:i w:val="0"/>
                <w:color w:val="000000"/>
                <w:sz w:val="22"/>
              </w:rPr>
              <w:t>A mapped Rev. 2 identifier does not mean the Rev. 3 requirement is unchanged. Many mapped requirements were significantly expanded or made more explicit. Use the NIST change analysis and the workbook Transition Type column to determine whether legacy evidence is sufficient.</w:t>
            </w:r>
          </w:p>
        </w:tc>
      </w:tr>
    </w:tbl>
    <w:p>
      <w:pPr>
        <w:spacing w:after="40"/>
      </w:pPr>
    </w:p>
    <w:p>
      <w:pPr>
        <w:pStyle w:val="Heading1"/>
      </w:pPr>
      <w:r>
        <w:t>Checklist: New Rev. 3 Requirements</w:t>
      </w:r>
    </w:p>
    <w:p>
      <w:pPr>
        <w:spacing w:after="160"/>
      </w:pPr>
      <w:r>
        <w:t>These 19 requirements have no direct Rev. 2 requirement mapping. Check each item when the assessment approach, evidence, and testing are defined.</w:t>
      </w:r>
    </w:p>
    <w:tbl>
      <w:tblPr>
        <w:tblStyle w:val="TableGrid"/>
        <w:tblW w:type="dxa" w:w="9360"/>
        <w:jc w:val="left"/>
        <w:tblLayout w:type="fixed"/>
        <w:tblLook w:firstColumn="1" w:firstRow="1" w:lastColumn="0" w:lastRow="0" w:noHBand="0" w:noVBand="1" w:val="04A0"/>
        <w:tblInd w:w="120" w:type="dxa"/>
      </w:tblPr>
      <w:tblGrid>
        <w:gridCol w:w="450"/>
        <w:gridCol w:w="1050"/>
        <w:gridCol w:w="2750"/>
        <w:gridCol w:w="5110"/>
      </w:tblGrid>
      <w:tr>
        <w:trPr>
          <w:tblHeader w:val="true"/>
        </w:trPr>
        <w:tc>
          <w:tcPr>
            <w:tcW w:type="dxa" w:w="450"/>
            <w:shd w:fill="17324D"/>
            <w:vAlign w:val="center"/>
            <w:tcMar>
              <w:top w:w="80" w:type="dxa"/>
              <w:start w:w="120" w:type="dxa"/>
              <w:bottom w:w="80" w:type="dxa"/>
              <w:end w:w="120" w:type="dxa"/>
            </w:tcMar>
          </w:tcPr>
          <w:p>
            <w:r>
              <w:rPr>
                <w:rFonts w:ascii="Calibri" w:hAnsi="Calibri"/>
                <w:b/>
                <w:i w:val="0"/>
                <w:color w:val="FFFFFF"/>
                <w:sz w:val="18"/>
              </w:rPr>
            </w:r>
          </w:p>
        </w:tc>
        <w:tc>
          <w:tcPr>
            <w:tcW w:type="dxa" w:w="1050"/>
            <w:shd w:fill="17324D"/>
            <w:vAlign w:val="center"/>
            <w:tcMar>
              <w:top w:w="80" w:type="dxa"/>
              <w:start w:w="120" w:type="dxa"/>
              <w:bottom w:w="80" w:type="dxa"/>
              <w:end w:w="120" w:type="dxa"/>
            </w:tcMar>
          </w:tcPr>
          <w:p>
            <w:r>
              <w:rPr>
                <w:rFonts w:ascii="Calibri" w:hAnsi="Calibri"/>
                <w:b/>
                <w:i w:val="0"/>
                <w:color w:val="FFFFFF"/>
                <w:sz w:val="18"/>
              </w:rPr>
              <w:t>ID</w:t>
            </w:r>
          </w:p>
        </w:tc>
        <w:tc>
          <w:tcPr>
            <w:tcW w:type="dxa" w:w="2750"/>
            <w:shd w:fill="17324D"/>
            <w:vAlign w:val="center"/>
            <w:tcMar>
              <w:top w:w="80" w:type="dxa"/>
              <w:start w:w="120" w:type="dxa"/>
              <w:bottom w:w="80" w:type="dxa"/>
              <w:end w:w="120" w:type="dxa"/>
            </w:tcMar>
          </w:tcPr>
          <w:p>
            <w:r>
              <w:rPr>
                <w:rFonts w:ascii="Calibri" w:hAnsi="Calibri"/>
                <w:b/>
                <w:i w:val="0"/>
                <w:color w:val="FFFFFF"/>
                <w:sz w:val="18"/>
              </w:rPr>
              <w:t>New Requirement</w:t>
            </w:r>
          </w:p>
        </w:tc>
        <w:tc>
          <w:tcPr>
            <w:tcW w:type="dxa" w:w="5110"/>
            <w:shd w:fill="17324D"/>
            <w:vAlign w:val="center"/>
            <w:tcMar>
              <w:top w:w="80" w:type="dxa"/>
              <w:start w:w="120" w:type="dxa"/>
              <w:bottom w:w="80" w:type="dxa"/>
              <w:end w:w="120" w:type="dxa"/>
            </w:tcMar>
          </w:tcPr>
          <w:p>
            <w:r>
              <w:rPr>
                <w:rFonts w:ascii="Calibri" w:hAnsi="Calibri"/>
                <w:b/>
                <w:i w:val="0"/>
                <w:color w:val="FFFFFF"/>
                <w:sz w:val="18"/>
              </w:rPr>
              <w:t>What Needs to Be Assessed</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03.04.10</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System Component Inventory</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Verify a complete, accurate, and regularly reviewed inventory of components in the CUI scope.</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03.04.11</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Information Location</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Map where CUI and system components are located, including hosted, cloud, remote, and alternate-work locations.</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03.04.12</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System and Component Configuration for High-Risk Areas</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Define and enforce required configurations for high-risk areas and document the security requirements used.</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03.05.12</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Authenticator Management</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Assess authenticator issuance, protection, change, refresh, revocation, and compromise handling.</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03.06.04</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Incident Response Training</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Confirm incident-response training is provided initially, periodically, and after defined events.</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03.06.05</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Incident Response Plan</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Confirm an approved incident-response plan exists, is distributed, reviewed, updated, and coordinated.</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03.10.07</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Physical Access Control</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Test facility entry/exit enforcement, access logs, visitor control, key management, and protection of output devices.</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03.10.08</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 xml:space="preserve">Access Control for Transmission  </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Verify physical and technical protection for CUI transmission paths and supporting infrastructure.</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03.11.04</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Risk Response</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Trace identified risks to documented response decisions, owners, treatment, acceptance, and follow-up.</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03.12.05</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Information Exchange</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Verify information exchanges are governed by appropriate agreements and are reviewed at the defined frequency.</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03.14.08</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Information Management and Retention</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Assess retention, handling, and disposal rules for CUI and supporting system information.</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03.15.01</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Policy and Procedures</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Verify each requirement family has current policy and procedures, assigned responsibilities, and periodic review.</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03.15.03</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Rules of Behavior</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Confirm users acknowledge rules of behavior before access and after defined updates.</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03.16.01</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Security Engineering Principles</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Verify security engineering principles are defined and applied throughout system design and development.</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03.16.02</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Unsupported System Components</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Identify unsupported components and verify replacement, isolation, or approved risk treatment.</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03.16.03</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External System Services</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Assess external system services, provider responsibilities, contractual requirements, monitoring, and evidence.</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03.17.01</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Supply Chain Risk Management Plan</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Confirm a system-level supply chain risk management plan exists, is maintained, and is reviewed.</w:t>
            </w:r>
          </w:p>
        </w:tc>
      </w:tr>
      <w:tr>
        <w:trPr>
          <w:cantSplit/>
        </w:trPr>
        <w:tc>
          <w:tcPr>
            <w:tcW w:type="dxa" w:w="4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03.17.02</w:t>
            </w:r>
          </w:p>
        </w:tc>
        <w:tc>
          <w:tcPr>
            <w:tcW w:type="dxa" w:w="27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Acquisition Strategies, Tools, and Methods</w:t>
            </w:r>
          </w:p>
        </w:tc>
        <w:tc>
          <w:tcPr>
            <w:tcW w:type="dxa" w:w="51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8"/>
              </w:rPr>
              <w:t>Verify acquisition strategies and methods address supply chain threats and critical components.</w:t>
            </w:r>
          </w:p>
        </w:tc>
      </w:tr>
      <w:tr>
        <w:trPr>
          <w:cantSplit/>
        </w:trPr>
        <w:tc>
          <w:tcPr>
            <w:tcW w:type="dxa" w:w="4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w:t>
            </w:r>
          </w:p>
        </w:tc>
        <w:tc>
          <w:tcPr>
            <w:tcW w:type="dxa" w:w="10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03.17.03</w:t>
            </w:r>
          </w:p>
        </w:tc>
        <w:tc>
          <w:tcPr>
            <w:tcW w:type="dxa" w:w="275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Supply Chain Requirements and Processes</w:t>
            </w:r>
          </w:p>
        </w:tc>
        <w:tc>
          <w:tcPr>
            <w:tcW w:type="dxa" w:w="5110"/>
            <w:vAlign w:val="center"/>
            <w:tcMar>
              <w:top w:w="80" w:type="dxa"/>
              <w:start w:w="120" w:type="dxa"/>
              <w:bottom w:w="80" w:type="dxa"/>
              <w:end w:w="120" w:type="dxa"/>
            </w:tcMar>
          </w:tcPr>
          <w:p>
            <w:pPr>
              <w:spacing w:before="0" w:after="40" w:line="264" w:lineRule="auto"/>
            </w:pPr>
            <w:r>
              <w:rPr>
                <w:rFonts w:ascii="Calibri" w:hAnsi="Calibri"/>
                <w:b w:val="0"/>
                <w:i w:val="0"/>
                <w:color w:val="000000"/>
                <w:sz w:val="18"/>
              </w:rPr>
              <w:t>Confirm supplier and component security requirements are defined, flowed down, monitored, and enforced.</w:t>
            </w:r>
          </w:p>
        </w:tc>
      </w:tr>
    </w:tbl>
    <w:p>
      <w:r>
        <w:br w:type="page"/>
      </w:r>
    </w:p>
    <w:p>
      <w:pPr>
        <w:pStyle w:val="Heading1"/>
      </w:pPr>
      <w:r>
        <w:t>Checklist: Requirements With Organization-Defined Parameters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AF2F8"/>
          </w:tcPr>
          <w:p>
            <w:pPr>
              <w:spacing w:after="0"/>
            </w:pPr>
            <w:r>
              <w:rPr>
                <w:rFonts w:ascii="Calibri" w:hAnsi="Calibri"/>
                <w:b/>
                <w:i w:val="0"/>
                <w:color w:val="17324D"/>
                <w:sz w:val="22"/>
              </w:rPr>
              <w:t xml:space="preserve">How to use this list. </w:t>
            </w:r>
            <w:r>
              <w:rPr>
                <w:rFonts w:ascii="Calibri" w:hAnsi="Calibri"/>
                <w:b w:val="0"/>
                <w:i w:val="0"/>
                <w:color w:val="000000"/>
                <w:sz w:val="22"/>
              </w:rPr>
              <w:t>For every row, record the organization-defined value in the workbook, identify the authority or approver, and then test the implementation against that exact value. “TBD” is not an assessable parameter.</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1250"/>
        <w:gridCol w:w="2300"/>
        <w:gridCol w:w="1800"/>
        <w:gridCol w:w="4010"/>
      </w:tblGrid>
      <w:tr>
        <w:trPr>
          <w:tblHeader w:val="true"/>
        </w:trPr>
        <w:tc>
          <w:tcPr>
            <w:tcW w:type="dxa" w:w="1250"/>
            <w:shd w:fill="17324D"/>
            <w:vAlign w:val="center"/>
            <w:tcMar>
              <w:top w:w="80" w:type="dxa"/>
              <w:start w:w="120" w:type="dxa"/>
              <w:bottom w:w="80" w:type="dxa"/>
              <w:end w:w="120" w:type="dxa"/>
            </w:tcMar>
          </w:tcPr>
          <w:p>
            <w:r>
              <w:rPr>
                <w:rFonts w:ascii="Calibri" w:hAnsi="Calibri"/>
                <w:b/>
                <w:i w:val="0"/>
                <w:color w:val="FFFFFF"/>
                <w:sz w:val="17"/>
              </w:rPr>
              <w:t>Rev. 3 ID</w:t>
            </w:r>
          </w:p>
        </w:tc>
        <w:tc>
          <w:tcPr>
            <w:tcW w:type="dxa" w:w="2300"/>
            <w:shd w:fill="17324D"/>
            <w:vAlign w:val="center"/>
            <w:tcMar>
              <w:top w:w="80" w:type="dxa"/>
              <w:start w:w="120" w:type="dxa"/>
              <w:bottom w:w="80" w:type="dxa"/>
              <w:end w:w="120" w:type="dxa"/>
            </w:tcMar>
          </w:tcPr>
          <w:p>
            <w:r>
              <w:rPr>
                <w:rFonts w:ascii="Calibri" w:hAnsi="Calibri"/>
                <w:b/>
                <w:i w:val="0"/>
                <w:color w:val="FFFFFF"/>
                <w:sz w:val="17"/>
              </w:rPr>
              <w:t>Requirement</w:t>
            </w:r>
          </w:p>
        </w:tc>
        <w:tc>
          <w:tcPr>
            <w:tcW w:type="dxa" w:w="1800"/>
            <w:shd w:fill="17324D"/>
            <w:vAlign w:val="center"/>
            <w:tcMar>
              <w:top w:w="80" w:type="dxa"/>
              <w:start w:w="120" w:type="dxa"/>
              <w:bottom w:w="80" w:type="dxa"/>
              <w:end w:w="120" w:type="dxa"/>
            </w:tcMar>
          </w:tcPr>
          <w:p>
            <w:r>
              <w:rPr>
                <w:rFonts w:ascii="Calibri" w:hAnsi="Calibri"/>
                <w:b/>
                <w:i w:val="0"/>
                <w:color w:val="FFFFFF"/>
                <w:sz w:val="17"/>
              </w:rPr>
              <w:t>Compared With Rev. 2</w:t>
            </w:r>
          </w:p>
        </w:tc>
        <w:tc>
          <w:tcPr>
            <w:tcW w:type="dxa" w:w="4010"/>
            <w:shd w:fill="17324D"/>
            <w:vAlign w:val="center"/>
            <w:tcMar>
              <w:top w:w="80" w:type="dxa"/>
              <w:start w:w="120" w:type="dxa"/>
              <w:bottom w:w="80" w:type="dxa"/>
              <w:end w:w="120" w:type="dxa"/>
            </w:tcMar>
          </w:tcPr>
          <w:p>
            <w:r>
              <w:rPr>
                <w:rFonts w:ascii="Calibri" w:hAnsi="Calibri"/>
                <w:b/>
                <w:i w:val="0"/>
                <w:color w:val="FFFFFF"/>
                <w:sz w:val="17"/>
              </w:rPr>
              <w:t>Define Before Assessment</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03.01.01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Account Management</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3.1.1</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time period to notify personnel/roles when accounts are no longer required; time period to notify personnel/roles when users terminated/transferred; time period to notify personnel/roles when system usage or need-to-know changes for an indivdual; time period of inactivity or circumstances in which users are required to log out</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03.01.05</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Least Privilege</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3.1.5</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security functions in which to authorize access; security-relevant informationin which to authorize access; frequency to review privileges assigned to roles/classes of users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03.01.06</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Least Privilege – Privileged Accounts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3.1.6</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personnel or roles to restrict privileged accounts to</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03.01.08</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Unsuccessful Logon Attempts</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3.1.8</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number of consecutive invalid login attempts; selection of one or more options (lock account/note for time period, lock account/note until released by administrator, delay next logon prompt, notify system administrator, take other action) when maximum number of unsuccesfful login attempts is exceeded</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03.01.10</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Device Lock</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3.1.10</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select one or more ways to initiate device lock; time period to initiate device lock (if selected)</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03.01.11</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Session Termination</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3.1.11</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conditions or trigger events for session termination</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03.01.20</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Use of External Systems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3.1.20</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terms, conditions, and requirements to be satisfied on external systems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03.02.01</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Literacy Training and Awareness</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3.2.1</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after intial training to provide security literacy training to users; events that necessitate re-taking training; frequency to update training content; events that necessitate updating training</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03.02.02</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Role-Based Training</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3.2.2</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provide role-based training after initial training; events that require providing role-based training; frequency to update training; events that necessitate updating training</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03.03.01</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Event Logging</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3.3.1</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events types to log; frequency to review and update event types selected for logging</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03.03.04</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Response to Audit Logging Process Failures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3.3.4</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time period to alert personnel/roles; additional action(s) to take in the event of audit logging failure</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03.03.05</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Audit Record Review, Analysis, and Reporting</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3.3.5</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analyze system audit records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03.03.07</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Time Stamps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3.3.7</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granularity of time measurement</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03.04.01</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Baseline Configuration</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3.4.1</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update baseline configuration</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03.04.02</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Configuration Settings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3.4.2</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configuration settings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03.04.06</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Least Functionality</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3.4.6</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prohibited or restricted functions, system ports, protocols, software, and/or services; frequency to review system for unneccesary or nonsecure functions, ports, protocols, connections, and services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03.04.08</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Authorized Software – Allow by Exception</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3.4.8</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update authorized software programs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03.04.10</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System Component Inventory</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update system component inventory</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03.04.12</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System and Component Configuration for High-Risk Areas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system configurations security requirements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03.05.01</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User Identification, Authentication, and Re-Authentication</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3.5.1</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circumstances or situations requiring re-authentication</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03.05.02</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Device Identification and Authentication</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3.5.2</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devices or types of devices to uniquely identify and authenticate</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03.05.05</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Identifier Management</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3.5.5</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time period to prevent reuse of identifiers; characteristic identifying individual status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03.05.07</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Password Management</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3.5.7</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update list of commonly-used, expected, or compromised passwords; composition and complexity rules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03.05.12</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Authenticator Management</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change or refresh authenticators; events to require a change or refresh of authenticators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03.06.02</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Incident Monitoring, Reporting, and Response Assistance</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3.6.2</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authorities to report incident information to</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03.06.03</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Incident Response Testing</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3.6.3</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test effectiveness of incident response capability</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03.06.04</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Incident Response Training</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time period to provide incident response training for new role/access; frequency to provide incident response training after initial training; frequency to review and update training content; events that require an update to  incident response training content</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03.08.07</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Media Use</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3.8.7</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removeable system media that are restricted or prohibited</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03.09.01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Personnel Screening</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3.9.1</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conditions requiring rescreening</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03.09.02</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Personnel Termination and Transfer</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3.9.2</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time period to disable system access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03.10.01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Physical Access Authorizations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3.10.1</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facility access list</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03.10.02</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Monitoring Physical Access</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3.10.2</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physical access logs; events or potential indications of events to review physical access logs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03.10.06</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Alternate Work Site</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3.10.6</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security requirements employed at alternate work sites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03.10.07</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Physical Access Control</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circumstances requiring visitor escorts and control of visitor activity</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03.11.01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Risk Assessment</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3.11.1</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update risk assessments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03.11.02</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Vulnerability Monitoring and Scanning</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3.11.2</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monitor and scan system for vulnerabilities; response time to remediate vulnerabilities; frequency to update vulnerabilities to be scanned</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03.12.01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Security Assessment</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3.12.1</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determine if requirements have been satisfied</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03.12.05</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Information Exchange</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selection of one or more (interconnection security agreements, information exchange agreements, memoranda of understanding or agreement, service-level agreements, user agreements, non-disclosure agreements, or other types of agreements); frequency to review and update agreements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03.13.09</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Network Disconnect</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3.13.9</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time period of inactivity to terminate the network connection</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03.13.10</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Cryptographic Key Establishment and Management</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3.13.10</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requirements for key generation, distribution, storage, access and destruction</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03.13.11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Cryptographic Protection</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3.13.11</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types of cryptography used to protect confidentiality of CUI</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03.13.12</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Collaborative Computing Devices and Applications</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3.13.12</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exceptions where remote activation is allowed</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03.14.01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Flaw Remediation</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Mapped from 3.14.1</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time period to install security-relevant software and firmware updates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03.14.02</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Malicious Code Protection</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3.14.2</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perform system scans</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03.15.01</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Policy and Procedures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update policies and procedures</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03.15.02</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System Security Plan</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Mapped from 3.12.4</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update system security plan</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03.15.03</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Rules of Behavior</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update rules of behavior</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03.16.01</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Security Engineering Principles</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system security engineering principles to apply</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03.16.03</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External System Services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security requirements for external system services to comply with</w:t>
            </w:r>
          </w:p>
        </w:tc>
      </w:tr>
      <w:tr>
        <w:trPr>
          <w:cantSplit/>
        </w:trPr>
        <w:tc>
          <w:tcPr>
            <w:tcW w:type="dxa" w:w="125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03.17.01</w:t>
            </w:r>
          </w:p>
        </w:tc>
        <w:tc>
          <w:tcPr>
            <w:tcW w:type="dxa" w:w="23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Supply Chain Risk Management Plan</w:t>
            </w:r>
          </w:p>
        </w:tc>
        <w:tc>
          <w:tcPr>
            <w:tcW w:type="dxa" w:w="180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shd w:fill="F5F7FA"/>
            <w:tcMar>
              <w:top w:w="80" w:type="dxa"/>
              <w:start w:w="120" w:type="dxa"/>
              <w:bottom w:w="80" w:type="dxa"/>
              <w:end w:w="120" w:type="dxa"/>
            </w:tcMar>
          </w:tcPr>
          <w:p>
            <w:pPr>
              <w:spacing w:before="0" w:after="40" w:line="264" w:lineRule="auto"/>
            </w:pPr>
            <w:r>
              <w:rPr>
                <w:rFonts w:ascii="Calibri" w:hAnsi="Calibri"/>
                <w:b w:val="0"/>
                <w:i w:val="0"/>
                <w:color w:val="000000"/>
                <w:sz w:val="17"/>
              </w:rPr>
              <w:t>frequency to review and update supply chain risk management plan</w:t>
            </w:r>
          </w:p>
        </w:tc>
      </w:tr>
      <w:tr>
        <w:trPr>
          <w:cantSplit/>
        </w:trPr>
        <w:tc>
          <w:tcPr>
            <w:tcW w:type="dxa" w:w="125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03.17.03</w:t>
            </w:r>
          </w:p>
        </w:tc>
        <w:tc>
          <w:tcPr>
            <w:tcW w:type="dxa" w:w="23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Supply Chain Requirements and Processes</w:t>
            </w:r>
          </w:p>
        </w:tc>
        <w:tc>
          <w:tcPr>
            <w:tcW w:type="dxa" w:w="180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New in Rev. 3</w:t>
            </w:r>
          </w:p>
        </w:tc>
        <w:tc>
          <w:tcPr>
            <w:tcW w:type="dxa" w:w="4010"/>
            <w:vAlign w:val="center"/>
            <w:tcMar>
              <w:top w:w="80" w:type="dxa"/>
              <w:start w:w="120" w:type="dxa"/>
              <w:bottom w:w="80" w:type="dxa"/>
              <w:end w:w="120" w:type="dxa"/>
            </w:tcMar>
          </w:tcPr>
          <w:p>
            <w:pPr>
              <w:spacing w:before="0" w:after="40" w:line="264" w:lineRule="auto"/>
            </w:pPr>
            <w:r>
              <w:rPr>
                <w:rFonts w:ascii="Calibri" w:hAnsi="Calibri"/>
                <w:b w:val="0"/>
                <w:i w:val="0"/>
                <w:color w:val="000000"/>
                <w:sz w:val="17"/>
              </w:rPr>
              <w:t>security requirement to enforce to protect against supply chain risks</w:t>
            </w:r>
          </w:p>
        </w:tc>
      </w:tr>
    </w:tbl>
    <w:p>
      <w:pPr>
        <w:pStyle w:val="Heading1"/>
      </w:pPr>
      <w:r>
        <w:t>Definition Checklist</w:t>
      </w:r>
    </w:p>
    <w:p>
      <w:pPr>
        <w:pStyle w:val="ListBullet"/>
        <w:spacing w:after="80" w:line="300" w:lineRule="auto"/>
        <w:ind w:left="540" w:hanging="271"/>
      </w:pPr>
      <w:r>
        <w:t>The value or selection is specific and measurable.</w:t>
      </w:r>
    </w:p>
    <w:p>
      <w:pPr>
        <w:pStyle w:val="ListBullet"/>
        <w:spacing w:after="80" w:line="300" w:lineRule="auto"/>
        <w:ind w:left="540" w:hanging="271"/>
      </w:pPr>
      <w:r>
        <w:t>The source or approval authority is documented.</w:t>
      </w:r>
    </w:p>
    <w:p>
      <w:pPr>
        <w:pStyle w:val="ListBullet"/>
        <w:spacing w:after="80" w:line="300" w:lineRule="auto"/>
        <w:ind w:left="540" w:hanging="271"/>
      </w:pPr>
      <w:r>
        <w:t>Policies, procedures, configurations, and contracts use the same value.</w:t>
      </w:r>
    </w:p>
    <w:p>
      <w:pPr>
        <w:pStyle w:val="ListBullet"/>
        <w:spacing w:after="80" w:line="300" w:lineRule="auto"/>
        <w:ind w:left="540" w:hanging="271"/>
      </w:pPr>
      <w:r>
        <w:t>The value is implemented consistently across the assessed CUI scope.</w:t>
      </w:r>
    </w:p>
    <w:p>
      <w:pPr>
        <w:pStyle w:val="ListBullet"/>
        <w:spacing w:after="80" w:line="300" w:lineRule="auto"/>
        <w:ind w:left="540" w:hanging="271"/>
      </w:pPr>
      <w:r>
        <w:t>Evidence demonstrates operation at the defined frequency, time period, threshold, event, or condition.</w:t>
      </w:r>
    </w:p>
    <w:p>
      <w:pPr>
        <w:pStyle w:val="ListBullet"/>
        <w:spacing w:after="80" w:line="300" w:lineRule="auto"/>
        <w:ind w:left="540" w:hanging="271"/>
      </w:pPr>
      <w:r>
        <w:t>A review trigger or cadence exists so the parameter does not become stale.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667085"/>
        <w:sz w:val="18"/>
      </w:rPr>
      <w:t xml:space="preserve">Client reference | Page </w:t>
    </w:r>
    <w:r>
      <w:rPr>
        <w:rFonts w:ascii="Calibri" w:hAnsi="Calibri"/>
        <w:b w:val="0"/>
        <w:i w:val="0"/>
        <w:color w:val="667085"/>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b/>
        <w:i w:val="0"/>
        <w:color w:val="667085"/>
        <w:sz w:val="18"/>
      </w:rPr>
      <w:t>NIST SP 800-171 Rev. 3 | Major Changes and Checklists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F6690"/>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F6690"/>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7324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20"/>
    </w:pPr>
    <w:rPr>
      <w:rFonts w:asciiTheme="majorHAnsi" w:eastAsiaTheme="majorEastAsia" w:hAnsiTheme="majorHAnsi" w:cstheme="majorBidi" w:ascii="Calibri" w:hAnsi="Calibri"/>
      <w:b w:val="0"/>
      <w:i/>
      <w:iCs/>
      <w:color w:val="66708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src.nist.gov/pubs/sp/800/171/r3/final" TargetMode="External"/><Relationship Id="rId12" Type="http://schemas.openxmlformats.org/officeDocument/2006/relationships/hyperlink" Target="https://csrc.nist.gov/files/pubs/sp/800/171/r3/final/docs/sp800-171r2-to-r3-analysi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