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03</w:t>
        <w:tab/>
        <w:t xml:space="preserve">Food safety and nutrition policy</w:t>
      </w:r>
    </w:p>
    <w:p w:rsidR="00000000" w:rsidDel="00000000" w:rsidP="00000000" w:rsidRDefault="00000000" w:rsidRPr="00000000" w14:paraId="00000002">
      <w:pPr>
        <w:pStyle w:val="Heading1"/>
        <w:spacing w:after="120" w:before="120" w:line="360" w:lineRule="auto"/>
        <w:rPr>
          <w:b w:val="0"/>
          <w:sz w:val="22"/>
          <w:szCs w:val="22"/>
        </w:rPr>
      </w:pPr>
      <w:r w:rsidDel="00000000" w:rsidR="00000000" w:rsidRPr="00000000">
        <w:rPr>
          <w:b w:val="0"/>
          <w:sz w:val="22"/>
          <w:szCs w:val="22"/>
          <w:rtl w:val="0"/>
        </w:rPr>
        <w:t xml:space="preserve">Alongside associated procedures in 03.1-03.6 Food safety and nutrition, this policy was adopted by </w:t>
      </w:r>
      <w:r w:rsidDel="00000000" w:rsidR="00000000" w:rsidRPr="00000000">
        <w:rPr>
          <w:b w:val="0"/>
          <w:i w:val="1"/>
          <w:sz w:val="22"/>
          <w:szCs w:val="22"/>
          <w:rtl w:val="0"/>
        </w:rPr>
        <w:t xml:space="preserve">St Johns Green Playgroup Ltd September 2023</w:t>
      </w:r>
      <w:r w:rsidDel="00000000" w:rsidR="00000000" w:rsidRPr="00000000">
        <w:rPr>
          <w:rtl w:val="0"/>
        </w:rPr>
      </w:r>
    </w:p>
    <w:p w:rsidR="00000000" w:rsidDel="00000000" w:rsidP="00000000" w:rsidRDefault="00000000" w:rsidRPr="00000000" w14:paraId="00000003">
      <w:pPr>
        <w:pStyle w:val="Heading1"/>
        <w:spacing w:after="120" w:before="120" w:line="360" w:lineRule="auto"/>
        <w:rPr>
          <w:sz w:val="24"/>
          <w:szCs w:val="24"/>
        </w:rPr>
      </w:pPr>
      <w:r w:rsidDel="00000000" w:rsidR="00000000" w:rsidRPr="00000000">
        <w:rPr>
          <w:sz w:val="24"/>
          <w:szCs w:val="24"/>
          <w:rtl w:val="0"/>
        </w:rPr>
        <w:t xml:space="preserve">Aim</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rsidR="00000000" w:rsidDel="00000000" w:rsidP="00000000" w:rsidRDefault="00000000" w:rsidRPr="00000000" w14:paraId="00000005">
      <w:pPr>
        <w:pStyle w:val="Heading6"/>
        <w:spacing w:after="120" w:before="120" w:line="360" w:lineRule="auto"/>
        <w:rPr>
          <w:rFonts w:ascii="Arial" w:cs="Arial" w:eastAsia="Arial" w:hAnsi="Arial"/>
          <w:b w:val="1"/>
          <w:i w:val="0"/>
          <w:color w:val="000000"/>
        </w:rPr>
      </w:pPr>
      <w:r w:rsidDel="00000000" w:rsidR="00000000" w:rsidRPr="00000000">
        <w:rPr>
          <w:rFonts w:ascii="Arial" w:cs="Arial" w:eastAsia="Arial" w:hAnsi="Arial"/>
          <w:b w:val="1"/>
          <w:i w:val="0"/>
          <w:color w:val="000000"/>
          <w:rtl w:val="0"/>
        </w:rPr>
        <w:t xml:space="preserve">Objectives </w:t>
      </w:r>
    </w:p>
    <w:p w:rsidR="00000000" w:rsidDel="00000000" w:rsidP="00000000" w:rsidRDefault="00000000" w:rsidRPr="00000000" w14:paraId="00000006">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We recognise that we have a corporate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rsidR="00000000" w:rsidDel="00000000" w:rsidP="00000000" w:rsidRDefault="00000000" w:rsidRPr="00000000" w14:paraId="00000007">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Procedure 01.3 Kitchen is followed for general hygiene and safety in food preparation areas.</w:t>
      </w:r>
    </w:p>
    <w:p w:rsidR="00000000" w:rsidDel="00000000" w:rsidP="00000000" w:rsidRDefault="00000000" w:rsidRPr="00000000" w14:paraId="00000008">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We provide nutritionally sound meals and snacks which promote health and reduce the risk of obesity and heart disease that may begin in childhood. </w:t>
      </w:r>
    </w:p>
    <w:p w:rsidR="00000000" w:rsidDel="00000000" w:rsidP="00000000" w:rsidRDefault="00000000" w:rsidRPr="00000000" w14:paraId="00000009">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We follow the main advice on dietary guidelines and the legal requirements for identifying food allergens when planning menus based on the four food groups: </w:t>
      </w:r>
    </w:p>
    <w:p w:rsidR="00000000" w:rsidDel="00000000" w:rsidP="00000000" w:rsidRDefault="00000000" w:rsidRPr="00000000" w14:paraId="0000000A">
      <w:pPr>
        <w:numPr>
          <w:ilvl w:val="0"/>
          <w:numId w:val="2"/>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meat, fish, and protein alternatives </w:t>
      </w:r>
    </w:p>
    <w:p w:rsidR="00000000" w:rsidDel="00000000" w:rsidP="00000000" w:rsidRDefault="00000000" w:rsidRPr="00000000" w14:paraId="0000000B">
      <w:pPr>
        <w:numPr>
          <w:ilvl w:val="0"/>
          <w:numId w:val="2"/>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milk and dairy products </w:t>
      </w:r>
    </w:p>
    <w:p w:rsidR="00000000" w:rsidDel="00000000" w:rsidP="00000000" w:rsidRDefault="00000000" w:rsidRPr="00000000" w14:paraId="0000000C">
      <w:pPr>
        <w:numPr>
          <w:ilvl w:val="0"/>
          <w:numId w:val="2"/>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cereals and grains</w:t>
      </w:r>
    </w:p>
    <w:p w:rsidR="00000000" w:rsidDel="00000000" w:rsidP="00000000" w:rsidRDefault="00000000" w:rsidRPr="00000000" w14:paraId="0000000D">
      <w:pPr>
        <w:numPr>
          <w:ilvl w:val="0"/>
          <w:numId w:val="2"/>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fresh fruit and vegetables.</w:t>
      </w:r>
    </w:p>
    <w:p w:rsidR="00000000" w:rsidDel="00000000" w:rsidP="00000000" w:rsidRDefault="00000000" w:rsidRPr="00000000" w14:paraId="0000000E">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Following dietary guidelines to promote health also means taking account of guidelines to reduce risk of disease caused by unhealthy eating.</w:t>
      </w:r>
    </w:p>
    <w:p w:rsidR="00000000" w:rsidDel="00000000" w:rsidP="00000000" w:rsidRDefault="00000000" w:rsidRPr="00000000" w14:paraId="0000000F">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Parents share information about their children’s particular dietary needs with staff when they enrol their children and on an on-going basis with their key person. This information is shared with all staff who are involved in the care of the child.</w:t>
      </w:r>
    </w:p>
    <w:p w:rsidR="00000000" w:rsidDel="00000000" w:rsidP="00000000" w:rsidRDefault="00000000" w:rsidRPr="00000000" w14:paraId="00000010">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Foods provided by the setting for children have any allergenic ingredients.</w:t>
      </w:r>
    </w:p>
    <w:p w:rsidR="00000000" w:rsidDel="00000000" w:rsidP="00000000" w:rsidRDefault="00000000" w:rsidRPr="00000000" w14:paraId="00000011">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Care is taken to ensure that children with food allergies do not have contact with food products that they are allergic to.</w:t>
      </w:r>
    </w:p>
    <w:p w:rsidR="00000000" w:rsidDel="00000000" w:rsidP="00000000" w:rsidRDefault="00000000" w:rsidRPr="00000000" w14:paraId="00000012">
      <w:pPr>
        <w:numPr>
          <w:ilvl w:val="0"/>
          <w:numId w:val="4"/>
        </w:numPr>
        <w:spacing w:after="120" w:before="120" w:line="360" w:lineRule="auto"/>
        <w:ind w:left="357" w:hanging="357"/>
        <w:rPr>
          <w:sz w:val="22"/>
          <w:szCs w:val="22"/>
        </w:rPr>
      </w:pPr>
      <w:bookmarkStart w:colFirst="0" w:colLast="0" w:name="_gjdgxs" w:id="0"/>
      <w:bookmarkEnd w:id="0"/>
      <w:r w:rsidDel="00000000" w:rsidR="00000000" w:rsidRPr="00000000">
        <w:rPr>
          <w:rFonts w:ascii="Arial" w:cs="Arial" w:eastAsia="Arial" w:hAnsi="Arial"/>
          <w:sz w:val="22"/>
          <w:szCs w:val="22"/>
          <w:rtl w:val="0"/>
        </w:rPr>
        <w:t xml:space="preserve">Risk assessments are conducted for each individual child who has a food allergy or specific dietary requirement.</w:t>
      </w:r>
    </w:p>
    <w:p w:rsidR="00000000" w:rsidDel="00000000" w:rsidP="00000000" w:rsidRDefault="00000000" w:rsidRPr="00000000" w14:paraId="00000013">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Legal references</w:t>
      </w:r>
    </w:p>
    <w:p w:rsidR="00000000" w:rsidDel="00000000" w:rsidP="00000000" w:rsidRDefault="00000000" w:rsidRPr="00000000" w14:paraId="0000001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Regulation (EC) 852/2004 of the European Parliament and of the Council on the hygiene of foodstuffs.</w:t>
      </w:r>
    </w:p>
    <w:p w:rsidR="00000000" w:rsidDel="00000000" w:rsidP="00000000" w:rsidRDefault="00000000" w:rsidRPr="00000000" w14:paraId="0000001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Food Information Regulations 2014</w:t>
      </w:r>
    </w:p>
    <w:p w:rsidR="00000000" w:rsidDel="00000000" w:rsidP="00000000" w:rsidRDefault="00000000" w:rsidRPr="00000000" w14:paraId="0000001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Childcare Act 2006</w:t>
      </w:r>
    </w:p>
    <w:p w:rsidR="00000000" w:rsidDel="00000000" w:rsidP="00000000" w:rsidRDefault="00000000" w:rsidRPr="00000000" w14:paraId="0000001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8">
      <w:pPr>
        <w:spacing w:after="120" w:before="120" w:line="360" w:lineRule="auto"/>
        <w:rPr>
          <w:rFonts w:ascii="Arial" w:cs="Arial" w:eastAsia="Arial" w:hAnsi="Arial"/>
          <w:sz w:val="28"/>
          <w:szCs w:val="28"/>
        </w:rPr>
      </w:pPr>
      <w:hyperlink r:id="rId6">
        <w:r w:rsidDel="00000000" w:rsidR="00000000" w:rsidRPr="00000000">
          <w:rPr>
            <w:rFonts w:ascii="Arial" w:cs="Arial" w:eastAsia="Arial" w:hAnsi="Arial"/>
            <w:i w:val="1"/>
            <w:color w:val="0000ff"/>
            <w:sz w:val="22"/>
            <w:szCs w:val="22"/>
            <w:u w:val="single"/>
            <w:rtl w:val="0"/>
          </w:rPr>
          <w:t xml:space="preserve">Safer Food Better Business</w:t>
        </w:r>
      </w:hyperlink>
      <w:hyperlink r:id="rId7">
        <w:r w:rsidDel="00000000" w:rsidR="00000000" w:rsidRPr="00000000">
          <w:rPr>
            <w:rFonts w:ascii="Arial" w:cs="Arial" w:eastAsia="Arial" w:hAnsi="Arial"/>
            <w:color w:val="0000ff"/>
            <w:sz w:val="22"/>
            <w:szCs w:val="22"/>
            <w:u w:val="single"/>
            <w:rtl w:val="0"/>
          </w:rPr>
          <w:t xml:space="preserve"> for Caterers</w:t>
        </w:r>
      </w:hyperlink>
      <w:r w:rsidDel="00000000" w:rsidR="00000000" w:rsidRPr="00000000">
        <w:rPr>
          <w:rFonts w:ascii="Arial" w:cs="Arial" w:eastAsia="Arial" w:hAnsi="Arial"/>
          <w:sz w:val="22"/>
          <w:szCs w:val="22"/>
          <w:rtl w:val="0"/>
        </w:rPr>
        <w:t xml:space="preserve"> (Food Standards Agency)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smallCaps w:val="0"/>
        <w:strike w:val="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08" w:hanging="360"/>
      </w:pPr>
      <w:rPr>
        <w:rFonts w:ascii="Noto Sans Symbols" w:cs="Noto Sans Symbols" w:eastAsia="Noto Sans Symbols" w:hAnsi="Noto Sans Symbols"/>
      </w:rPr>
    </w:lvl>
    <w:lvl w:ilvl="1">
      <w:start w:val="1"/>
      <w:numFmt w:val="bullet"/>
      <w:lvlText w:val="o"/>
      <w:lvlJc w:val="left"/>
      <w:pPr>
        <w:ind w:left="12" w:hanging="360"/>
      </w:pPr>
      <w:rPr>
        <w:rFonts w:ascii="Courier New" w:cs="Courier New" w:eastAsia="Courier New" w:hAnsi="Courier New"/>
      </w:rPr>
    </w:lvl>
    <w:lvl w:ilvl="2">
      <w:start w:val="1"/>
      <w:numFmt w:val="bullet"/>
      <w:lvlText w:val="▪"/>
      <w:lvlJc w:val="left"/>
      <w:pPr>
        <w:ind w:left="732" w:hanging="360"/>
      </w:pPr>
      <w:rPr>
        <w:rFonts w:ascii="Noto Sans Symbols" w:cs="Noto Sans Symbols" w:eastAsia="Noto Sans Symbols" w:hAnsi="Noto Sans Symbols"/>
      </w:rPr>
    </w:lvl>
    <w:lvl w:ilvl="3">
      <w:start w:val="1"/>
      <w:numFmt w:val="bullet"/>
      <w:lvlText w:val="●"/>
      <w:lvlJc w:val="left"/>
      <w:pPr>
        <w:ind w:left="1452" w:hanging="360"/>
      </w:pPr>
      <w:rPr>
        <w:rFonts w:ascii="Noto Sans Symbols" w:cs="Noto Sans Symbols" w:eastAsia="Noto Sans Symbols" w:hAnsi="Noto Sans Symbols"/>
      </w:rPr>
    </w:lvl>
    <w:lvl w:ilvl="4">
      <w:start w:val="1"/>
      <w:numFmt w:val="bullet"/>
      <w:lvlText w:val="o"/>
      <w:lvlJc w:val="left"/>
      <w:pPr>
        <w:ind w:left="2172" w:hanging="360"/>
      </w:pPr>
      <w:rPr>
        <w:rFonts w:ascii="Courier New" w:cs="Courier New" w:eastAsia="Courier New" w:hAnsi="Courier New"/>
      </w:rPr>
    </w:lvl>
    <w:lvl w:ilvl="5">
      <w:start w:val="1"/>
      <w:numFmt w:val="bullet"/>
      <w:lvlText w:val="▪"/>
      <w:lvlJc w:val="left"/>
      <w:pPr>
        <w:ind w:left="2892" w:hanging="360"/>
      </w:pPr>
      <w:rPr>
        <w:rFonts w:ascii="Noto Sans Symbols" w:cs="Noto Sans Symbols" w:eastAsia="Noto Sans Symbols" w:hAnsi="Noto Sans Symbols"/>
      </w:rPr>
    </w:lvl>
    <w:lvl w:ilvl="6">
      <w:start w:val="1"/>
      <w:numFmt w:val="bullet"/>
      <w:lvlText w:val="●"/>
      <w:lvlJc w:val="left"/>
      <w:pPr>
        <w:ind w:left="3612" w:hanging="360"/>
      </w:pPr>
      <w:rPr>
        <w:rFonts w:ascii="Noto Sans Symbols" w:cs="Noto Sans Symbols" w:eastAsia="Noto Sans Symbols" w:hAnsi="Noto Sans Symbols"/>
      </w:rPr>
    </w:lvl>
    <w:lvl w:ilvl="7">
      <w:start w:val="1"/>
      <w:numFmt w:val="bullet"/>
      <w:lvlText w:val="o"/>
      <w:lvlJc w:val="left"/>
      <w:pPr>
        <w:ind w:left="4332" w:hanging="360"/>
      </w:pPr>
      <w:rPr>
        <w:rFonts w:ascii="Courier New" w:cs="Courier New" w:eastAsia="Courier New" w:hAnsi="Courier New"/>
      </w:rPr>
    </w:lvl>
    <w:lvl w:ilvl="8">
      <w:start w:val="1"/>
      <w:numFmt w:val="bullet"/>
      <w:lvlText w:val="▪"/>
      <w:lvlJc w:val="left"/>
      <w:pPr>
        <w:ind w:left="505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food.gov.uk/business-guidance/safer-food-better-business-for-caterers" TargetMode="External"/><Relationship Id="rId7" Type="http://schemas.openxmlformats.org/officeDocument/2006/relationships/hyperlink" Target="http://www.food.gov.uk/business-guidance/safer-food-better-business-for-caterer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