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09</w:t>
        <w:tab/>
        <w:t xml:space="preserve">Early years practice procedures</w:t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09.15</w:t>
        <w:tab/>
        <w:t xml:space="preserve"> Progress check at age two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120" w:before="120" w:line="360" w:lineRule="auto"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template for completing the two-year-old progress check is provided as 09.15a Progress check at age two template.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120" w:before="120" w:line="360" w:lineRule="auto"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key person is central to the progress check and must be the person completing it.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120" w:before="120" w:line="360" w:lineRule="auto"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Settings should take guidance from their local authority as to when the progress check at age two is completed; if no such guidance is provided, the progress check is completed when the child is between 26 and 30 months old. The child should be attending the setting for at least 1 term before the check is completed.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120" w:before="120" w:line="360" w:lineRule="auto"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the timing of the child’s progress check is confirmed, parents are invited to discuss their child’s progress at a mutually convenient time.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120" w:before="120" w:line="360" w:lineRule="auto"/>
        <w:ind w:left="357" w:hanging="357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setting must seek to engage both parents and make allowance for parents who do not live with their child to be involved.</w:t>
      </w:r>
    </w:p>
    <w:p w:rsidR="00000000" w:rsidDel="00000000" w:rsidP="00000000" w:rsidRDefault="00000000" w:rsidRPr="00000000" w14:paraId="00000008">
      <w:pPr>
        <w:spacing w:after="120" w:before="12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Completing the progress check at age two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120" w:before="120" w:line="360" w:lineRule="auto"/>
        <w:ind w:left="357" w:hanging="357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On-going observational assessment informs the progress check and must be referred 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120" w:before="120" w:line="360" w:lineRule="auto"/>
        <w:ind w:left="357" w:hanging="357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Children’s contributions are included in the report. Staff must be ‘tuned in’ to the ways in which very young children, or those with speech or other developmental delay or disability, communicate/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20" w:before="120" w:line="360" w:lineRule="auto"/>
        <w:ind w:left="357" w:hanging="357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Where any concerns about a child’s learning and development are raised these are discussed with the parents, the SENCo and the setting manager.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120" w:before="120" w:line="360" w:lineRule="auto"/>
        <w:ind w:left="357" w:hanging="357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concerns arise about a child’s welfare, they must be addressed through 06 Safeguarding children, young people and vulnerable adults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120" w:before="120" w:line="360" w:lineRule="auto"/>
        <w:ind w:left="357" w:hanging="357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key person must be clear about the aims of the progress check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before="120" w:line="360" w:lineRule="auto"/>
        <w:ind w:left="71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review a child’s development in the three prime areas of the EYFS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before="120" w:line="360" w:lineRule="auto"/>
        <w:ind w:left="71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ensure that parents have a clear picture of their child’s development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before="120" w:line="360" w:lineRule="auto"/>
        <w:ind w:left="71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enable educators to understand the child’s needs and, with support from educators, enhance development at home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before="120" w:line="360" w:lineRule="auto"/>
        <w:ind w:left="71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note areas where a child is progressing well and identify any areas where progress is less than expected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before="120" w:line="360" w:lineRule="auto"/>
        <w:ind w:left="717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describe actions the provider intends to take to address any developmental concerns (working with other professionals as appropriate)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513"/>
        <w:tab w:val="right" w:leader="none" w:pos="9026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Policies &amp; Procedures for the EYFS 2023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(Early Years Alliance 2023)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17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641" w:hanging="357.0000000000001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display_urn:schemas-microsoft-com:office:office#SharedWithUsers">
    <vt:lpwstr>Nicola Gibson;Melanie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SharedWithUsers">
    <vt:lpwstr>52;#Nicola Gibson;#75;#Melanie Pilcher</vt:lpwstr>
  </property>
</Properties>
</file>