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20" w:before="12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02</w:t>
        <w:tab/>
        <w:t xml:space="preserve">Fire safety policy</w:t>
      </w:r>
    </w:p>
    <w:p w:rsidR="00000000" w:rsidDel="00000000" w:rsidP="00000000" w:rsidRDefault="00000000" w:rsidRPr="00000000" w14:paraId="00000002">
      <w:pPr>
        <w:pStyle w:val="Heading1"/>
        <w:spacing w:after="120" w:before="120" w:line="360" w:lineRule="auto"/>
        <w:rPr>
          <w:b w:val="0"/>
          <w:sz w:val="22"/>
          <w:szCs w:val="22"/>
        </w:rPr>
      </w:pPr>
      <w:r w:rsidDel="00000000" w:rsidR="00000000" w:rsidRPr="00000000">
        <w:rPr>
          <w:b w:val="0"/>
          <w:sz w:val="22"/>
          <w:szCs w:val="22"/>
          <w:rtl w:val="0"/>
        </w:rPr>
        <w:t xml:space="preserve">Alongside associated procedures in 02.1 Fire safety, this policy was adopted by </w:t>
      </w:r>
      <w:r w:rsidDel="00000000" w:rsidR="00000000" w:rsidRPr="00000000">
        <w:rPr>
          <w:b w:val="0"/>
          <w:i w:val="1"/>
          <w:sz w:val="22"/>
          <w:szCs w:val="22"/>
          <w:rtl w:val="0"/>
        </w:rPr>
        <w:t xml:space="preserve">St Johns Green Playgroup Ltd on September 2023</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rPr>
      </w:pPr>
      <w:r w:rsidDel="00000000" w:rsidR="00000000" w:rsidRPr="00000000">
        <w:rPr>
          <w:rFonts w:ascii="Arial" w:cs="Arial" w:eastAsia="Arial" w:hAnsi="Arial"/>
          <w:b w:val="1"/>
          <w:rtl w:val="0"/>
        </w:rPr>
        <w:t xml:space="preserve">Designated Fire Marshals are: </w:t>
      </w:r>
      <w:r w:rsidDel="00000000" w:rsidR="00000000" w:rsidRPr="00000000">
        <w:rPr>
          <w:rFonts w:ascii="Arial" w:cs="Arial" w:eastAsia="Arial" w:hAnsi="Arial"/>
          <w:rtl w:val="0"/>
        </w:rPr>
        <w:t xml:space="preserve">Emma Hayes and setting Manager Chelsey Baker</w:t>
      </w:r>
    </w:p>
    <w:p w:rsidR="00000000" w:rsidDel="00000000" w:rsidP="00000000" w:rsidRDefault="00000000" w:rsidRPr="00000000" w14:paraId="00000004">
      <w:pPr>
        <w:pStyle w:val="Heading1"/>
        <w:spacing w:after="120" w:before="120" w:line="360" w:lineRule="auto"/>
        <w:rPr>
          <w:sz w:val="24"/>
          <w:szCs w:val="24"/>
        </w:rPr>
      </w:pPr>
      <w:r w:rsidDel="00000000" w:rsidR="00000000" w:rsidRPr="00000000">
        <w:rPr>
          <w:sz w:val="24"/>
          <w:szCs w:val="24"/>
          <w:rtl w:val="0"/>
        </w:rPr>
        <w:t xml:space="preserve">Aim</w:t>
      </w:r>
    </w:p>
    <w:p w:rsidR="00000000" w:rsidDel="00000000" w:rsidP="00000000" w:rsidRDefault="00000000" w:rsidRPr="00000000" w14:paraId="00000005">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r w:rsidDel="00000000" w:rsidR="00000000" w:rsidRPr="00000000">
        <w:rPr>
          <w:rtl w:val="0"/>
        </w:rPr>
      </w:r>
    </w:p>
    <w:p w:rsidR="00000000" w:rsidDel="00000000" w:rsidP="00000000" w:rsidRDefault="00000000" w:rsidRPr="00000000" w14:paraId="00000006">
      <w:pPr>
        <w:spacing w:after="120" w:before="120" w:line="360" w:lineRule="auto"/>
        <w:rPr>
          <w:rFonts w:ascii="Arial" w:cs="Arial" w:eastAsia="Arial" w:hAnsi="Arial"/>
          <w:sz w:val="22"/>
          <w:szCs w:val="22"/>
        </w:rPr>
      </w:pPr>
      <w:r w:rsidDel="00000000" w:rsidR="00000000" w:rsidRPr="00000000">
        <w:rPr>
          <w:rFonts w:ascii="Arial" w:cs="Arial" w:eastAsia="Arial" w:hAnsi="Arial"/>
          <w:b w:val="1"/>
          <w:rtl w:val="0"/>
        </w:rPr>
        <w:t xml:space="preserve">Objectives</w:t>
      </w:r>
      <w:r w:rsidDel="00000000" w:rsidR="00000000" w:rsidRPr="00000000">
        <w:rPr>
          <w:rtl w:val="0"/>
        </w:rPr>
      </w:r>
    </w:p>
    <w:p w:rsidR="00000000" w:rsidDel="00000000" w:rsidP="00000000" w:rsidRDefault="00000000" w:rsidRPr="00000000" w14:paraId="00000007">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We recognise that we have a corporate responsibility and a duty of care for those who work in and receive a service from our provision, but individual employees and service users also have a responsibility to ensure their own safety as well as that of others. Risk assessment is the key means through which this is achieved.</w:t>
      </w:r>
      <w:r w:rsidDel="00000000" w:rsidR="00000000" w:rsidRPr="00000000">
        <w:rPr>
          <w:rtl w:val="0"/>
        </w:rPr>
      </w:r>
    </w:p>
    <w:p w:rsidR="00000000" w:rsidDel="00000000" w:rsidP="00000000" w:rsidRDefault="00000000" w:rsidRPr="00000000" w14:paraId="00000008">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We refer to our immediate procedure on the door in the classroom.</w:t>
      </w:r>
      <w:r w:rsidDel="00000000" w:rsidR="00000000" w:rsidRPr="00000000">
        <w:rPr>
          <w:rtl w:val="0"/>
        </w:rPr>
      </w:r>
    </w:p>
    <w:p w:rsidR="00000000" w:rsidDel="00000000" w:rsidP="00000000" w:rsidRDefault="00000000" w:rsidRPr="00000000" w14:paraId="00000009">
      <w:pPr>
        <w:numPr>
          <w:ilvl w:val="0"/>
          <w:numId w:val="1"/>
        </w:numPr>
        <w:spacing w:line="360" w:lineRule="auto"/>
        <w:ind w:left="360" w:hanging="360"/>
        <w:rPr>
          <w:sz w:val="22"/>
          <w:szCs w:val="22"/>
        </w:rPr>
      </w:pPr>
      <w:bookmarkStart w:colFirst="0" w:colLast="0" w:name="_gjdgxs" w:id="0"/>
      <w:bookmarkEnd w:id="0"/>
      <w:r w:rsidDel="00000000" w:rsidR="00000000" w:rsidRPr="00000000">
        <w:rPr>
          <w:rFonts w:ascii="Arial" w:cs="Arial" w:eastAsia="Arial" w:hAnsi="Arial"/>
          <w:sz w:val="22"/>
          <w:szCs w:val="22"/>
          <w:rtl w:val="0"/>
        </w:rPr>
        <w:t xml:space="preserve">All children who have additional needs are supported using fire drill 2D visuals and an adult. </w:t>
      </w:r>
      <w:r w:rsidDel="00000000" w:rsidR="00000000" w:rsidRPr="00000000">
        <w:rPr>
          <w:rtl w:val="0"/>
        </w:rPr>
      </w:r>
    </w:p>
    <w:p w:rsidR="00000000" w:rsidDel="00000000" w:rsidP="00000000" w:rsidRDefault="00000000" w:rsidRPr="00000000" w14:paraId="0000000A">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A fire safety risk assessment is carried out by a competent person in accordance with the Regulatory Reform (Fire Safety) Order 2005. </w:t>
      </w:r>
      <w:r w:rsidDel="00000000" w:rsidR="00000000" w:rsidRPr="00000000">
        <w:rPr>
          <w:rtl w:val="0"/>
        </w:rPr>
      </w:r>
    </w:p>
    <w:p w:rsidR="00000000" w:rsidDel="00000000" w:rsidP="00000000" w:rsidRDefault="00000000" w:rsidRPr="00000000" w14:paraId="0000000B">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A Fire Log is completed and regularly updated.</w:t>
      </w:r>
      <w:r w:rsidDel="00000000" w:rsidR="00000000" w:rsidRPr="00000000">
        <w:rPr>
          <w:rtl w:val="0"/>
        </w:rPr>
      </w:r>
    </w:p>
    <w:p w:rsidR="00000000" w:rsidDel="00000000" w:rsidP="00000000" w:rsidRDefault="00000000" w:rsidRPr="00000000" w14:paraId="0000000C">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Necessary equipment is in place to promote fire safety. </w:t>
      </w:r>
      <w:r w:rsidDel="00000000" w:rsidR="00000000" w:rsidRPr="00000000">
        <w:rPr>
          <w:rtl w:val="0"/>
        </w:rPr>
      </w:r>
    </w:p>
    <w:p w:rsidR="00000000" w:rsidDel="00000000" w:rsidP="00000000" w:rsidRDefault="00000000" w:rsidRPr="00000000" w14:paraId="0000000D">
      <w:pPr>
        <w:pStyle w:val="Heading6"/>
        <w:spacing w:after="120" w:before="120" w:line="360" w:lineRule="auto"/>
        <w:rPr>
          <w:rFonts w:ascii="Arial" w:cs="Arial" w:eastAsia="Arial" w:hAnsi="Arial"/>
          <w:b w:val="1"/>
          <w:i w:val="0"/>
          <w:color w:val="000000"/>
        </w:rPr>
      </w:pPr>
      <w:r w:rsidDel="00000000" w:rsidR="00000000" w:rsidRPr="00000000">
        <w:rPr>
          <w:rFonts w:ascii="Arial" w:cs="Arial" w:eastAsia="Arial" w:hAnsi="Arial"/>
          <w:b w:val="1"/>
          <w:i w:val="0"/>
          <w:color w:val="000000"/>
          <w:rtl w:val="0"/>
        </w:rPr>
        <w:t xml:space="preserve">Legal references</w:t>
      </w:r>
    </w:p>
    <w:p w:rsidR="00000000" w:rsidDel="00000000" w:rsidP="00000000" w:rsidRDefault="00000000" w:rsidRPr="00000000" w14:paraId="0000000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Regulatory Reform (Fire Safety) Order 2005)</w:t>
      </w:r>
    </w:p>
    <w:p w:rsidR="00000000" w:rsidDel="00000000" w:rsidP="00000000" w:rsidRDefault="00000000" w:rsidRPr="00000000" w14:paraId="0000000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Electricity at Work Regulations (1989)</w:t>
      </w:r>
    </w:p>
    <w:p w:rsidR="00000000" w:rsidDel="00000000" w:rsidP="00000000" w:rsidRDefault="00000000" w:rsidRPr="00000000" w14:paraId="00000010">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1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Fire Safety Record (Alliance Publication)</w:t>
      </w:r>
    </w:p>
    <w:p w:rsidR="00000000" w:rsidDel="00000000" w:rsidP="00000000" w:rsidRDefault="00000000" w:rsidRPr="00000000" w14:paraId="0000001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Fire Safety Risk Assessment: Educational Premises </w:t>
      </w:r>
      <w:hyperlink r:id="rId6">
        <w:r w:rsidDel="00000000" w:rsidR="00000000" w:rsidRPr="00000000">
          <w:rPr>
            <w:rFonts w:ascii="Arial" w:cs="Arial" w:eastAsia="Arial" w:hAnsi="Arial"/>
            <w:color w:val="0000ff"/>
            <w:sz w:val="22"/>
            <w:szCs w:val="22"/>
            <w:u w:val="single"/>
            <w:rtl w:val="0"/>
          </w:rPr>
          <w:t xml:space="preserve">www.communities.gov.uk/publications/fire/firesafetyrisk6</w:t>
        </w:r>
      </w:hyperlink>
      <w:r w:rsidDel="00000000" w:rsidR="00000000" w:rsidRPr="00000000">
        <w:rPr>
          <w:rtl w:val="0"/>
        </w:rPr>
      </w:r>
    </w:p>
    <w:sectPr>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i w:val="1"/>
        <w:sz w:val="20"/>
        <w:szCs w:val="20"/>
        <w:rtl w:val="0"/>
      </w:rPr>
      <w:t xml:space="preserve">Policies &amp; Procedures for the EYFS 2024</w:t>
    </w:r>
    <w:r w:rsidDel="00000000" w:rsidR="00000000" w:rsidRPr="00000000">
      <w:rPr>
        <w:rFonts w:ascii="Arial" w:cs="Arial" w:eastAsia="Arial" w:hAnsi="Arial"/>
        <w:sz w:val="20"/>
        <w:szCs w:val="20"/>
        <w:rtl w:val="0"/>
      </w:rPr>
      <w:t xml:space="preserve"> (Early Years Alliance 2024-2025)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mmunities.gov.uk/publications/fire/firesafetyrisk6"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0x0101000878BB7C29D9DB45B58D23959D773F02</vt:lpwstr>
  </property>
</Properties>
</file>