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5E09" w14:textId="02FC4B8F" w:rsidR="00467529" w:rsidRDefault="00467529" w:rsidP="00467529">
      <w:pPr>
        <w:jc w:val="center"/>
        <w:rPr>
          <w:rFonts w:ascii="Calibri" w:hAnsi="Calibri" w:cs="Calibri"/>
          <w:b/>
          <w:bCs/>
          <w:sz w:val="32"/>
          <w:szCs w:val="32"/>
          <w:u w:val="single"/>
        </w:rPr>
      </w:pPr>
      <w:r w:rsidRPr="00467529">
        <w:rPr>
          <w:rFonts w:ascii="Calibri" w:hAnsi="Calibri" w:cs="Calibri"/>
          <w:b/>
          <w:bCs/>
          <w:sz w:val="32"/>
          <w:szCs w:val="32"/>
          <w:u w:val="single"/>
        </w:rPr>
        <w:t>PATCHETTS GREEN RESIDENT ASSOCIATION</w:t>
      </w:r>
      <w:r w:rsidR="00751390">
        <w:rPr>
          <w:rFonts w:ascii="Calibri" w:hAnsi="Calibri" w:cs="Calibri"/>
          <w:b/>
          <w:bCs/>
          <w:sz w:val="32"/>
          <w:szCs w:val="32"/>
          <w:u w:val="single"/>
        </w:rPr>
        <w:t xml:space="preserve"> (PGRA)</w:t>
      </w:r>
    </w:p>
    <w:p w14:paraId="630EC804" w14:textId="1F683783" w:rsidR="006216E3" w:rsidRDefault="00467529" w:rsidP="006216E3">
      <w:pPr>
        <w:spacing w:after="0"/>
        <w:jc w:val="center"/>
        <w:rPr>
          <w:rFonts w:ascii="Calibri" w:hAnsi="Calibri" w:cs="Calibri"/>
          <w:b/>
          <w:bCs/>
          <w:sz w:val="24"/>
          <w:szCs w:val="24"/>
          <w:u w:val="single"/>
        </w:rPr>
      </w:pPr>
      <w:r>
        <w:rPr>
          <w:rFonts w:ascii="Calibri" w:hAnsi="Calibri" w:cs="Calibri"/>
          <w:b/>
          <w:bCs/>
          <w:sz w:val="24"/>
          <w:szCs w:val="24"/>
          <w:u w:val="single"/>
        </w:rPr>
        <w:t xml:space="preserve">Action Points </w:t>
      </w:r>
      <w:proofErr w:type="gramStart"/>
      <w:r>
        <w:rPr>
          <w:rFonts w:ascii="Calibri" w:hAnsi="Calibri" w:cs="Calibri"/>
          <w:b/>
          <w:bCs/>
          <w:sz w:val="24"/>
          <w:szCs w:val="24"/>
          <w:u w:val="single"/>
        </w:rPr>
        <w:t>From</w:t>
      </w:r>
      <w:proofErr w:type="gramEnd"/>
      <w:r>
        <w:rPr>
          <w:rFonts w:ascii="Calibri" w:hAnsi="Calibri" w:cs="Calibri"/>
          <w:b/>
          <w:bCs/>
          <w:sz w:val="24"/>
          <w:szCs w:val="24"/>
          <w:u w:val="single"/>
        </w:rPr>
        <w:t xml:space="preserve"> </w:t>
      </w:r>
      <w:r w:rsidR="00CD02E3">
        <w:rPr>
          <w:rFonts w:ascii="Calibri" w:hAnsi="Calibri" w:cs="Calibri"/>
          <w:b/>
          <w:bCs/>
          <w:sz w:val="24"/>
          <w:szCs w:val="24"/>
          <w:u w:val="single"/>
        </w:rPr>
        <w:t xml:space="preserve">Annual </w:t>
      </w:r>
      <w:r w:rsidR="00751390">
        <w:rPr>
          <w:rFonts w:ascii="Calibri" w:hAnsi="Calibri" w:cs="Calibri"/>
          <w:b/>
          <w:bCs/>
          <w:sz w:val="24"/>
          <w:szCs w:val="24"/>
          <w:u w:val="single"/>
        </w:rPr>
        <w:t>General Meeting (</w:t>
      </w:r>
      <w:proofErr w:type="gramStart"/>
      <w:r w:rsidR="00751390">
        <w:rPr>
          <w:rFonts w:ascii="Calibri" w:hAnsi="Calibri" w:cs="Calibri"/>
          <w:b/>
          <w:bCs/>
          <w:sz w:val="24"/>
          <w:szCs w:val="24"/>
          <w:u w:val="single"/>
        </w:rPr>
        <w:t>AGM)</w:t>
      </w:r>
      <w:r w:rsidR="00EF5824">
        <w:rPr>
          <w:rFonts w:ascii="Calibri" w:hAnsi="Calibri" w:cs="Calibri"/>
          <w:b/>
          <w:bCs/>
          <w:sz w:val="24"/>
          <w:szCs w:val="24"/>
          <w:u w:val="single"/>
        </w:rPr>
        <w:t xml:space="preserve"> </w:t>
      </w:r>
      <w:r w:rsidR="00751390">
        <w:rPr>
          <w:rFonts w:ascii="Calibri" w:hAnsi="Calibri" w:cs="Calibri"/>
          <w:b/>
          <w:bCs/>
          <w:sz w:val="24"/>
          <w:szCs w:val="24"/>
          <w:u w:val="single"/>
        </w:rPr>
        <w:t xml:space="preserve"> 2</w:t>
      </w:r>
      <w:r w:rsidR="00B96560">
        <w:rPr>
          <w:rFonts w:ascii="Calibri" w:hAnsi="Calibri" w:cs="Calibri"/>
          <w:b/>
          <w:bCs/>
          <w:sz w:val="24"/>
          <w:szCs w:val="24"/>
          <w:u w:val="single"/>
        </w:rPr>
        <w:t>7</w:t>
      </w:r>
      <w:proofErr w:type="gramEnd"/>
      <w:r w:rsidR="00751390">
        <w:rPr>
          <w:rFonts w:ascii="Calibri" w:hAnsi="Calibri" w:cs="Calibri"/>
          <w:b/>
          <w:bCs/>
          <w:sz w:val="24"/>
          <w:szCs w:val="24"/>
          <w:u w:val="single"/>
        </w:rPr>
        <w:t xml:space="preserve"> March </w:t>
      </w:r>
      <w:r w:rsidR="00EF5824">
        <w:rPr>
          <w:rFonts w:ascii="Calibri" w:hAnsi="Calibri" w:cs="Calibri"/>
          <w:b/>
          <w:bCs/>
          <w:sz w:val="24"/>
          <w:szCs w:val="24"/>
          <w:u w:val="single"/>
        </w:rPr>
        <w:t>2025</w:t>
      </w:r>
    </w:p>
    <w:p w14:paraId="3F43D26A" w14:textId="46547C4C" w:rsidR="00467529" w:rsidRDefault="00467529" w:rsidP="006216E3">
      <w:pPr>
        <w:spacing w:after="0"/>
        <w:jc w:val="center"/>
        <w:rPr>
          <w:rFonts w:ascii="Calibri" w:hAnsi="Calibri" w:cs="Calibri"/>
          <w:b/>
          <w:bCs/>
          <w:sz w:val="24"/>
          <w:szCs w:val="24"/>
          <w:u w:val="single"/>
        </w:rPr>
      </w:pPr>
      <w:r>
        <w:rPr>
          <w:rFonts w:ascii="Calibri" w:hAnsi="Calibri" w:cs="Calibri"/>
          <w:b/>
          <w:bCs/>
          <w:sz w:val="24"/>
          <w:szCs w:val="24"/>
          <w:u w:val="single"/>
        </w:rPr>
        <w:t xml:space="preserve">Held at: </w:t>
      </w:r>
      <w:r w:rsidR="00751390">
        <w:rPr>
          <w:rFonts w:ascii="Calibri" w:hAnsi="Calibri" w:cs="Calibri"/>
          <w:b/>
          <w:bCs/>
          <w:sz w:val="24"/>
          <w:szCs w:val="24"/>
          <w:u w:val="single"/>
        </w:rPr>
        <w:t>72 Hilfield Lane, Aldenham, Watford, WD25 8AJ</w:t>
      </w:r>
    </w:p>
    <w:p w14:paraId="3D1E9B44" w14:textId="77777777" w:rsidR="00C20CFD" w:rsidRDefault="00467529" w:rsidP="006216E3">
      <w:pPr>
        <w:spacing w:after="0"/>
        <w:ind w:left="1560" w:hanging="1560"/>
        <w:jc w:val="both"/>
        <w:rPr>
          <w:rFonts w:ascii="Calibri" w:hAnsi="Calibri" w:cs="Calibri"/>
          <w:sz w:val="24"/>
          <w:szCs w:val="24"/>
        </w:rPr>
      </w:pPr>
      <w:r w:rsidRPr="00C20CFD">
        <w:rPr>
          <w:rFonts w:ascii="Calibri" w:hAnsi="Calibri" w:cs="Calibri"/>
          <w:b/>
          <w:bCs/>
          <w:sz w:val="24"/>
          <w:szCs w:val="24"/>
        </w:rPr>
        <w:t>Those Present</w:t>
      </w:r>
      <w:r>
        <w:rPr>
          <w:rFonts w:ascii="Calibri" w:hAnsi="Calibri" w:cs="Calibri"/>
          <w:sz w:val="24"/>
          <w:szCs w:val="24"/>
        </w:rPr>
        <w:t>:</w:t>
      </w:r>
    </w:p>
    <w:p w14:paraId="29262394" w14:textId="77DB8F8A" w:rsidR="00751390" w:rsidRDefault="00467529" w:rsidP="006216E3">
      <w:pPr>
        <w:spacing w:after="0"/>
        <w:ind w:left="1560" w:hanging="1560"/>
        <w:jc w:val="both"/>
        <w:rPr>
          <w:rFonts w:ascii="Calibri" w:hAnsi="Calibri" w:cs="Calibri"/>
          <w:sz w:val="24"/>
          <w:szCs w:val="24"/>
        </w:rPr>
      </w:pPr>
      <w:r>
        <w:rPr>
          <w:rFonts w:ascii="Calibri" w:hAnsi="Calibri" w:cs="Calibri"/>
          <w:sz w:val="24"/>
          <w:szCs w:val="24"/>
        </w:rPr>
        <w:t xml:space="preserve"> </w:t>
      </w:r>
    </w:p>
    <w:p w14:paraId="5C1F9B18" w14:textId="787C103E" w:rsidR="00BE5326" w:rsidRDefault="00751390" w:rsidP="00751390">
      <w:pPr>
        <w:spacing w:after="0"/>
        <w:ind w:left="2268" w:hanging="2268"/>
        <w:jc w:val="both"/>
        <w:rPr>
          <w:rFonts w:ascii="Calibri" w:hAnsi="Calibri" w:cs="Calibri"/>
          <w:sz w:val="24"/>
          <w:szCs w:val="24"/>
        </w:rPr>
      </w:pPr>
      <w:r w:rsidRPr="00C20CFD">
        <w:rPr>
          <w:rFonts w:ascii="Calibri" w:hAnsi="Calibri" w:cs="Calibri"/>
          <w:b/>
          <w:bCs/>
          <w:sz w:val="24"/>
          <w:szCs w:val="24"/>
        </w:rPr>
        <w:t>Committee Members</w:t>
      </w:r>
      <w:r>
        <w:rPr>
          <w:rFonts w:ascii="Calibri" w:hAnsi="Calibri" w:cs="Calibri"/>
          <w:sz w:val="24"/>
          <w:szCs w:val="24"/>
        </w:rPr>
        <w:t xml:space="preserve">:  </w:t>
      </w:r>
      <w:r w:rsidR="00467529">
        <w:rPr>
          <w:rFonts w:ascii="Calibri" w:hAnsi="Calibri" w:cs="Calibri"/>
          <w:sz w:val="24"/>
          <w:szCs w:val="24"/>
        </w:rPr>
        <w:t xml:space="preserve">Malcolm Sevren (in the Chair), </w:t>
      </w:r>
      <w:r>
        <w:rPr>
          <w:rFonts w:ascii="Calibri" w:hAnsi="Calibri" w:cs="Calibri"/>
          <w:sz w:val="24"/>
          <w:szCs w:val="24"/>
        </w:rPr>
        <w:t xml:space="preserve">David Baldwin (Secretary) </w:t>
      </w:r>
      <w:r w:rsidR="006E6132">
        <w:rPr>
          <w:rFonts w:ascii="Calibri" w:hAnsi="Calibri" w:cs="Calibri"/>
          <w:sz w:val="24"/>
          <w:szCs w:val="24"/>
        </w:rPr>
        <w:t xml:space="preserve">Bonnie </w:t>
      </w:r>
      <w:proofErr w:type="gramStart"/>
      <w:r w:rsidR="006E6132">
        <w:rPr>
          <w:rFonts w:ascii="Calibri" w:hAnsi="Calibri" w:cs="Calibri"/>
          <w:sz w:val="24"/>
          <w:szCs w:val="24"/>
        </w:rPr>
        <w:t xml:space="preserve">Shaw, </w:t>
      </w:r>
      <w:r>
        <w:rPr>
          <w:rFonts w:ascii="Calibri" w:hAnsi="Calibri" w:cs="Calibri"/>
          <w:sz w:val="24"/>
          <w:szCs w:val="24"/>
        </w:rPr>
        <w:t xml:space="preserve"> </w:t>
      </w:r>
      <w:r w:rsidR="00467529">
        <w:rPr>
          <w:rFonts w:ascii="Calibri" w:hAnsi="Calibri" w:cs="Calibri"/>
          <w:sz w:val="24"/>
          <w:szCs w:val="24"/>
        </w:rPr>
        <w:t>Cllr</w:t>
      </w:r>
      <w:proofErr w:type="gramEnd"/>
      <w:r w:rsidR="00467529">
        <w:rPr>
          <w:rFonts w:ascii="Calibri" w:hAnsi="Calibri" w:cs="Calibri"/>
          <w:sz w:val="24"/>
          <w:szCs w:val="24"/>
        </w:rPr>
        <w:t xml:space="preserve"> Carl Woolf, Jonath</w:t>
      </w:r>
      <w:r w:rsidR="00901DCC">
        <w:rPr>
          <w:rFonts w:ascii="Calibri" w:hAnsi="Calibri" w:cs="Calibri"/>
          <w:sz w:val="24"/>
          <w:szCs w:val="24"/>
        </w:rPr>
        <w:t>a</w:t>
      </w:r>
      <w:r w:rsidR="00467529">
        <w:rPr>
          <w:rFonts w:ascii="Calibri" w:hAnsi="Calibri" w:cs="Calibri"/>
          <w:sz w:val="24"/>
          <w:szCs w:val="24"/>
        </w:rPr>
        <w:t>n Morris,</w:t>
      </w:r>
      <w:r w:rsidR="006E6132">
        <w:rPr>
          <w:rFonts w:ascii="Calibri" w:hAnsi="Calibri" w:cs="Calibri"/>
          <w:sz w:val="24"/>
          <w:szCs w:val="24"/>
        </w:rPr>
        <w:t xml:space="preserve"> </w:t>
      </w:r>
      <w:r w:rsidR="00EF5824">
        <w:rPr>
          <w:rFonts w:ascii="Calibri" w:hAnsi="Calibri" w:cs="Calibri"/>
          <w:sz w:val="24"/>
          <w:szCs w:val="24"/>
        </w:rPr>
        <w:t>Marina Doyle, Michelle Hart</w:t>
      </w:r>
      <w:r w:rsidR="000B58CE">
        <w:rPr>
          <w:rFonts w:ascii="Calibri" w:hAnsi="Calibri" w:cs="Calibri"/>
          <w:sz w:val="24"/>
          <w:szCs w:val="24"/>
        </w:rPr>
        <w:t>,</w:t>
      </w:r>
      <w:r w:rsidR="00EF5824">
        <w:rPr>
          <w:rFonts w:ascii="Calibri" w:hAnsi="Calibri" w:cs="Calibri"/>
          <w:sz w:val="24"/>
          <w:szCs w:val="24"/>
        </w:rPr>
        <w:t xml:space="preserve"> </w:t>
      </w:r>
      <w:r w:rsidR="006E6132">
        <w:rPr>
          <w:rFonts w:ascii="Calibri" w:hAnsi="Calibri" w:cs="Calibri"/>
          <w:sz w:val="24"/>
          <w:szCs w:val="24"/>
        </w:rPr>
        <w:t>Paul Kemble</w:t>
      </w:r>
      <w:r w:rsidR="00EF5824">
        <w:rPr>
          <w:rFonts w:ascii="Calibri" w:hAnsi="Calibri" w:cs="Calibri"/>
          <w:sz w:val="24"/>
          <w:szCs w:val="24"/>
        </w:rPr>
        <w:t>, Simon Jacobs</w:t>
      </w:r>
    </w:p>
    <w:p w14:paraId="2A080EF8" w14:textId="77777777" w:rsidR="004D780D" w:rsidRDefault="004D780D" w:rsidP="00751390">
      <w:pPr>
        <w:spacing w:after="0"/>
        <w:ind w:left="2268" w:hanging="2268"/>
        <w:jc w:val="both"/>
        <w:rPr>
          <w:rFonts w:ascii="Calibri" w:hAnsi="Calibri" w:cs="Calibri"/>
          <w:sz w:val="24"/>
          <w:szCs w:val="24"/>
        </w:rPr>
      </w:pPr>
    </w:p>
    <w:p w14:paraId="6A858AD8" w14:textId="018C2BB5" w:rsidR="00751390" w:rsidRDefault="00751390" w:rsidP="00751390">
      <w:pPr>
        <w:spacing w:after="0"/>
        <w:ind w:left="2268" w:hanging="2268"/>
        <w:jc w:val="both"/>
        <w:rPr>
          <w:rFonts w:ascii="Calibri" w:hAnsi="Calibri" w:cs="Calibri"/>
          <w:sz w:val="24"/>
          <w:szCs w:val="24"/>
        </w:rPr>
      </w:pPr>
      <w:r w:rsidRPr="00C20CFD">
        <w:rPr>
          <w:rFonts w:ascii="Calibri" w:hAnsi="Calibri" w:cs="Calibri"/>
          <w:b/>
          <w:bCs/>
          <w:sz w:val="24"/>
          <w:szCs w:val="24"/>
        </w:rPr>
        <w:t>Apologies:</w:t>
      </w:r>
      <w:r>
        <w:rPr>
          <w:rFonts w:ascii="Calibri" w:hAnsi="Calibri" w:cs="Calibri"/>
          <w:sz w:val="24"/>
          <w:szCs w:val="24"/>
        </w:rPr>
        <w:tab/>
        <w:t>Julie Owen</w:t>
      </w:r>
    </w:p>
    <w:p w14:paraId="4C9C4153" w14:textId="77777777" w:rsidR="004D780D" w:rsidRDefault="004D780D" w:rsidP="00751390">
      <w:pPr>
        <w:spacing w:after="0"/>
        <w:ind w:left="2268" w:hanging="2268"/>
        <w:jc w:val="both"/>
        <w:rPr>
          <w:rFonts w:ascii="Calibri" w:hAnsi="Calibri" w:cs="Calibri"/>
          <w:sz w:val="24"/>
          <w:szCs w:val="24"/>
        </w:rPr>
      </w:pPr>
    </w:p>
    <w:p w14:paraId="08546A92" w14:textId="7C66115A" w:rsidR="00387BE4" w:rsidRDefault="00751390" w:rsidP="00C20CFD">
      <w:pPr>
        <w:spacing w:after="0"/>
        <w:ind w:left="2268" w:hanging="2268"/>
        <w:jc w:val="both"/>
        <w:rPr>
          <w:rFonts w:ascii="Calibri" w:hAnsi="Calibri" w:cs="Calibri"/>
          <w:sz w:val="24"/>
          <w:szCs w:val="24"/>
        </w:rPr>
      </w:pPr>
      <w:r w:rsidRPr="00C20CFD">
        <w:rPr>
          <w:rFonts w:ascii="Calibri" w:hAnsi="Calibri" w:cs="Calibri"/>
          <w:b/>
          <w:bCs/>
          <w:sz w:val="24"/>
          <w:szCs w:val="24"/>
        </w:rPr>
        <w:t>Members of the Community:</w:t>
      </w:r>
      <w:r>
        <w:rPr>
          <w:rFonts w:ascii="Calibri" w:hAnsi="Calibri" w:cs="Calibri"/>
          <w:sz w:val="24"/>
          <w:szCs w:val="24"/>
        </w:rPr>
        <w:t xml:space="preserve"> </w:t>
      </w:r>
      <w:r w:rsidR="00C20CFD">
        <w:rPr>
          <w:rFonts w:ascii="Calibri" w:hAnsi="Calibri" w:cs="Calibri"/>
          <w:sz w:val="24"/>
          <w:szCs w:val="24"/>
        </w:rPr>
        <w:t xml:space="preserve">  </w:t>
      </w:r>
      <w:r>
        <w:rPr>
          <w:rFonts w:ascii="Calibri" w:hAnsi="Calibri" w:cs="Calibri"/>
          <w:sz w:val="24"/>
          <w:szCs w:val="24"/>
        </w:rPr>
        <w:t>Nil</w:t>
      </w:r>
    </w:p>
    <w:p w14:paraId="1745B58C" w14:textId="77777777" w:rsidR="004D780D" w:rsidRDefault="004D780D" w:rsidP="00C20CFD">
      <w:pPr>
        <w:spacing w:after="0"/>
        <w:ind w:left="2268" w:hanging="2268"/>
        <w:jc w:val="both"/>
        <w:rPr>
          <w:rFonts w:ascii="Calibri" w:hAnsi="Calibri" w:cs="Calibri"/>
          <w:sz w:val="24"/>
          <w:szCs w:val="24"/>
        </w:rPr>
      </w:pPr>
    </w:p>
    <w:tbl>
      <w:tblPr>
        <w:tblStyle w:val="TableGrid"/>
        <w:tblW w:w="9782" w:type="dxa"/>
        <w:tblInd w:w="-431" w:type="dxa"/>
        <w:tblLook w:val="04A0" w:firstRow="1" w:lastRow="0" w:firstColumn="1" w:lastColumn="0" w:noHBand="0" w:noVBand="1"/>
      </w:tblPr>
      <w:tblGrid>
        <w:gridCol w:w="338"/>
        <w:gridCol w:w="655"/>
        <w:gridCol w:w="8789"/>
      </w:tblGrid>
      <w:tr w:rsidR="004428A9" w:rsidRPr="00F80F15" w14:paraId="4244BBD9" w14:textId="77777777" w:rsidTr="004428A9">
        <w:trPr>
          <w:tblHeader/>
        </w:trPr>
        <w:tc>
          <w:tcPr>
            <w:tcW w:w="993" w:type="dxa"/>
            <w:gridSpan w:val="2"/>
          </w:tcPr>
          <w:p w14:paraId="7D5BCE6C" w14:textId="49582A30" w:rsidR="004428A9" w:rsidRPr="00F80F15" w:rsidRDefault="004428A9" w:rsidP="00F80F15">
            <w:pPr>
              <w:jc w:val="center"/>
              <w:rPr>
                <w:rFonts w:ascii="Calibri" w:hAnsi="Calibri" w:cs="Calibri"/>
                <w:b/>
                <w:bCs/>
                <w:sz w:val="24"/>
                <w:szCs w:val="24"/>
              </w:rPr>
            </w:pPr>
            <w:r w:rsidRPr="00F80F15">
              <w:rPr>
                <w:rFonts w:ascii="Calibri" w:hAnsi="Calibri" w:cs="Calibri"/>
                <w:b/>
                <w:bCs/>
                <w:sz w:val="24"/>
                <w:szCs w:val="24"/>
              </w:rPr>
              <w:t>No.</w:t>
            </w:r>
          </w:p>
        </w:tc>
        <w:tc>
          <w:tcPr>
            <w:tcW w:w="8789" w:type="dxa"/>
          </w:tcPr>
          <w:p w14:paraId="330EE59B" w14:textId="78B9721E" w:rsidR="004428A9" w:rsidRPr="00F80F15" w:rsidRDefault="004428A9" w:rsidP="00F80F15">
            <w:pPr>
              <w:jc w:val="center"/>
              <w:rPr>
                <w:rFonts w:ascii="Calibri" w:hAnsi="Calibri" w:cs="Calibri"/>
                <w:b/>
                <w:bCs/>
                <w:sz w:val="24"/>
                <w:szCs w:val="24"/>
              </w:rPr>
            </w:pPr>
            <w:r w:rsidRPr="00F80F15">
              <w:rPr>
                <w:rFonts w:ascii="Calibri" w:hAnsi="Calibri" w:cs="Calibri"/>
                <w:b/>
                <w:bCs/>
                <w:sz w:val="24"/>
                <w:szCs w:val="24"/>
              </w:rPr>
              <w:t>ITEM</w:t>
            </w:r>
          </w:p>
        </w:tc>
      </w:tr>
      <w:tr w:rsidR="004428A9" w14:paraId="4521FB85" w14:textId="77777777" w:rsidTr="004428A9">
        <w:tc>
          <w:tcPr>
            <w:tcW w:w="338" w:type="dxa"/>
          </w:tcPr>
          <w:p w14:paraId="61E751F1" w14:textId="7450F700" w:rsidR="004428A9" w:rsidRDefault="004428A9" w:rsidP="00F80F15">
            <w:pPr>
              <w:jc w:val="center"/>
              <w:rPr>
                <w:rFonts w:ascii="Calibri" w:hAnsi="Calibri" w:cs="Calibri"/>
                <w:sz w:val="24"/>
                <w:szCs w:val="24"/>
              </w:rPr>
            </w:pPr>
            <w:r>
              <w:rPr>
                <w:rFonts w:ascii="Calibri" w:hAnsi="Calibri" w:cs="Calibri"/>
                <w:sz w:val="24"/>
                <w:szCs w:val="24"/>
              </w:rPr>
              <w:t>1</w:t>
            </w:r>
          </w:p>
        </w:tc>
        <w:tc>
          <w:tcPr>
            <w:tcW w:w="655" w:type="dxa"/>
          </w:tcPr>
          <w:p w14:paraId="30946329" w14:textId="77777777" w:rsidR="004428A9" w:rsidRPr="00F80F15" w:rsidRDefault="004428A9" w:rsidP="00467529">
            <w:pPr>
              <w:jc w:val="both"/>
              <w:rPr>
                <w:rFonts w:ascii="Calibri" w:hAnsi="Calibri" w:cs="Calibri"/>
                <w:b/>
                <w:bCs/>
                <w:sz w:val="24"/>
                <w:szCs w:val="24"/>
              </w:rPr>
            </w:pPr>
          </w:p>
        </w:tc>
        <w:tc>
          <w:tcPr>
            <w:tcW w:w="8789" w:type="dxa"/>
          </w:tcPr>
          <w:p w14:paraId="023F69CA" w14:textId="7E769C79" w:rsidR="004428A9" w:rsidRPr="00F80F15" w:rsidRDefault="004428A9" w:rsidP="003912CC">
            <w:pPr>
              <w:ind w:right="-137"/>
              <w:jc w:val="both"/>
              <w:rPr>
                <w:rFonts w:ascii="Calibri" w:hAnsi="Calibri" w:cs="Calibri"/>
                <w:b/>
                <w:bCs/>
                <w:sz w:val="24"/>
                <w:szCs w:val="24"/>
              </w:rPr>
            </w:pPr>
            <w:r>
              <w:rPr>
                <w:rFonts w:ascii="Calibri" w:hAnsi="Calibri" w:cs="Calibri"/>
                <w:b/>
                <w:bCs/>
                <w:sz w:val="24"/>
                <w:szCs w:val="24"/>
              </w:rPr>
              <w:t xml:space="preserve">Activity Over </w:t>
            </w:r>
            <w:proofErr w:type="gramStart"/>
            <w:r>
              <w:rPr>
                <w:rFonts w:ascii="Calibri" w:hAnsi="Calibri" w:cs="Calibri"/>
                <w:b/>
                <w:bCs/>
                <w:sz w:val="24"/>
                <w:szCs w:val="24"/>
              </w:rPr>
              <w:t>The</w:t>
            </w:r>
            <w:proofErr w:type="gramEnd"/>
            <w:r>
              <w:rPr>
                <w:rFonts w:ascii="Calibri" w:hAnsi="Calibri" w:cs="Calibri"/>
                <w:b/>
                <w:bCs/>
                <w:sz w:val="24"/>
                <w:szCs w:val="24"/>
              </w:rPr>
              <w:t xml:space="preserve"> Past Year</w:t>
            </w:r>
          </w:p>
        </w:tc>
      </w:tr>
      <w:tr w:rsidR="004428A9" w14:paraId="4FE34F75" w14:textId="77777777" w:rsidTr="004428A9">
        <w:tc>
          <w:tcPr>
            <w:tcW w:w="338" w:type="dxa"/>
          </w:tcPr>
          <w:p w14:paraId="43BAF728" w14:textId="77777777" w:rsidR="004428A9" w:rsidRDefault="004428A9" w:rsidP="00F80F15">
            <w:pPr>
              <w:jc w:val="center"/>
              <w:rPr>
                <w:rFonts w:ascii="Calibri" w:hAnsi="Calibri" w:cs="Calibri"/>
                <w:sz w:val="24"/>
                <w:szCs w:val="24"/>
              </w:rPr>
            </w:pPr>
          </w:p>
        </w:tc>
        <w:tc>
          <w:tcPr>
            <w:tcW w:w="655" w:type="dxa"/>
          </w:tcPr>
          <w:p w14:paraId="4D4E4DA8" w14:textId="0099EA62" w:rsidR="004428A9" w:rsidRDefault="004428A9" w:rsidP="00467529">
            <w:pPr>
              <w:jc w:val="both"/>
              <w:rPr>
                <w:rFonts w:ascii="Calibri" w:hAnsi="Calibri" w:cs="Calibri"/>
                <w:sz w:val="24"/>
                <w:szCs w:val="24"/>
              </w:rPr>
            </w:pPr>
            <w:r>
              <w:rPr>
                <w:rFonts w:ascii="Calibri" w:hAnsi="Calibri" w:cs="Calibri"/>
                <w:sz w:val="24"/>
                <w:szCs w:val="24"/>
              </w:rPr>
              <w:t>1.1</w:t>
            </w:r>
          </w:p>
        </w:tc>
        <w:tc>
          <w:tcPr>
            <w:tcW w:w="8789" w:type="dxa"/>
          </w:tcPr>
          <w:p w14:paraId="2721D21D" w14:textId="77777777" w:rsidR="004428A9" w:rsidRDefault="004428A9" w:rsidP="00467529">
            <w:pPr>
              <w:jc w:val="both"/>
              <w:rPr>
                <w:rFonts w:ascii="Calibri" w:hAnsi="Calibri" w:cs="Calibri"/>
                <w:sz w:val="24"/>
                <w:szCs w:val="24"/>
              </w:rPr>
            </w:pPr>
            <w:r>
              <w:rPr>
                <w:rFonts w:ascii="Calibri" w:hAnsi="Calibri" w:cs="Calibri"/>
                <w:sz w:val="24"/>
                <w:szCs w:val="24"/>
              </w:rPr>
              <w:t>This is the inaugural meeting of PGRA. The PGRA was formed to represent the communities of Hilfield (including The Ridings), Pegmire and Summerhouse Lanes, and the B462 Hartsp</w:t>
            </w:r>
            <w:r w:rsidR="004D780D">
              <w:rPr>
                <w:rFonts w:ascii="Calibri" w:hAnsi="Calibri" w:cs="Calibri"/>
                <w:sz w:val="24"/>
                <w:szCs w:val="24"/>
              </w:rPr>
              <w:t>r</w:t>
            </w:r>
            <w:r>
              <w:rPr>
                <w:rFonts w:ascii="Calibri" w:hAnsi="Calibri" w:cs="Calibri"/>
                <w:sz w:val="24"/>
                <w:szCs w:val="24"/>
              </w:rPr>
              <w:t>ing Lane to the left of Hilfield Lane up to the bridge and the Winfield Mobile homes site.</w:t>
            </w:r>
          </w:p>
          <w:p w14:paraId="76A88B33" w14:textId="167DB925" w:rsidR="004D780D" w:rsidRDefault="004D780D" w:rsidP="00467529">
            <w:pPr>
              <w:jc w:val="both"/>
              <w:rPr>
                <w:rFonts w:ascii="Calibri" w:hAnsi="Calibri" w:cs="Calibri"/>
                <w:sz w:val="24"/>
                <w:szCs w:val="24"/>
              </w:rPr>
            </w:pPr>
          </w:p>
        </w:tc>
      </w:tr>
      <w:tr w:rsidR="004428A9" w14:paraId="378F3084" w14:textId="77777777" w:rsidTr="004428A9">
        <w:tc>
          <w:tcPr>
            <w:tcW w:w="338" w:type="dxa"/>
          </w:tcPr>
          <w:p w14:paraId="40855D9C" w14:textId="77777777" w:rsidR="004428A9" w:rsidRDefault="004428A9" w:rsidP="00F80F15">
            <w:pPr>
              <w:jc w:val="center"/>
              <w:rPr>
                <w:rFonts w:ascii="Calibri" w:hAnsi="Calibri" w:cs="Calibri"/>
                <w:sz w:val="24"/>
                <w:szCs w:val="24"/>
              </w:rPr>
            </w:pPr>
          </w:p>
        </w:tc>
        <w:tc>
          <w:tcPr>
            <w:tcW w:w="655" w:type="dxa"/>
          </w:tcPr>
          <w:p w14:paraId="576507B5" w14:textId="593CB7EB" w:rsidR="004428A9" w:rsidRDefault="004428A9" w:rsidP="00467529">
            <w:pPr>
              <w:jc w:val="both"/>
              <w:rPr>
                <w:rFonts w:ascii="Calibri" w:hAnsi="Calibri" w:cs="Calibri"/>
                <w:sz w:val="24"/>
                <w:szCs w:val="24"/>
              </w:rPr>
            </w:pPr>
            <w:r>
              <w:rPr>
                <w:rFonts w:ascii="Calibri" w:hAnsi="Calibri" w:cs="Calibri"/>
                <w:sz w:val="24"/>
                <w:szCs w:val="24"/>
              </w:rPr>
              <w:t>1.2</w:t>
            </w:r>
          </w:p>
        </w:tc>
        <w:tc>
          <w:tcPr>
            <w:tcW w:w="8789" w:type="dxa"/>
          </w:tcPr>
          <w:p w14:paraId="5BAF13F2" w14:textId="77777777" w:rsidR="004428A9" w:rsidRDefault="004428A9" w:rsidP="00467529">
            <w:pPr>
              <w:jc w:val="both"/>
              <w:rPr>
                <w:rFonts w:ascii="Calibri" w:hAnsi="Calibri" w:cs="Calibri"/>
                <w:sz w:val="24"/>
                <w:szCs w:val="24"/>
              </w:rPr>
            </w:pPr>
            <w:r>
              <w:rPr>
                <w:rFonts w:ascii="Calibri" w:hAnsi="Calibri" w:cs="Calibri"/>
                <w:sz w:val="24"/>
                <w:szCs w:val="24"/>
              </w:rPr>
              <w:t>Its aims include to fight to preserve the heritage and green belt of our environment and address reasonable areas of concern raised by the community.</w:t>
            </w:r>
          </w:p>
          <w:p w14:paraId="59E58305" w14:textId="1F3CE573" w:rsidR="004D780D" w:rsidRDefault="004D780D" w:rsidP="00467529">
            <w:pPr>
              <w:jc w:val="both"/>
              <w:rPr>
                <w:rFonts w:ascii="Calibri" w:hAnsi="Calibri" w:cs="Calibri"/>
                <w:sz w:val="24"/>
                <w:szCs w:val="24"/>
              </w:rPr>
            </w:pPr>
          </w:p>
        </w:tc>
      </w:tr>
      <w:tr w:rsidR="004428A9" w14:paraId="0736C28D" w14:textId="77777777" w:rsidTr="004428A9">
        <w:tc>
          <w:tcPr>
            <w:tcW w:w="338" w:type="dxa"/>
          </w:tcPr>
          <w:p w14:paraId="340B7AD0" w14:textId="77777777" w:rsidR="004428A9" w:rsidRDefault="004428A9" w:rsidP="00F80F15">
            <w:pPr>
              <w:jc w:val="center"/>
              <w:rPr>
                <w:rFonts w:ascii="Calibri" w:hAnsi="Calibri" w:cs="Calibri"/>
                <w:sz w:val="24"/>
                <w:szCs w:val="24"/>
              </w:rPr>
            </w:pPr>
          </w:p>
        </w:tc>
        <w:tc>
          <w:tcPr>
            <w:tcW w:w="655" w:type="dxa"/>
          </w:tcPr>
          <w:p w14:paraId="37735B13" w14:textId="589608DF" w:rsidR="004428A9" w:rsidRDefault="004428A9" w:rsidP="00467529">
            <w:pPr>
              <w:jc w:val="both"/>
              <w:rPr>
                <w:rFonts w:ascii="Calibri" w:hAnsi="Calibri" w:cs="Calibri"/>
                <w:sz w:val="24"/>
                <w:szCs w:val="24"/>
              </w:rPr>
            </w:pPr>
            <w:r>
              <w:rPr>
                <w:rFonts w:ascii="Calibri" w:hAnsi="Calibri" w:cs="Calibri"/>
                <w:sz w:val="24"/>
                <w:szCs w:val="24"/>
              </w:rPr>
              <w:t>1.3</w:t>
            </w:r>
          </w:p>
        </w:tc>
        <w:tc>
          <w:tcPr>
            <w:tcW w:w="8789" w:type="dxa"/>
          </w:tcPr>
          <w:p w14:paraId="3161AB10" w14:textId="77777777" w:rsidR="004428A9" w:rsidRDefault="004428A9" w:rsidP="00467529">
            <w:pPr>
              <w:jc w:val="both"/>
              <w:rPr>
                <w:rFonts w:ascii="Calibri" w:hAnsi="Calibri" w:cs="Calibri"/>
                <w:sz w:val="24"/>
                <w:szCs w:val="24"/>
              </w:rPr>
            </w:pPr>
            <w:r>
              <w:rPr>
                <w:rFonts w:ascii="Calibri" w:hAnsi="Calibri" w:cs="Calibri"/>
                <w:sz w:val="24"/>
                <w:szCs w:val="24"/>
              </w:rPr>
              <w:t>PGRA gained statutory consultee status from Hertsmere Planning.</w:t>
            </w:r>
          </w:p>
          <w:p w14:paraId="5F79B5C0" w14:textId="5358E6F0" w:rsidR="004D780D" w:rsidRDefault="004D780D" w:rsidP="00467529">
            <w:pPr>
              <w:jc w:val="both"/>
              <w:rPr>
                <w:rFonts w:ascii="Calibri" w:hAnsi="Calibri" w:cs="Calibri"/>
                <w:sz w:val="24"/>
                <w:szCs w:val="24"/>
              </w:rPr>
            </w:pPr>
          </w:p>
        </w:tc>
      </w:tr>
      <w:tr w:rsidR="004428A9" w14:paraId="2FCC2D8A" w14:textId="77777777" w:rsidTr="004428A9">
        <w:tc>
          <w:tcPr>
            <w:tcW w:w="338" w:type="dxa"/>
          </w:tcPr>
          <w:p w14:paraId="3115EABB" w14:textId="77777777" w:rsidR="004428A9" w:rsidRDefault="004428A9" w:rsidP="00F80F15">
            <w:pPr>
              <w:jc w:val="center"/>
              <w:rPr>
                <w:rFonts w:ascii="Calibri" w:hAnsi="Calibri" w:cs="Calibri"/>
                <w:sz w:val="24"/>
                <w:szCs w:val="24"/>
              </w:rPr>
            </w:pPr>
          </w:p>
        </w:tc>
        <w:tc>
          <w:tcPr>
            <w:tcW w:w="655" w:type="dxa"/>
          </w:tcPr>
          <w:p w14:paraId="30DAD363" w14:textId="66469E4D" w:rsidR="004428A9" w:rsidRDefault="004428A9" w:rsidP="00467529">
            <w:pPr>
              <w:jc w:val="both"/>
              <w:rPr>
                <w:rFonts w:ascii="Calibri" w:hAnsi="Calibri" w:cs="Calibri"/>
                <w:sz w:val="24"/>
                <w:szCs w:val="24"/>
              </w:rPr>
            </w:pPr>
            <w:r>
              <w:rPr>
                <w:rFonts w:ascii="Calibri" w:hAnsi="Calibri" w:cs="Calibri"/>
                <w:sz w:val="24"/>
                <w:szCs w:val="24"/>
              </w:rPr>
              <w:t>1.4</w:t>
            </w:r>
          </w:p>
        </w:tc>
        <w:tc>
          <w:tcPr>
            <w:tcW w:w="8789" w:type="dxa"/>
          </w:tcPr>
          <w:p w14:paraId="258865EA" w14:textId="77777777" w:rsidR="004428A9" w:rsidRDefault="004428A9" w:rsidP="00467529">
            <w:pPr>
              <w:jc w:val="both"/>
              <w:rPr>
                <w:rFonts w:ascii="Calibri" w:hAnsi="Calibri" w:cs="Calibri"/>
                <w:sz w:val="24"/>
                <w:szCs w:val="24"/>
              </w:rPr>
            </w:pPr>
            <w:r>
              <w:rPr>
                <w:rFonts w:ascii="Calibri" w:hAnsi="Calibri" w:cs="Calibri"/>
                <w:sz w:val="24"/>
                <w:szCs w:val="24"/>
              </w:rPr>
              <w:t xml:space="preserve">The PGRA was actively involved in obtaining the </w:t>
            </w:r>
            <w:r w:rsidR="00BA246C">
              <w:rPr>
                <w:rFonts w:ascii="Calibri" w:hAnsi="Calibri" w:cs="Calibri"/>
                <w:sz w:val="24"/>
                <w:szCs w:val="24"/>
              </w:rPr>
              <w:t xml:space="preserve">rejection </w:t>
            </w:r>
            <w:r>
              <w:rPr>
                <w:rFonts w:ascii="Calibri" w:hAnsi="Calibri" w:cs="Calibri"/>
                <w:sz w:val="24"/>
                <w:szCs w:val="24"/>
              </w:rPr>
              <w:t>of the plan to install a</w:t>
            </w:r>
            <w:r w:rsidR="00BA246C">
              <w:rPr>
                <w:rFonts w:ascii="Calibri" w:hAnsi="Calibri" w:cs="Calibri"/>
                <w:sz w:val="24"/>
                <w:szCs w:val="24"/>
              </w:rPr>
              <w:t xml:space="preserve">n enormous </w:t>
            </w:r>
            <w:r w:rsidR="000B58CE">
              <w:rPr>
                <w:rFonts w:ascii="Calibri" w:hAnsi="Calibri" w:cs="Calibri"/>
                <w:sz w:val="24"/>
                <w:szCs w:val="24"/>
              </w:rPr>
              <w:t xml:space="preserve">Solar Panel </w:t>
            </w:r>
            <w:r w:rsidR="00BA246C">
              <w:rPr>
                <w:rFonts w:ascii="Calibri" w:hAnsi="Calibri" w:cs="Calibri"/>
                <w:sz w:val="24"/>
                <w:szCs w:val="24"/>
              </w:rPr>
              <w:t xml:space="preserve">Plant </w:t>
            </w:r>
            <w:r>
              <w:rPr>
                <w:rFonts w:ascii="Calibri" w:hAnsi="Calibri" w:cs="Calibri"/>
                <w:sz w:val="24"/>
                <w:szCs w:val="24"/>
              </w:rPr>
              <w:t xml:space="preserve">in a </w:t>
            </w:r>
            <w:r w:rsidR="00BA246C">
              <w:rPr>
                <w:rFonts w:ascii="Calibri" w:hAnsi="Calibri" w:cs="Calibri"/>
                <w:sz w:val="24"/>
                <w:szCs w:val="24"/>
              </w:rPr>
              <w:t>vast</w:t>
            </w:r>
            <w:r>
              <w:rPr>
                <w:rFonts w:ascii="Calibri" w:hAnsi="Calibri" w:cs="Calibri"/>
                <w:sz w:val="24"/>
                <w:szCs w:val="24"/>
              </w:rPr>
              <w:t xml:space="preserve"> area of green belt land adjacent to the electricity sub-station. </w:t>
            </w:r>
            <w:r w:rsidR="00BA246C">
              <w:rPr>
                <w:rFonts w:ascii="Calibri" w:hAnsi="Calibri" w:cs="Calibri"/>
                <w:sz w:val="24"/>
                <w:szCs w:val="24"/>
              </w:rPr>
              <w:t>It was involved in securing the withdrawal of the PENSO BESS proposal, which was put forward by a financial consortium that lacked technical expertise.</w:t>
            </w:r>
          </w:p>
          <w:p w14:paraId="55EC536E" w14:textId="10215511" w:rsidR="004D780D" w:rsidRDefault="004D780D" w:rsidP="00467529">
            <w:pPr>
              <w:jc w:val="both"/>
              <w:rPr>
                <w:rFonts w:ascii="Calibri" w:hAnsi="Calibri" w:cs="Calibri"/>
                <w:sz w:val="24"/>
                <w:szCs w:val="24"/>
              </w:rPr>
            </w:pPr>
          </w:p>
        </w:tc>
      </w:tr>
      <w:tr w:rsidR="004428A9" w14:paraId="1274B7B2" w14:textId="77777777" w:rsidTr="004428A9">
        <w:tc>
          <w:tcPr>
            <w:tcW w:w="338" w:type="dxa"/>
          </w:tcPr>
          <w:p w14:paraId="388A0E56" w14:textId="77777777" w:rsidR="004428A9" w:rsidRDefault="004428A9" w:rsidP="00F80F15">
            <w:pPr>
              <w:jc w:val="center"/>
              <w:rPr>
                <w:rFonts w:ascii="Calibri" w:hAnsi="Calibri" w:cs="Calibri"/>
                <w:sz w:val="24"/>
                <w:szCs w:val="24"/>
              </w:rPr>
            </w:pPr>
          </w:p>
        </w:tc>
        <w:tc>
          <w:tcPr>
            <w:tcW w:w="655" w:type="dxa"/>
          </w:tcPr>
          <w:p w14:paraId="2354DABA" w14:textId="7AD674AC" w:rsidR="004428A9" w:rsidRDefault="004428A9" w:rsidP="00467529">
            <w:pPr>
              <w:jc w:val="both"/>
              <w:rPr>
                <w:rFonts w:ascii="Calibri" w:hAnsi="Calibri" w:cs="Calibri"/>
                <w:sz w:val="24"/>
                <w:szCs w:val="24"/>
              </w:rPr>
            </w:pPr>
            <w:r>
              <w:rPr>
                <w:rFonts w:ascii="Calibri" w:hAnsi="Calibri" w:cs="Calibri"/>
                <w:sz w:val="24"/>
                <w:szCs w:val="24"/>
              </w:rPr>
              <w:t>1.5</w:t>
            </w:r>
          </w:p>
        </w:tc>
        <w:tc>
          <w:tcPr>
            <w:tcW w:w="8789" w:type="dxa"/>
          </w:tcPr>
          <w:p w14:paraId="1D2AAED1" w14:textId="77777777" w:rsidR="004428A9" w:rsidRDefault="004428A9" w:rsidP="00467529">
            <w:pPr>
              <w:jc w:val="both"/>
              <w:rPr>
                <w:rFonts w:ascii="Calibri" w:hAnsi="Calibri" w:cs="Calibri"/>
                <w:sz w:val="24"/>
                <w:szCs w:val="24"/>
              </w:rPr>
            </w:pPr>
            <w:r>
              <w:rPr>
                <w:rFonts w:ascii="Calibri" w:hAnsi="Calibri" w:cs="Calibri"/>
                <w:sz w:val="24"/>
                <w:szCs w:val="24"/>
              </w:rPr>
              <w:t xml:space="preserve">By the kind generosity of APC </w:t>
            </w:r>
            <w:r w:rsidR="00BA246C">
              <w:rPr>
                <w:rFonts w:ascii="Calibri" w:hAnsi="Calibri" w:cs="Calibri"/>
                <w:sz w:val="24"/>
                <w:szCs w:val="24"/>
              </w:rPr>
              <w:t xml:space="preserve">and </w:t>
            </w:r>
            <w:r>
              <w:rPr>
                <w:rFonts w:ascii="Calibri" w:hAnsi="Calibri" w:cs="Calibri"/>
                <w:sz w:val="24"/>
                <w:szCs w:val="24"/>
              </w:rPr>
              <w:t>local councillors who kindly used their budgets, PGRA enabled the replacement of the signage to Patchetts Green, the purchase and installation of a defibrillator on the wall of the Three Compasses Pub, and engagement of our local community police personnel to assist in preserving the law in our area. Representation to the Hertsmere and Herts County Council, whilst putting on record our fly-tipping and speeding cars problems, regrettably failed to achieve any worthwhile measures to arrest these issues – although it is correct to acknowledge that there is no practical solution that could ensure these activities stopped.</w:t>
            </w:r>
          </w:p>
          <w:p w14:paraId="0957D11D" w14:textId="3845A57B" w:rsidR="004D780D" w:rsidRDefault="004D780D" w:rsidP="00467529">
            <w:pPr>
              <w:jc w:val="both"/>
              <w:rPr>
                <w:rFonts w:ascii="Calibri" w:hAnsi="Calibri" w:cs="Calibri"/>
                <w:sz w:val="24"/>
                <w:szCs w:val="24"/>
              </w:rPr>
            </w:pPr>
          </w:p>
        </w:tc>
      </w:tr>
      <w:tr w:rsidR="004428A9" w14:paraId="7BFB6376" w14:textId="77777777" w:rsidTr="004428A9">
        <w:tc>
          <w:tcPr>
            <w:tcW w:w="338" w:type="dxa"/>
          </w:tcPr>
          <w:p w14:paraId="0153015C" w14:textId="77777777" w:rsidR="004428A9" w:rsidRDefault="004428A9" w:rsidP="00F80F15">
            <w:pPr>
              <w:jc w:val="center"/>
              <w:rPr>
                <w:rFonts w:ascii="Calibri" w:hAnsi="Calibri" w:cs="Calibri"/>
                <w:sz w:val="24"/>
                <w:szCs w:val="24"/>
              </w:rPr>
            </w:pPr>
          </w:p>
        </w:tc>
        <w:tc>
          <w:tcPr>
            <w:tcW w:w="655" w:type="dxa"/>
          </w:tcPr>
          <w:p w14:paraId="6867CBE2" w14:textId="7B283CAF" w:rsidR="004428A9" w:rsidRDefault="004428A9" w:rsidP="00467529">
            <w:pPr>
              <w:jc w:val="both"/>
              <w:rPr>
                <w:rFonts w:ascii="Calibri" w:hAnsi="Calibri" w:cs="Calibri"/>
                <w:sz w:val="24"/>
                <w:szCs w:val="24"/>
              </w:rPr>
            </w:pPr>
            <w:r>
              <w:rPr>
                <w:rFonts w:ascii="Calibri" w:hAnsi="Calibri" w:cs="Calibri"/>
                <w:sz w:val="24"/>
                <w:szCs w:val="24"/>
              </w:rPr>
              <w:t>1.6</w:t>
            </w:r>
          </w:p>
        </w:tc>
        <w:tc>
          <w:tcPr>
            <w:tcW w:w="8789" w:type="dxa"/>
          </w:tcPr>
          <w:p w14:paraId="41F8403D" w14:textId="77777777" w:rsidR="004428A9" w:rsidRDefault="004428A9" w:rsidP="00467529">
            <w:pPr>
              <w:jc w:val="both"/>
              <w:rPr>
                <w:rFonts w:ascii="Calibri" w:hAnsi="Calibri" w:cs="Calibri"/>
                <w:sz w:val="24"/>
                <w:szCs w:val="24"/>
              </w:rPr>
            </w:pPr>
            <w:r>
              <w:rPr>
                <w:rFonts w:ascii="Calibri" w:hAnsi="Calibri" w:cs="Calibri"/>
                <w:sz w:val="24"/>
                <w:szCs w:val="24"/>
              </w:rPr>
              <w:t>During the year, Raj Haria announced his resignation due to other commitments, and we welcomed the valuable additions of Julie Owen, Marina Doyle and Simon Jacobs to our Executive Committee.</w:t>
            </w:r>
          </w:p>
          <w:p w14:paraId="71059669" w14:textId="48820E50" w:rsidR="004D780D" w:rsidRPr="006216E3" w:rsidRDefault="004D780D" w:rsidP="00467529">
            <w:pPr>
              <w:jc w:val="both"/>
              <w:rPr>
                <w:rFonts w:ascii="Calibri" w:hAnsi="Calibri" w:cs="Calibri"/>
                <w:sz w:val="24"/>
                <w:szCs w:val="24"/>
              </w:rPr>
            </w:pPr>
          </w:p>
        </w:tc>
      </w:tr>
      <w:tr w:rsidR="004428A9" w14:paraId="3E5E9DA9" w14:textId="77777777" w:rsidTr="004428A9">
        <w:tc>
          <w:tcPr>
            <w:tcW w:w="338" w:type="dxa"/>
          </w:tcPr>
          <w:p w14:paraId="61B27BAA" w14:textId="77777777" w:rsidR="004428A9" w:rsidRDefault="004428A9" w:rsidP="00F80F15">
            <w:pPr>
              <w:jc w:val="center"/>
              <w:rPr>
                <w:rFonts w:ascii="Calibri" w:hAnsi="Calibri" w:cs="Calibri"/>
                <w:sz w:val="24"/>
                <w:szCs w:val="24"/>
              </w:rPr>
            </w:pPr>
          </w:p>
        </w:tc>
        <w:tc>
          <w:tcPr>
            <w:tcW w:w="655" w:type="dxa"/>
          </w:tcPr>
          <w:p w14:paraId="173F24FE" w14:textId="539D83D9" w:rsidR="004428A9" w:rsidRDefault="004428A9" w:rsidP="00467529">
            <w:pPr>
              <w:jc w:val="both"/>
              <w:rPr>
                <w:rFonts w:ascii="Calibri" w:hAnsi="Calibri" w:cs="Calibri"/>
                <w:sz w:val="24"/>
                <w:szCs w:val="24"/>
              </w:rPr>
            </w:pPr>
            <w:r>
              <w:rPr>
                <w:rFonts w:ascii="Calibri" w:hAnsi="Calibri" w:cs="Calibri"/>
                <w:sz w:val="24"/>
                <w:szCs w:val="24"/>
              </w:rPr>
              <w:t>1.7</w:t>
            </w:r>
          </w:p>
        </w:tc>
        <w:tc>
          <w:tcPr>
            <w:tcW w:w="8789" w:type="dxa"/>
          </w:tcPr>
          <w:p w14:paraId="0A4CC7A4" w14:textId="77777777" w:rsidR="004428A9" w:rsidRDefault="004428A9" w:rsidP="00467529">
            <w:pPr>
              <w:jc w:val="both"/>
              <w:rPr>
                <w:rFonts w:ascii="Calibri" w:hAnsi="Calibri" w:cs="Calibri"/>
                <w:sz w:val="24"/>
                <w:szCs w:val="24"/>
              </w:rPr>
            </w:pPr>
            <w:r>
              <w:rPr>
                <w:rFonts w:ascii="Calibri" w:hAnsi="Calibri" w:cs="Calibri"/>
                <w:sz w:val="24"/>
                <w:szCs w:val="24"/>
              </w:rPr>
              <w:t>Finally, as Chairman, I would like to acknowledge and thank the valuable contributions and excellent assistance all the members of the executive committee have provided over the year.</w:t>
            </w:r>
          </w:p>
          <w:p w14:paraId="6C7ADDE4" w14:textId="1D47C101" w:rsidR="004D780D" w:rsidRDefault="004D780D" w:rsidP="00467529">
            <w:pPr>
              <w:jc w:val="both"/>
              <w:rPr>
                <w:rFonts w:ascii="Calibri" w:hAnsi="Calibri" w:cs="Calibri"/>
                <w:sz w:val="24"/>
                <w:szCs w:val="24"/>
              </w:rPr>
            </w:pPr>
          </w:p>
        </w:tc>
      </w:tr>
      <w:tr w:rsidR="004428A9" w14:paraId="102290EF" w14:textId="77777777" w:rsidTr="004428A9">
        <w:tc>
          <w:tcPr>
            <w:tcW w:w="338" w:type="dxa"/>
          </w:tcPr>
          <w:p w14:paraId="198B558A" w14:textId="35D660E7" w:rsidR="004428A9" w:rsidRDefault="004428A9" w:rsidP="00FB3192">
            <w:pPr>
              <w:jc w:val="center"/>
              <w:rPr>
                <w:rFonts w:ascii="Calibri" w:hAnsi="Calibri" w:cs="Calibri"/>
                <w:sz w:val="24"/>
                <w:szCs w:val="24"/>
              </w:rPr>
            </w:pPr>
            <w:r>
              <w:rPr>
                <w:rFonts w:ascii="Calibri" w:hAnsi="Calibri" w:cs="Calibri"/>
                <w:sz w:val="24"/>
                <w:szCs w:val="24"/>
              </w:rPr>
              <w:t>2</w:t>
            </w:r>
          </w:p>
        </w:tc>
        <w:tc>
          <w:tcPr>
            <w:tcW w:w="655" w:type="dxa"/>
          </w:tcPr>
          <w:p w14:paraId="069A99DA" w14:textId="77777777" w:rsidR="004428A9" w:rsidRDefault="004428A9" w:rsidP="00FB3192">
            <w:pPr>
              <w:jc w:val="both"/>
              <w:rPr>
                <w:rFonts w:ascii="Calibri" w:hAnsi="Calibri" w:cs="Calibri"/>
                <w:sz w:val="24"/>
                <w:szCs w:val="24"/>
              </w:rPr>
            </w:pPr>
          </w:p>
        </w:tc>
        <w:tc>
          <w:tcPr>
            <w:tcW w:w="8789" w:type="dxa"/>
          </w:tcPr>
          <w:p w14:paraId="115D5618" w14:textId="7635B8BB" w:rsidR="004428A9" w:rsidRPr="00FB3192" w:rsidRDefault="004428A9" w:rsidP="00FB3192">
            <w:pPr>
              <w:jc w:val="both"/>
              <w:rPr>
                <w:rFonts w:ascii="Calibri" w:hAnsi="Calibri" w:cs="Calibri"/>
                <w:b/>
                <w:bCs/>
                <w:sz w:val="24"/>
                <w:szCs w:val="24"/>
                <w:u w:val="single"/>
              </w:rPr>
            </w:pPr>
            <w:r>
              <w:rPr>
                <w:rFonts w:ascii="Calibri" w:hAnsi="Calibri" w:cs="Calibri"/>
                <w:b/>
                <w:bCs/>
                <w:sz w:val="24"/>
                <w:szCs w:val="24"/>
                <w:u w:val="single"/>
              </w:rPr>
              <w:t>Financial Statement</w:t>
            </w:r>
          </w:p>
        </w:tc>
      </w:tr>
      <w:tr w:rsidR="004428A9" w14:paraId="102C71A4" w14:textId="77777777" w:rsidTr="004428A9">
        <w:tc>
          <w:tcPr>
            <w:tcW w:w="338" w:type="dxa"/>
          </w:tcPr>
          <w:p w14:paraId="191EDD5E" w14:textId="77777777" w:rsidR="004428A9" w:rsidRDefault="004428A9" w:rsidP="00FB3192">
            <w:pPr>
              <w:jc w:val="center"/>
              <w:rPr>
                <w:rFonts w:ascii="Calibri" w:hAnsi="Calibri" w:cs="Calibri"/>
                <w:sz w:val="24"/>
                <w:szCs w:val="24"/>
              </w:rPr>
            </w:pPr>
          </w:p>
        </w:tc>
        <w:tc>
          <w:tcPr>
            <w:tcW w:w="655" w:type="dxa"/>
          </w:tcPr>
          <w:p w14:paraId="32A19FFD" w14:textId="5FB41B69" w:rsidR="004428A9" w:rsidRDefault="004428A9" w:rsidP="00FB3192">
            <w:pPr>
              <w:jc w:val="both"/>
              <w:rPr>
                <w:rFonts w:ascii="Calibri" w:hAnsi="Calibri" w:cs="Calibri"/>
                <w:sz w:val="24"/>
                <w:szCs w:val="24"/>
              </w:rPr>
            </w:pPr>
            <w:r>
              <w:rPr>
                <w:rFonts w:ascii="Calibri" w:hAnsi="Calibri" w:cs="Calibri"/>
                <w:sz w:val="24"/>
                <w:szCs w:val="24"/>
              </w:rPr>
              <w:t>2.1</w:t>
            </w:r>
          </w:p>
        </w:tc>
        <w:tc>
          <w:tcPr>
            <w:tcW w:w="8789" w:type="dxa"/>
          </w:tcPr>
          <w:p w14:paraId="6E363E73" w14:textId="77777777" w:rsidR="004428A9" w:rsidRDefault="004428A9" w:rsidP="00FB3192">
            <w:pPr>
              <w:jc w:val="both"/>
              <w:rPr>
                <w:rFonts w:ascii="Calibri" w:hAnsi="Calibri" w:cs="Calibri"/>
                <w:sz w:val="24"/>
                <w:szCs w:val="24"/>
              </w:rPr>
            </w:pPr>
            <w:r>
              <w:rPr>
                <w:rFonts w:ascii="Calibri" w:hAnsi="Calibri" w:cs="Calibri"/>
                <w:sz w:val="24"/>
                <w:szCs w:val="24"/>
              </w:rPr>
              <w:t>PGRA does not receive any funds whatsoever, neither by community contributions nor by grants from public funds</w:t>
            </w:r>
            <w:r w:rsidR="004D780D">
              <w:rPr>
                <w:rFonts w:ascii="Calibri" w:hAnsi="Calibri" w:cs="Calibri"/>
                <w:sz w:val="24"/>
                <w:szCs w:val="24"/>
              </w:rPr>
              <w:t>.</w:t>
            </w:r>
          </w:p>
          <w:p w14:paraId="501F2FFF" w14:textId="3E938551" w:rsidR="004D780D" w:rsidRPr="00A50D71" w:rsidRDefault="004D780D" w:rsidP="00FB3192">
            <w:pPr>
              <w:jc w:val="both"/>
              <w:rPr>
                <w:rFonts w:ascii="Calibri" w:hAnsi="Calibri" w:cs="Calibri"/>
                <w:sz w:val="24"/>
                <w:szCs w:val="24"/>
              </w:rPr>
            </w:pPr>
          </w:p>
        </w:tc>
      </w:tr>
      <w:tr w:rsidR="004428A9" w14:paraId="2DD48C3B" w14:textId="77777777" w:rsidTr="004428A9">
        <w:tc>
          <w:tcPr>
            <w:tcW w:w="338" w:type="dxa"/>
          </w:tcPr>
          <w:p w14:paraId="1917401B" w14:textId="77777777" w:rsidR="004428A9" w:rsidRDefault="004428A9" w:rsidP="00FB3192">
            <w:pPr>
              <w:jc w:val="center"/>
              <w:rPr>
                <w:rFonts w:ascii="Calibri" w:hAnsi="Calibri" w:cs="Calibri"/>
                <w:sz w:val="24"/>
                <w:szCs w:val="24"/>
              </w:rPr>
            </w:pPr>
          </w:p>
        </w:tc>
        <w:tc>
          <w:tcPr>
            <w:tcW w:w="655" w:type="dxa"/>
          </w:tcPr>
          <w:p w14:paraId="2C030F9F" w14:textId="0421E80D" w:rsidR="004428A9" w:rsidRDefault="004428A9" w:rsidP="00FB3192">
            <w:pPr>
              <w:jc w:val="both"/>
              <w:rPr>
                <w:rFonts w:ascii="Calibri" w:hAnsi="Calibri" w:cs="Calibri"/>
                <w:sz w:val="24"/>
                <w:szCs w:val="24"/>
              </w:rPr>
            </w:pPr>
            <w:r>
              <w:rPr>
                <w:rFonts w:ascii="Calibri" w:hAnsi="Calibri" w:cs="Calibri"/>
                <w:sz w:val="24"/>
                <w:szCs w:val="24"/>
              </w:rPr>
              <w:t>2.2</w:t>
            </w:r>
          </w:p>
        </w:tc>
        <w:tc>
          <w:tcPr>
            <w:tcW w:w="8789" w:type="dxa"/>
          </w:tcPr>
          <w:p w14:paraId="48832966" w14:textId="77777777" w:rsidR="004428A9" w:rsidRDefault="004428A9" w:rsidP="00FB3192">
            <w:pPr>
              <w:jc w:val="both"/>
              <w:rPr>
                <w:rFonts w:ascii="Calibri" w:hAnsi="Calibri" w:cs="Calibri"/>
                <w:sz w:val="24"/>
                <w:szCs w:val="24"/>
              </w:rPr>
            </w:pPr>
            <w:r>
              <w:rPr>
                <w:rFonts w:ascii="Calibri" w:hAnsi="Calibri" w:cs="Calibri"/>
                <w:sz w:val="24"/>
                <w:szCs w:val="24"/>
              </w:rPr>
              <w:t>The committee members receive no payment nor any expenses for their time.</w:t>
            </w:r>
          </w:p>
          <w:p w14:paraId="0C7B0900" w14:textId="6532DF24" w:rsidR="004D780D" w:rsidRDefault="004D780D" w:rsidP="00FB3192">
            <w:pPr>
              <w:jc w:val="both"/>
              <w:rPr>
                <w:rFonts w:ascii="Calibri" w:hAnsi="Calibri" w:cs="Calibri"/>
                <w:sz w:val="24"/>
                <w:szCs w:val="24"/>
              </w:rPr>
            </w:pPr>
          </w:p>
        </w:tc>
      </w:tr>
      <w:tr w:rsidR="004D780D" w14:paraId="37928319" w14:textId="77777777" w:rsidTr="004428A9">
        <w:tc>
          <w:tcPr>
            <w:tcW w:w="338" w:type="dxa"/>
          </w:tcPr>
          <w:p w14:paraId="0ECC9E61" w14:textId="77777777" w:rsidR="004D780D" w:rsidRDefault="004D780D" w:rsidP="00FB3192">
            <w:pPr>
              <w:jc w:val="center"/>
              <w:rPr>
                <w:rFonts w:ascii="Calibri" w:hAnsi="Calibri" w:cs="Calibri"/>
                <w:sz w:val="24"/>
                <w:szCs w:val="24"/>
              </w:rPr>
            </w:pPr>
          </w:p>
        </w:tc>
        <w:tc>
          <w:tcPr>
            <w:tcW w:w="655" w:type="dxa"/>
          </w:tcPr>
          <w:p w14:paraId="5AE4B4D8" w14:textId="77777777" w:rsidR="004D780D" w:rsidRDefault="004D780D" w:rsidP="00FB3192">
            <w:pPr>
              <w:jc w:val="both"/>
              <w:rPr>
                <w:rFonts w:ascii="Calibri" w:hAnsi="Calibri" w:cs="Calibri"/>
                <w:sz w:val="24"/>
                <w:szCs w:val="24"/>
              </w:rPr>
            </w:pPr>
          </w:p>
        </w:tc>
        <w:tc>
          <w:tcPr>
            <w:tcW w:w="8789" w:type="dxa"/>
          </w:tcPr>
          <w:p w14:paraId="12FAB8DC" w14:textId="77777777" w:rsidR="004D780D" w:rsidRDefault="004D780D" w:rsidP="00FB3192">
            <w:pPr>
              <w:jc w:val="both"/>
              <w:rPr>
                <w:rFonts w:ascii="Calibri" w:hAnsi="Calibri" w:cs="Calibri"/>
                <w:sz w:val="24"/>
                <w:szCs w:val="24"/>
              </w:rPr>
            </w:pPr>
          </w:p>
        </w:tc>
      </w:tr>
      <w:tr w:rsidR="004428A9" w14:paraId="268B0464" w14:textId="77777777" w:rsidTr="004428A9">
        <w:tc>
          <w:tcPr>
            <w:tcW w:w="338" w:type="dxa"/>
          </w:tcPr>
          <w:p w14:paraId="182CE65A" w14:textId="21AC9D3D" w:rsidR="004428A9" w:rsidRDefault="004428A9" w:rsidP="00FB3192">
            <w:pPr>
              <w:jc w:val="center"/>
              <w:rPr>
                <w:rFonts w:ascii="Calibri" w:hAnsi="Calibri" w:cs="Calibri"/>
                <w:sz w:val="24"/>
                <w:szCs w:val="24"/>
              </w:rPr>
            </w:pPr>
            <w:r>
              <w:rPr>
                <w:rFonts w:ascii="Calibri" w:hAnsi="Calibri" w:cs="Calibri"/>
                <w:sz w:val="24"/>
                <w:szCs w:val="24"/>
              </w:rPr>
              <w:t>3</w:t>
            </w:r>
          </w:p>
        </w:tc>
        <w:tc>
          <w:tcPr>
            <w:tcW w:w="655" w:type="dxa"/>
          </w:tcPr>
          <w:p w14:paraId="25A7E9A2" w14:textId="77777777" w:rsidR="004428A9" w:rsidRDefault="004428A9" w:rsidP="00FB3192">
            <w:pPr>
              <w:jc w:val="both"/>
              <w:rPr>
                <w:rFonts w:ascii="Calibri" w:hAnsi="Calibri" w:cs="Calibri"/>
                <w:sz w:val="24"/>
                <w:szCs w:val="24"/>
              </w:rPr>
            </w:pPr>
          </w:p>
        </w:tc>
        <w:tc>
          <w:tcPr>
            <w:tcW w:w="8789" w:type="dxa"/>
          </w:tcPr>
          <w:p w14:paraId="0D8DD8ED" w14:textId="76094967" w:rsidR="004428A9" w:rsidRPr="008665C3" w:rsidRDefault="004428A9" w:rsidP="008246C7">
            <w:pPr>
              <w:jc w:val="both"/>
              <w:rPr>
                <w:rFonts w:ascii="Calibri" w:hAnsi="Calibri" w:cs="Calibri"/>
                <w:b/>
                <w:bCs/>
                <w:sz w:val="24"/>
                <w:szCs w:val="24"/>
              </w:rPr>
            </w:pPr>
            <w:r>
              <w:rPr>
                <w:rFonts w:ascii="Calibri" w:hAnsi="Calibri" w:cs="Calibri"/>
                <w:b/>
                <w:bCs/>
                <w:sz w:val="24"/>
                <w:szCs w:val="24"/>
              </w:rPr>
              <w:t>Challenges in the Year Ahead.</w:t>
            </w:r>
          </w:p>
        </w:tc>
      </w:tr>
      <w:tr w:rsidR="004428A9" w14:paraId="29FA51C3" w14:textId="77777777" w:rsidTr="004428A9">
        <w:trPr>
          <w:trHeight w:val="686"/>
        </w:trPr>
        <w:tc>
          <w:tcPr>
            <w:tcW w:w="338" w:type="dxa"/>
          </w:tcPr>
          <w:p w14:paraId="3E342AD9" w14:textId="77777777" w:rsidR="004428A9" w:rsidRDefault="004428A9" w:rsidP="00FB3192">
            <w:pPr>
              <w:jc w:val="center"/>
              <w:rPr>
                <w:rFonts w:ascii="Calibri" w:hAnsi="Calibri" w:cs="Calibri"/>
                <w:sz w:val="24"/>
                <w:szCs w:val="24"/>
              </w:rPr>
            </w:pPr>
          </w:p>
        </w:tc>
        <w:tc>
          <w:tcPr>
            <w:tcW w:w="655" w:type="dxa"/>
          </w:tcPr>
          <w:p w14:paraId="570002D6" w14:textId="584AEADF" w:rsidR="004428A9" w:rsidRDefault="004428A9" w:rsidP="00FB3192">
            <w:pPr>
              <w:jc w:val="both"/>
              <w:rPr>
                <w:rFonts w:ascii="Calibri" w:hAnsi="Calibri" w:cs="Calibri"/>
                <w:sz w:val="24"/>
                <w:szCs w:val="24"/>
              </w:rPr>
            </w:pPr>
            <w:r>
              <w:rPr>
                <w:rFonts w:ascii="Calibri" w:hAnsi="Calibri" w:cs="Calibri"/>
                <w:sz w:val="24"/>
                <w:szCs w:val="24"/>
              </w:rPr>
              <w:t>3.1</w:t>
            </w:r>
          </w:p>
        </w:tc>
        <w:tc>
          <w:tcPr>
            <w:tcW w:w="8789" w:type="dxa"/>
          </w:tcPr>
          <w:p w14:paraId="725C9B59" w14:textId="72C666C9" w:rsidR="004428A9" w:rsidRDefault="004428A9" w:rsidP="003C22F9">
            <w:pPr>
              <w:jc w:val="both"/>
              <w:rPr>
                <w:rFonts w:ascii="Calibri" w:hAnsi="Calibri" w:cs="Calibri"/>
                <w:sz w:val="24"/>
                <w:szCs w:val="24"/>
              </w:rPr>
            </w:pPr>
            <w:r>
              <w:rPr>
                <w:rFonts w:ascii="Calibri" w:hAnsi="Calibri" w:cs="Calibri"/>
                <w:sz w:val="24"/>
                <w:szCs w:val="24"/>
              </w:rPr>
              <w:t>Our area is coveted by housing and commercial developers looking to take advantage of the nearby sub-station or the green field areas they can destroy.</w:t>
            </w:r>
          </w:p>
        </w:tc>
      </w:tr>
      <w:tr w:rsidR="004428A9" w14:paraId="4CA258B1" w14:textId="77777777" w:rsidTr="004428A9">
        <w:tc>
          <w:tcPr>
            <w:tcW w:w="338" w:type="dxa"/>
          </w:tcPr>
          <w:p w14:paraId="04B14D19" w14:textId="77777777" w:rsidR="004428A9" w:rsidRDefault="004428A9" w:rsidP="00FB3192">
            <w:pPr>
              <w:jc w:val="center"/>
              <w:rPr>
                <w:rFonts w:ascii="Calibri" w:hAnsi="Calibri" w:cs="Calibri"/>
                <w:sz w:val="24"/>
                <w:szCs w:val="24"/>
              </w:rPr>
            </w:pPr>
          </w:p>
        </w:tc>
        <w:tc>
          <w:tcPr>
            <w:tcW w:w="655" w:type="dxa"/>
          </w:tcPr>
          <w:p w14:paraId="20E75DFF" w14:textId="396FDD41" w:rsidR="004428A9" w:rsidRDefault="004428A9" w:rsidP="00FB3192">
            <w:pPr>
              <w:jc w:val="both"/>
              <w:rPr>
                <w:rFonts w:ascii="Calibri" w:hAnsi="Calibri" w:cs="Calibri"/>
                <w:sz w:val="24"/>
                <w:szCs w:val="24"/>
              </w:rPr>
            </w:pPr>
            <w:r>
              <w:rPr>
                <w:rFonts w:ascii="Calibri" w:hAnsi="Calibri" w:cs="Calibri"/>
                <w:sz w:val="24"/>
                <w:szCs w:val="24"/>
              </w:rPr>
              <w:t>3.2</w:t>
            </w:r>
          </w:p>
        </w:tc>
        <w:tc>
          <w:tcPr>
            <w:tcW w:w="8789" w:type="dxa"/>
          </w:tcPr>
          <w:p w14:paraId="70E05E65" w14:textId="77777777" w:rsidR="004428A9" w:rsidRDefault="004428A9" w:rsidP="003C22F9">
            <w:pPr>
              <w:jc w:val="both"/>
              <w:rPr>
                <w:rFonts w:ascii="Calibri" w:hAnsi="Calibri" w:cs="Calibri"/>
                <w:sz w:val="24"/>
                <w:szCs w:val="24"/>
              </w:rPr>
            </w:pPr>
            <w:r>
              <w:rPr>
                <w:rFonts w:ascii="Calibri" w:hAnsi="Calibri" w:cs="Calibri"/>
                <w:sz w:val="24"/>
                <w:szCs w:val="24"/>
              </w:rPr>
              <w:t xml:space="preserve">Currently we are fighting the application for a BESS plant on the brown field site between Hilfield Lane and the </w:t>
            </w:r>
            <w:r w:rsidR="00E92DEA">
              <w:rPr>
                <w:rFonts w:ascii="Calibri" w:hAnsi="Calibri" w:cs="Calibri"/>
                <w:sz w:val="24"/>
                <w:szCs w:val="24"/>
              </w:rPr>
              <w:t xml:space="preserve">A41 &amp; </w:t>
            </w:r>
            <w:r>
              <w:rPr>
                <w:rFonts w:ascii="Calibri" w:hAnsi="Calibri" w:cs="Calibri"/>
                <w:sz w:val="24"/>
                <w:szCs w:val="24"/>
              </w:rPr>
              <w:t>MI</w:t>
            </w:r>
            <w:r w:rsidR="00E92DEA">
              <w:rPr>
                <w:rFonts w:ascii="Calibri" w:hAnsi="Calibri" w:cs="Calibri"/>
                <w:sz w:val="24"/>
                <w:szCs w:val="24"/>
              </w:rPr>
              <w:t>.</w:t>
            </w:r>
          </w:p>
          <w:p w14:paraId="670DD607" w14:textId="62EA30C1" w:rsidR="004D780D" w:rsidRDefault="004D780D" w:rsidP="003C22F9">
            <w:pPr>
              <w:jc w:val="both"/>
              <w:rPr>
                <w:rFonts w:ascii="Calibri" w:hAnsi="Calibri" w:cs="Calibri"/>
                <w:sz w:val="24"/>
                <w:szCs w:val="24"/>
              </w:rPr>
            </w:pPr>
          </w:p>
        </w:tc>
      </w:tr>
      <w:tr w:rsidR="004428A9" w14:paraId="5A062BD9" w14:textId="77777777" w:rsidTr="004428A9">
        <w:tc>
          <w:tcPr>
            <w:tcW w:w="338" w:type="dxa"/>
          </w:tcPr>
          <w:p w14:paraId="5B3BE11E" w14:textId="77777777" w:rsidR="004428A9" w:rsidRDefault="004428A9" w:rsidP="00FB3192">
            <w:pPr>
              <w:jc w:val="center"/>
              <w:rPr>
                <w:rFonts w:ascii="Calibri" w:hAnsi="Calibri" w:cs="Calibri"/>
                <w:sz w:val="24"/>
                <w:szCs w:val="24"/>
              </w:rPr>
            </w:pPr>
          </w:p>
        </w:tc>
        <w:tc>
          <w:tcPr>
            <w:tcW w:w="655" w:type="dxa"/>
          </w:tcPr>
          <w:p w14:paraId="23381A03" w14:textId="2CD18E3E" w:rsidR="004428A9" w:rsidRDefault="004428A9" w:rsidP="00FB3192">
            <w:pPr>
              <w:jc w:val="both"/>
              <w:rPr>
                <w:rFonts w:ascii="Calibri" w:hAnsi="Calibri" w:cs="Calibri"/>
                <w:sz w:val="24"/>
                <w:szCs w:val="24"/>
              </w:rPr>
            </w:pPr>
            <w:r>
              <w:rPr>
                <w:rFonts w:ascii="Calibri" w:hAnsi="Calibri" w:cs="Calibri"/>
                <w:sz w:val="24"/>
                <w:szCs w:val="24"/>
              </w:rPr>
              <w:t>3.3</w:t>
            </w:r>
          </w:p>
        </w:tc>
        <w:tc>
          <w:tcPr>
            <w:tcW w:w="8789" w:type="dxa"/>
          </w:tcPr>
          <w:p w14:paraId="070C4180" w14:textId="77777777" w:rsidR="004428A9" w:rsidRDefault="004428A9" w:rsidP="003C22F9">
            <w:pPr>
              <w:jc w:val="both"/>
              <w:rPr>
                <w:rFonts w:ascii="Calibri" w:hAnsi="Calibri" w:cs="Calibri"/>
                <w:sz w:val="24"/>
                <w:szCs w:val="24"/>
              </w:rPr>
            </w:pPr>
            <w:r>
              <w:rPr>
                <w:rFonts w:ascii="Calibri" w:hAnsi="Calibri" w:cs="Calibri"/>
                <w:sz w:val="24"/>
                <w:szCs w:val="24"/>
              </w:rPr>
              <w:t>Any reasonable matter of concern raised by residents or businesses in the community will also be addressed.</w:t>
            </w:r>
          </w:p>
          <w:p w14:paraId="3A4A9DF6" w14:textId="5FBC4CE5" w:rsidR="004D780D" w:rsidRDefault="004D780D" w:rsidP="003C22F9">
            <w:pPr>
              <w:jc w:val="both"/>
              <w:rPr>
                <w:rFonts w:ascii="Calibri" w:hAnsi="Calibri" w:cs="Calibri"/>
                <w:sz w:val="24"/>
                <w:szCs w:val="24"/>
              </w:rPr>
            </w:pPr>
          </w:p>
        </w:tc>
      </w:tr>
      <w:tr w:rsidR="004428A9" w14:paraId="06A61C74" w14:textId="77777777" w:rsidTr="004428A9">
        <w:tc>
          <w:tcPr>
            <w:tcW w:w="338" w:type="dxa"/>
          </w:tcPr>
          <w:p w14:paraId="031F6070" w14:textId="2D06961D" w:rsidR="004428A9" w:rsidRDefault="004428A9" w:rsidP="00FB3192">
            <w:pPr>
              <w:jc w:val="center"/>
              <w:rPr>
                <w:rFonts w:ascii="Calibri" w:hAnsi="Calibri" w:cs="Calibri"/>
                <w:sz w:val="24"/>
                <w:szCs w:val="24"/>
              </w:rPr>
            </w:pPr>
            <w:r>
              <w:rPr>
                <w:rFonts w:ascii="Calibri" w:hAnsi="Calibri" w:cs="Calibri"/>
                <w:sz w:val="24"/>
                <w:szCs w:val="24"/>
              </w:rPr>
              <w:t>4</w:t>
            </w:r>
          </w:p>
        </w:tc>
        <w:tc>
          <w:tcPr>
            <w:tcW w:w="655" w:type="dxa"/>
          </w:tcPr>
          <w:p w14:paraId="7689B780" w14:textId="77777777" w:rsidR="004428A9" w:rsidRDefault="004428A9" w:rsidP="00FB3192">
            <w:pPr>
              <w:jc w:val="both"/>
              <w:rPr>
                <w:rFonts w:ascii="Calibri" w:hAnsi="Calibri" w:cs="Calibri"/>
                <w:sz w:val="24"/>
                <w:szCs w:val="24"/>
              </w:rPr>
            </w:pPr>
          </w:p>
        </w:tc>
        <w:tc>
          <w:tcPr>
            <w:tcW w:w="8789" w:type="dxa"/>
          </w:tcPr>
          <w:p w14:paraId="65C35DCF" w14:textId="6B7AB7DB" w:rsidR="004428A9" w:rsidRPr="0029526B" w:rsidRDefault="004428A9" w:rsidP="00FB3192">
            <w:pPr>
              <w:jc w:val="both"/>
              <w:rPr>
                <w:rFonts w:ascii="Calibri" w:hAnsi="Calibri" w:cs="Calibri"/>
                <w:sz w:val="24"/>
                <w:szCs w:val="24"/>
              </w:rPr>
            </w:pPr>
            <w:r>
              <w:rPr>
                <w:rFonts w:ascii="Calibri" w:hAnsi="Calibri" w:cs="Calibri"/>
                <w:b/>
                <w:bCs/>
                <w:sz w:val="24"/>
                <w:szCs w:val="24"/>
              </w:rPr>
              <w:t>Compulsory Rotational Resignation</w:t>
            </w:r>
          </w:p>
        </w:tc>
      </w:tr>
      <w:tr w:rsidR="004428A9" w14:paraId="41DC3F81" w14:textId="77777777" w:rsidTr="004428A9">
        <w:tc>
          <w:tcPr>
            <w:tcW w:w="338" w:type="dxa"/>
          </w:tcPr>
          <w:p w14:paraId="1ADA2621" w14:textId="77777777" w:rsidR="004428A9" w:rsidRDefault="004428A9" w:rsidP="00FB3192">
            <w:pPr>
              <w:jc w:val="center"/>
              <w:rPr>
                <w:rFonts w:ascii="Calibri" w:hAnsi="Calibri" w:cs="Calibri"/>
                <w:sz w:val="24"/>
                <w:szCs w:val="24"/>
              </w:rPr>
            </w:pPr>
          </w:p>
        </w:tc>
        <w:tc>
          <w:tcPr>
            <w:tcW w:w="655" w:type="dxa"/>
          </w:tcPr>
          <w:p w14:paraId="3DF58333" w14:textId="70DE6E5D" w:rsidR="004428A9" w:rsidRDefault="004428A9" w:rsidP="00FB3192">
            <w:pPr>
              <w:jc w:val="both"/>
              <w:rPr>
                <w:rFonts w:ascii="Calibri" w:hAnsi="Calibri" w:cs="Calibri"/>
                <w:sz w:val="24"/>
                <w:szCs w:val="24"/>
              </w:rPr>
            </w:pPr>
            <w:r>
              <w:rPr>
                <w:rFonts w:ascii="Calibri" w:hAnsi="Calibri" w:cs="Calibri"/>
                <w:sz w:val="24"/>
                <w:szCs w:val="24"/>
              </w:rPr>
              <w:t>4.1</w:t>
            </w:r>
          </w:p>
        </w:tc>
        <w:tc>
          <w:tcPr>
            <w:tcW w:w="8789" w:type="dxa"/>
          </w:tcPr>
          <w:p w14:paraId="438FBC97" w14:textId="77777777" w:rsidR="004428A9" w:rsidRDefault="004428A9" w:rsidP="00FB3192">
            <w:pPr>
              <w:jc w:val="both"/>
              <w:rPr>
                <w:rFonts w:ascii="Calibri" w:hAnsi="Calibri" w:cs="Calibri"/>
                <w:sz w:val="24"/>
                <w:szCs w:val="24"/>
              </w:rPr>
            </w:pPr>
            <w:r>
              <w:rPr>
                <w:rFonts w:ascii="Calibri" w:hAnsi="Calibri" w:cs="Calibri"/>
                <w:sz w:val="24"/>
                <w:szCs w:val="24"/>
              </w:rPr>
              <w:t xml:space="preserve">Our Constitution stipulates </w:t>
            </w:r>
            <w:r w:rsidR="00BA246C">
              <w:rPr>
                <w:rFonts w:ascii="Calibri" w:hAnsi="Calibri" w:cs="Calibri"/>
                <w:sz w:val="24"/>
                <w:szCs w:val="24"/>
              </w:rPr>
              <w:t>those 2 committee members</w:t>
            </w:r>
            <w:r>
              <w:rPr>
                <w:rFonts w:ascii="Calibri" w:hAnsi="Calibri" w:cs="Calibri"/>
                <w:sz w:val="24"/>
                <w:szCs w:val="24"/>
              </w:rPr>
              <w:t>, by rotation, offer up their resignation each year.</w:t>
            </w:r>
          </w:p>
          <w:p w14:paraId="0EB712BF" w14:textId="7142637E" w:rsidR="004D780D" w:rsidRPr="008935B4" w:rsidRDefault="004D780D" w:rsidP="00FB3192">
            <w:pPr>
              <w:jc w:val="both"/>
              <w:rPr>
                <w:rFonts w:ascii="Calibri" w:hAnsi="Calibri" w:cs="Calibri"/>
                <w:sz w:val="24"/>
                <w:szCs w:val="24"/>
              </w:rPr>
            </w:pPr>
          </w:p>
        </w:tc>
      </w:tr>
      <w:tr w:rsidR="004428A9" w14:paraId="08C2F651" w14:textId="77777777" w:rsidTr="004428A9">
        <w:tc>
          <w:tcPr>
            <w:tcW w:w="338" w:type="dxa"/>
          </w:tcPr>
          <w:p w14:paraId="6B202F37" w14:textId="77777777" w:rsidR="004428A9" w:rsidRDefault="004428A9" w:rsidP="00FB3192">
            <w:pPr>
              <w:jc w:val="center"/>
              <w:rPr>
                <w:rFonts w:ascii="Calibri" w:hAnsi="Calibri" w:cs="Calibri"/>
                <w:sz w:val="24"/>
                <w:szCs w:val="24"/>
              </w:rPr>
            </w:pPr>
          </w:p>
        </w:tc>
        <w:tc>
          <w:tcPr>
            <w:tcW w:w="655" w:type="dxa"/>
          </w:tcPr>
          <w:p w14:paraId="4CC0310A" w14:textId="5D02A962" w:rsidR="004428A9" w:rsidRDefault="004428A9" w:rsidP="00FB3192">
            <w:pPr>
              <w:jc w:val="both"/>
              <w:rPr>
                <w:rFonts w:ascii="Calibri" w:hAnsi="Calibri" w:cs="Calibri"/>
                <w:sz w:val="24"/>
                <w:szCs w:val="24"/>
              </w:rPr>
            </w:pPr>
            <w:r>
              <w:rPr>
                <w:rFonts w:ascii="Calibri" w:hAnsi="Calibri" w:cs="Calibri"/>
                <w:sz w:val="24"/>
                <w:szCs w:val="24"/>
              </w:rPr>
              <w:t>4.2</w:t>
            </w:r>
          </w:p>
        </w:tc>
        <w:tc>
          <w:tcPr>
            <w:tcW w:w="8789" w:type="dxa"/>
          </w:tcPr>
          <w:p w14:paraId="349A479F" w14:textId="13B4B483" w:rsidR="004428A9" w:rsidRDefault="004428A9" w:rsidP="00FB3192">
            <w:pPr>
              <w:jc w:val="both"/>
              <w:rPr>
                <w:rFonts w:ascii="Calibri" w:hAnsi="Calibri" w:cs="Calibri"/>
                <w:sz w:val="24"/>
                <w:szCs w:val="24"/>
              </w:rPr>
            </w:pPr>
            <w:r>
              <w:rPr>
                <w:rFonts w:ascii="Calibri" w:hAnsi="Calibri" w:cs="Calibri"/>
                <w:sz w:val="24"/>
                <w:szCs w:val="24"/>
              </w:rPr>
              <w:t xml:space="preserve">Accordingly, Malcolm Sevren and Jonathan Morris have offered up their </w:t>
            </w:r>
            <w:r w:rsidR="004D780D">
              <w:rPr>
                <w:rFonts w:ascii="Calibri" w:hAnsi="Calibri" w:cs="Calibri"/>
                <w:sz w:val="24"/>
                <w:szCs w:val="24"/>
              </w:rPr>
              <w:t>resignation but</w:t>
            </w:r>
            <w:r>
              <w:rPr>
                <w:rFonts w:ascii="Calibri" w:hAnsi="Calibri" w:cs="Calibri"/>
                <w:sz w:val="24"/>
                <w:szCs w:val="24"/>
              </w:rPr>
              <w:t xml:space="preserve"> have signified their willingness to stand again for election.</w:t>
            </w:r>
          </w:p>
          <w:p w14:paraId="04262161" w14:textId="5B2A37BF" w:rsidR="004D780D" w:rsidRDefault="004D780D" w:rsidP="00FB3192">
            <w:pPr>
              <w:jc w:val="both"/>
              <w:rPr>
                <w:rFonts w:ascii="Calibri" w:hAnsi="Calibri" w:cs="Calibri"/>
                <w:sz w:val="24"/>
                <w:szCs w:val="24"/>
              </w:rPr>
            </w:pPr>
          </w:p>
        </w:tc>
      </w:tr>
      <w:tr w:rsidR="004428A9" w14:paraId="5BC832EE" w14:textId="77777777" w:rsidTr="004428A9">
        <w:tc>
          <w:tcPr>
            <w:tcW w:w="338" w:type="dxa"/>
          </w:tcPr>
          <w:p w14:paraId="3F33A523" w14:textId="203CE6F7" w:rsidR="004428A9" w:rsidRDefault="004428A9" w:rsidP="00FB3192">
            <w:pPr>
              <w:jc w:val="center"/>
              <w:rPr>
                <w:rFonts w:ascii="Calibri" w:hAnsi="Calibri" w:cs="Calibri"/>
                <w:sz w:val="24"/>
                <w:szCs w:val="24"/>
              </w:rPr>
            </w:pPr>
            <w:r>
              <w:rPr>
                <w:rFonts w:ascii="Calibri" w:hAnsi="Calibri" w:cs="Calibri"/>
                <w:sz w:val="24"/>
                <w:szCs w:val="24"/>
              </w:rPr>
              <w:t>5</w:t>
            </w:r>
          </w:p>
        </w:tc>
        <w:tc>
          <w:tcPr>
            <w:tcW w:w="655" w:type="dxa"/>
          </w:tcPr>
          <w:p w14:paraId="3B530668" w14:textId="77777777" w:rsidR="004428A9" w:rsidRDefault="004428A9" w:rsidP="00FB3192">
            <w:pPr>
              <w:jc w:val="both"/>
              <w:rPr>
                <w:rFonts w:ascii="Calibri" w:hAnsi="Calibri" w:cs="Calibri"/>
                <w:sz w:val="24"/>
                <w:szCs w:val="24"/>
              </w:rPr>
            </w:pPr>
          </w:p>
        </w:tc>
        <w:tc>
          <w:tcPr>
            <w:tcW w:w="8789" w:type="dxa"/>
          </w:tcPr>
          <w:p w14:paraId="7B29A3B0" w14:textId="5A935B8D" w:rsidR="004428A9" w:rsidRPr="00211D33" w:rsidRDefault="004428A9" w:rsidP="00FB3192">
            <w:pPr>
              <w:jc w:val="both"/>
              <w:rPr>
                <w:rFonts w:ascii="Calibri" w:hAnsi="Calibri" w:cs="Calibri"/>
                <w:b/>
                <w:bCs/>
                <w:sz w:val="24"/>
                <w:szCs w:val="24"/>
              </w:rPr>
            </w:pPr>
            <w:r>
              <w:rPr>
                <w:rFonts w:ascii="Calibri" w:hAnsi="Calibri" w:cs="Calibri"/>
                <w:b/>
                <w:bCs/>
                <w:sz w:val="24"/>
                <w:szCs w:val="24"/>
              </w:rPr>
              <w:t>Committee Election</w:t>
            </w:r>
          </w:p>
        </w:tc>
      </w:tr>
      <w:tr w:rsidR="004428A9" w14:paraId="0749CFAD" w14:textId="77777777" w:rsidTr="004428A9">
        <w:tc>
          <w:tcPr>
            <w:tcW w:w="338" w:type="dxa"/>
          </w:tcPr>
          <w:p w14:paraId="5319DE0B" w14:textId="77777777" w:rsidR="004428A9" w:rsidRDefault="004428A9" w:rsidP="00FB3192">
            <w:pPr>
              <w:jc w:val="center"/>
              <w:rPr>
                <w:rFonts w:ascii="Calibri" w:hAnsi="Calibri" w:cs="Calibri"/>
                <w:sz w:val="24"/>
                <w:szCs w:val="24"/>
              </w:rPr>
            </w:pPr>
          </w:p>
        </w:tc>
        <w:tc>
          <w:tcPr>
            <w:tcW w:w="655" w:type="dxa"/>
          </w:tcPr>
          <w:p w14:paraId="22682863" w14:textId="31A9D5FE" w:rsidR="004428A9" w:rsidRDefault="004428A9" w:rsidP="00FB3192">
            <w:pPr>
              <w:jc w:val="both"/>
              <w:rPr>
                <w:rFonts w:ascii="Calibri" w:hAnsi="Calibri" w:cs="Calibri"/>
                <w:sz w:val="24"/>
                <w:szCs w:val="24"/>
              </w:rPr>
            </w:pPr>
            <w:r>
              <w:rPr>
                <w:rFonts w:ascii="Calibri" w:hAnsi="Calibri" w:cs="Calibri"/>
                <w:sz w:val="24"/>
                <w:szCs w:val="24"/>
              </w:rPr>
              <w:t>5.1</w:t>
            </w:r>
          </w:p>
        </w:tc>
        <w:tc>
          <w:tcPr>
            <w:tcW w:w="8789" w:type="dxa"/>
          </w:tcPr>
          <w:p w14:paraId="041CBDB3" w14:textId="3EF72C86" w:rsidR="004428A9" w:rsidRDefault="004428A9" w:rsidP="004917BF">
            <w:pPr>
              <w:jc w:val="both"/>
              <w:rPr>
                <w:rFonts w:ascii="Calibri" w:hAnsi="Calibri" w:cs="Calibri"/>
                <w:sz w:val="24"/>
                <w:szCs w:val="24"/>
              </w:rPr>
            </w:pPr>
            <w:r>
              <w:rPr>
                <w:rFonts w:ascii="Calibri" w:hAnsi="Calibri" w:cs="Calibri"/>
                <w:sz w:val="24"/>
                <w:szCs w:val="24"/>
              </w:rPr>
              <w:t xml:space="preserve">The re-election of Malcolm Sevren was proposed by </w:t>
            </w:r>
            <w:r w:rsidR="00E92DEA">
              <w:rPr>
                <w:rFonts w:ascii="Calibri" w:hAnsi="Calibri" w:cs="Calibri"/>
                <w:sz w:val="24"/>
                <w:szCs w:val="24"/>
              </w:rPr>
              <w:t xml:space="preserve">David Baldwin </w:t>
            </w:r>
            <w:r>
              <w:rPr>
                <w:rFonts w:ascii="Calibri" w:hAnsi="Calibri" w:cs="Calibri"/>
                <w:sz w:val="24"/>
                <w:szCs w:val="24"/>
              </w:rPr>
              <w:t xml:space="preserve">and seconded by </w:t>
            </w:r>
            <w:r w:rsidR="00E92DEA">
              <w:rPr>
                <w:rFonts w:ascii="Calibri" w:hAnsi="Calibri" w:cs="Calibri"/>
                <w:sz w:val="24"/>
                <w:szCs w:val="24"/>
              </w:rPr>
              <w:t>Cllr Carl Woolf</w:t>
            </w:r>
            <w:r>
              <w:rPr>
                <w:rFonts w:ascii="Calibri" w:hAnsi="Calibri" w:cs="Calibri"/>
                <w:sz w:val="24"/>
                <w:szCs w:val="24"/>
              </w:rPr>
              <w:t xml:space="preserve">. By a show of hands, </w:t>
            </w:r>
            <w:r w:rsidR="00E92DEA">
              <w:rPr>
                <w:rFonts w:ascii="Calibri" w:hAnsi="Calibri" w:cs="Calibri"/>
                <w:sz w:val="24"/>
                <w:szCs w:val="24"/>
              </w:rPr>
              <w:t xml:space="preserve">Malcolm </w:t>
            </w:r>
            <w:r w:rsidR="00BA246C">
              <w:rPr>
                <w:rFonts w:ascii="Calibri" w:hAnsi="Calibri" w:cs="Calibri"/>
                <w:sz w:val="24"/>
                <w:szCs w:val="24"/>
              </w:rPr>
              <w:t xml:space="preserve">was </w:t>
            </w:r>
            <w:r w:rsidR="004D780D">
              <w:rPr>
                <w:rFonts w:ascii="Calibri" w:hAnsi="Calibri" w:cs="Calibri"/>
                <w:sz w:val="24"/>
                <w:szCs w:val="24"/>
              </w:rPr>
              <w:t>unanimously</w:t>
            </w:r>
            <w:r w:rsidR="00BA246C">
              <w:rPr>
                <w:rFonts w:ascii="Calibri" w:hAnsi="Calibri" w:cs="Calibri"/>
                <w:sz w:val="24"/>
                <w:szCs w:val="24"/>
              </w:rPr>
              <w:t xml:space="preserve"> re-elected</w:t>
            </w:r>
            <w:r w:rsidR="004D780D">
              <w:rPr>
                <w:rFonts w:ascii="Calibri" w:hAnsi="Calibri" w:cs="Calibri"/>
                <w:sz w:val="24"/>
                <w:szCs w:val="24"/>
              </w:rPr>
              <w:t xml:space="preserve"> to the committee.</w:t>
            </w:r>
          </w:p>
          <w:p w14:paraId="10E21005" w14:textId="2B63E95B" w:rsidR="004D780D" w:rsidRPr="00821C33" w:rsidRDefault="004D780D" w:rsidP="004917BF">
            <w:pPr>
              <w:jc w:val="both"/>
              <w:rPr>
                <w:rFonts w:ascii="Calibri" w:hAnsi="Calibri" w:cs="Calibri"/>
                <w:sz w:val="24"/>
                <w:szCs w:val="24"/>
              </w:rPr>
            </w:pPr>
          </w:p>
        </w:tc>
      </w:tr>
      <w:tr w:rsidR="004428A9" w14:paraId="4E2DFA2A" w14:textId="77777777" w:rsidTr="004428A9">
        <w:tc>
          <w:tcPr>
            <w:tcW w:w="338" w:type="dxa"/>
          </w:tcPr>
          <w:p w14:paraId="67A5B65A" w14:textId="77777777" w:rsidR="004428A9" w:rsidRDefault="004428A9" w:rsidP="00FB3192">
            <w:pPr>
              <w:jc w:val="center"/>
              <w:rPr>
                <w:rFonts w:ascii="Calibri" w:hAnsi="Calibri" w:cs="Calibri"/>
                <w:sz w:val="24"/>
                <w:szCs w:val="24"/>
              </w:rPr>
            </w:pPr>
          </w:p>
        </w:tc>
        <w:tc>
          <w:tcPr>
            <w:tcW w:w="655" w:type="dxa"/>
          </w:tcPr>
          <w:p w14:paraId="5B51920E" w14:textId="6A93767A" w:rsidR="004428A9" w:rsidRDefault="004428A9" w:rsidP="00FB3192">
            <w:pPr>
              <w:jc w:val="both"/>
              <w:rPr>
                <w:rFonts w:ascii="Calibri" w:hAnsi="Calibri" w:cs="Calibri"/>
                <w:sz w:val="24"/>
                <w:szCs w:val="24"/>
              </w:rPr>
            </w:pPr>
            <w:r>
              <w:rPr>
                <w:rFonts w:ascii="Calibri" w:hAnsi="Calibri" w:cs="Calibri"/>
                <w:sz w:val="24"/>
                <w:szCs w:val="24"/>
              </w:rPr>
              <w:t>5.2</w:t>
            </w:r>
          </w:p>
        </w:tc>
        <w:tc>
          <w:tcPr>
            <w:tcW w:w="8789" w:type="dxa"/>
          </w:tcPr>
          <w:p w14:paraId="3CCC41BD" w14:textId="6B75301D" w:rsidR="004428A9" w:rsidRDefault="004428A9" w:rsidP="004917BF">
            <w:pPr>
              <w:jc w:val="both"/>
              <w:rPr>
                <w:rFonts w:ascii="Calibri" w:hAnsi="Calibri" w:cs="Calibri"/>
                <w:sz w:val="24"/>
                <w:szCs w:val="24"/>
              </w:rPr>
            </w:pPr>
            <w:r>
              <w:rPr>
                <w:rFonts w:ascii="Calibri" w:hAnsi="Calibri" w:cs="Calibri"/>
                <w:sz w:val="24"/>
                <w:szCs w:val="24"/>
              </w:rPr>
              <w:t xml:space="preserve">The re-election of Jonathan Morris was proposed </w:t>
            </w:r>
            <w:r w:rsidR="00E92DEA">
              <w:rPr>
                <w:rFonts w:ascii="Calibri" w:hAnsi="Calibri" w:cs="Calibri"/>
                <w:sz w:val="24"/>
                <w:szCs w:val="24"/>
              </w:rPr>
              <w:t>Cllr Carl Woolf</w:t>
            </w:r>
            <w:r>
              <w:rPr>
                <w:rFonts w:ascii="Calibri" w:hAnsi="Calibri" w:cs="Calibri"/>
                <w:sz w:val="24"/>
                <w:szCs w:val="24"/>
              </w:rPr>
              <w:t xml:space="preserve"> seconded by</w:t>
            </w:r>
            <w:r w:rsidR="00E92DEA">
              <w:rPr>
                <w:rFonts w:ascii="Calibri" w:hAnsi="Calibri" w:cs="Calibri"/>
                <w:sz w:val="24"/>
                <w:szCs w:val="24"/>
              </w:rPr>
              <w:t xml:space="preserve"> David Baldwin</w:t>
            </w:r>
            <w:r>
              <w:rPr>
                <w:rFonts w:ascii="Calibri" w:hAnsi="Calibri" w:cs="Calibri"/>
                <w:sz w:val="24"/>
                <w:szCs w:val="24"/>
              </w:rPr>
              <w:t xml:space="preserve">. By a show of hands, </w:t>
            </w:r>
            <w:r w:rsidR="00BA246C">
              <w:rPr>
                <w:rFonts w:ascii="Calibri" w:hAnsi="Calibri" w:cs="Calibri"/>
                <w:sz w:val="24"/>
                <w:szCs w:val="24"/>
              </w:rPr>
              <w:t xml:space="preserve">Jonathan was </w:t>
            </w:r>
            <w:r w:rsidR="004D780D">
              <w:rPr>
                <w:rFonts w:ascii="Calibri" w:hAnsi="Calibri" w:cs="Calibri"/>
                <w:sz w:val="24"/>
                <w:szCs w:val="24"/>
              </w:rPr>
              <w:t>re-elected to the committee.</w:t>
            </w:r>
          </w:p>
          <w:p w14:paraId="635D0A7C" w14:textId="30552759" w:rsidR="004D780D" w:rsidRDefault="004D780D" w:rsidP="004917BF">
            <w:pPr>
              <w:jc w:val="both"/>
              <w:rPr>
                <w:rFonts w:ascii="Calibri" w:hAnsi="Calibri" w:cs="Calibri"/>
                <w:sz w:val="24"/>
                <w:szCs w:val="24"/>
              </w:rPr>
            </w:pPr>
          </w:p>
        </w:tc>
      </w:tr>
      <w:tr w:rsidR="004428A9" w14:paraId="31D2C493" w14:textId="77777777" w:rsidTr="004428A9">
        <w:tc>
          <w:tcPr>
            <w:tcW w:w="338" w:type="dxa"/>
          </w:tcPr>
          <w:p w14:paraId="41B0234A" w14:textId="77777777" w:rsidR="004428A9" w:rsidRDefault="004428A9" w:rsidP="00FB3192">
            <w:pPr>
              <w:jc w:val="center"/>
              <w:rPr>
                <w:rFonts w:ascii="Calibri" w:hAnsi="Calibri" w:cs="Calibri"/>
                <w:sz w:val="24"/>
                <w:szCs w:val="24"/>
              </w:rPr>
            </w:pPr>
          </w:p>
        </w:tc>
        <w:tc>
          <w:tcPr>
            <w:tcW w:w="655" w:type="dxa"/>
          </w:tcPr>
          <w:p w14:paraId="1D46B177" w14:textId="7FA64D63" w:rsidR="004428A9" w:rsidRDefault="004428A9" w:rsidP="00FB3192">
            <w:pPr>
              <w:jc w:val="both"/>
              <w:rPr>
                <w:rFonts w:ascii="Calibri" w:hAnsi="Calibri" w:cs="Calibri"/>
                <w:sz w:val="24"/>
                <w:szCs w:val="24"/>
              </w:rPr>
            </w:pPr>
            <w:r>
              <w:rPr>
                <w:rFonts w:ascii="Calibri" w:hAnsi="Calibri" w:cs="Calibri"/>
                <w:sz w:val="24"/>
                <w:szCs w:val="24"/>
              </w:rPr>
              <w:t>5.3</w:t>
            </w:r>
          </w:p>
        </w:tc>
        <w:tc>
          <w:tcPr>
            <w:tcW w:w="8789" w:type="dxa"/>
          </w:tcPr>
          <w:p w14:paraId="043F6302" w14:textId="0EC605BE" w:rsidR="004D780D" w:rsidRDefault="004428A9" w:rsidP="004917BF">
            <w:pPr>
              <w:jc w:val="both"/>
              <w:rPr>
                <w:rFonts w:ascii="Calibri" w:hAnsi="Calibri" w:cs="Calibri"/>
                <w:sz w:val="24"/>
                <w:szCs w:val="24"/>
              </w:rPr>
            </w:pPr>
            <w:r>
              <w:rPr>
                <w:rFonts w:ascii="Calibri" w:hAnsi="Calibri" w:cs="Calibri"/>
                <w:sz w:val="24"/>
                <w:szCs w:val="24"/>
              </w:rPr>
              <w:t xml:space="preserve">The committee voted </w:t>
            </w:r>
            <w:proofErr w:type="gramStart"/>
            <w:r>
              <w:rPr>
                <w:rFonts w:ascii="Calibri" w:hAnsi="Calibri" w:cs="Calibri"/>
                <w:sz w:val="24"/>
                <w:szCs w:val="24"/>
              </w:rPr>
              <w:t>for:-</w:t>
            </w:r>
            <w:proofErr w:type="gramEnd"/>
          </w:p>
          <w:p w14:paraId="04E40DA2" w14:textId="4584DFBF" w:rsidR="004428A9" w:rsidRPr="00BA246C" w:rsidRDefault="00BA246C" w:rsidP="00BA246C">
            <w:pPr>
              <w:pStyle w:val="ListParagraph"/>
              <w:numPr>
                <w:ilvl w:val="0"/>
                <w:numId w:val="5"/>
              </w:numPr>
              <w:jc w:val="both"/>
              <w:rPr>
                <w:rFonts w:ascii="Calibri" w:hAnsi="Calibri" w:cs="Calibri"/>
                <w:sz w:val="24"/>
                <w:szCs w:val="24"/>
              </w:rPr>
            </w:pPr>
            <w:r w:rsidRPr="00BA246C">
              <w:rPr>
                <w:rFonts w:ascii="Calibri" w:hAnsi="Calibri" w:cs="Calibri"/>
                <w:sz w:val="24"/>
                <w:szCs w:val="24"/>
              </w:rPr>
              <w:t xml:space="preserve">Malcolm Sevren to continue </w:t>
            </w:r>
            <w:proofErr w:type="gramStart"/>
            <w:r w:rsidRPr="00BA246C">
              <w:rPr>
                <w:rFonts w:ascii="Calibri" w:hAnsi="Calibri" w:cs="Calibri"/>
                <w:sz w:val="24"/>
                <w:szCs w:val="24"/>
              </w:rPr>
              <w:t xml:space="preserve">as </w:t>
            </w:r>
            <w:r w:rsidR="004428A9" w:rsidRPr="00BA246C">
              <w:rPr>
                <w:rFonts w:ascii="Calibri" w:hAnsi="Calibri" w:cs="Calibri"/>
                <w:sz w:val="24"/>
                <w:szCs w:val="24"/>
              </w:rPr>
              <w:t xml:space="preserve"> the</w:t>
            </w:r>
            <w:proofErr w:type="gramEnd"/>
            <w:r w:rsidR="004428A9" w:rsidRPr="00BA246C">
              <w:rPr>
                <w:rFonts w:ascii="Calibri" w:hAnsi="Calibri" w:cs="Calibri"/>
                <w:sz w:val="24"/>
                <w:szCs w:val="24"/>
              </w:rPr>
              <w:t xml:space="preserve"> Chairman for 2025</w:t>
            </w:r>
          </w:p>
          <w:p w14:paraId="1BED477E" w14:textId="77777777" w:rsidR="004428A9" w:rsidRDefault="00BA246C" w:rsidP="00BA246C">
            <w:pPr>
              <w:pStyle w:val="ListParagraph"/>
              <w:numPr>
                <w:ilvl w:val="0"/>
                <w:numId w:val="5"/>
              </w:numPr>
              <w:jc w:val="both"/>
              <w:rPr>
                <w:rFonts w:ascii="Calibri" w:hAnsi="Calibri" w:cs="Calibri"/>
                <w:sz w:val="24"/>
                <w:szCs w:val="24"/>
              </w:rPr>
            </w:pPr>
            <w:r>
              <w:rPr>
                <w:rFonts w:ascii="Calibri" w:hAnsi="Calibri" w:cs="Calibri"/>
                <w:sz w:val="24"/>
                <w:szCs w:val="24"/>
              </w:rPr>
              <w:t>David Baldwin t</w:t>
            </w:r>
            <w:r w:rsidR="004428A9" w:rsidRPr="00BA246C">
              <w:rPr>
                <w:rFonts w:ascii="Calibri" w:hAnsi="Calibri" w:cs="Calibri"/>
                <w:sz w:val="24"/>
                <w:szCs w:val="24"/>
              </w:rPr>
              <w:t xml:space="preserve">o </w:t>
            </w:r>
            <w:r>
              <w:rPr>
                <w:rFonts w:ascii="Calibri" w:hAnsi="Calibri" w:cs="Calibri"/>
                <w:sz w:val="24"/>
                <w:szCs w:val="24"/>
              </w:rPr>
              <w:t>continue as S</w:t>
            </w:r>
            <w:r w:rsidR="004428A9" w:rsidRPr="00BA246C">
              <w:rPr>
                <w:rFonts w:ascii="Calibri" w:hAnsi="Calibri" w:cs="Calibri"/>
                <w:sz w:val="24"/>
                <w:szCs w:val="24"/>
              </w:rPr>
              <w:t>ecretary for 2025</w:t>
            </w:r>
          </w:p>
          <w:p w14:paraId="3C12E511" w14:textId="50971F8B" w:rsidR="004D780D" w:rsidRPr="00BA246C" w:rsidRDefault="004D780D" w:rsidP="004D780D">
            <w:pPr>
              <w:pStyle w:val="ListParagraph"/>
              <w:jc w:val="both"/>
              <w:rPr>
                <w:rFonts w:ascii="Calibri" w:hAnsi="Calibri" w:cs="Calibri"/>
                <w:sz w:val="24"/>
                <w:szCs w:val="24"/>
              </w:rPr>
            </w:pPr>
          </w:p>
        </w:tc>
      </w:tr>
      <w:tr w:rsidR="004428A9" w14:paraId="73959959" w14:textId="77777777" w:rsidTr="004428A9">
        <w:tc>
          <w:tcPr>
            <w:tcW w:w="338" w:type="dxa"/>
          </w:tcPr>
          <w:p w14:paraId="44F5E463" w14:textId="4CFC3DAB" w:rsidR="004428A9" w:rsidRDefault="004428A9" w:rsidP="00FB3192">
            <w:pPr>
              <w:jc w:val="center"/>
              <w:rPr>
                <w:rFonts w:ascii="Calibri" w:hAnsi="Calibri" w:cs="Calibri"/>
                <w:sz w:val="24"/>
                <w:szCs w:val="24"/>
              </w:rPr>
            </w:pPr>
            <w:r>
              <w:rPr>
                <w:rFonts w:ascii="Calibri" w:hAnsi="Calibri" w:cs="Calibri"/>
                <w:sz w:val="24"/>
                <w:szCs w:val="24"/>
              </w:rPr>
              <w:t>6</w:t>
            </w:r>
          </w:p>
        </w:tc>
        <w:tc>
          <w:tcPr>
            <w:tcW w:w="655" w:type="dxa"/>
          </w:tcPr>
          <w:p w14:paraId="284781DC" w14:textId="2A424FCD" w:rsidR="004428A9" w:rsidRDefault="004428A9" w:rsidP="00FB3192">
            <w:pPr>
              <w:jc w:val="both"/>
              <w:rPr>
                <w:rFonts w:ascii="Calibri" w:hAnsi="Calibri" w:cs="Calibri"/>
                <w:sz w:val="24"/>
                <w:szCs w:val="24"/>
              </w:rPr>
            </w:pPr>
          </w:p>
        </w:tc>
        <w:tc>
          <w:tcPr>
            <w:tcW w:w="8789" w:type="dxa"/>
          </w:tcPr>
          <w:p w14:paraId="5A4D8ADE" w14:textId="07C24627" w:rsidR="004428A9" w:rsidRPr="00821C33" w:rsidRDefault="004428A9" w:rsidP="00FB3192">
            <w:pPr>
              <w:jc w:val="both"/>
              <w:rPr>
                <w:rFonts w:ascii="Calibri" w:hAnsi="Calibri" w:cs="Calibri"/>
                <w:b/>
                <w:bCs/>
                <w:sz w:val="24"/>
                <w:szCs w:val="24"/>
              </w:rPr>
            </w:pPr>
            <w:r>
              <w:rPr>
                <w:rFonts w:ascii="Calibri" w:hAnsi="Calibri" w:cs="Calibri"/>
                <w:b/>
                <w:bCs/>
                <w:sz w:val="24"/>
                <w:szCs w:val="24"/>
              </w:rPr>
              <w:t>Resident Questions</w:t>
            </w:r>
          </w:p>
        </w:tc>
      </w:tr>
      <w:tr w:rsidR="004428A9" w14:paraId="1B225E73" w14:textId="77777777" w:rsidTr="004428A9">
        <w:tc>
          <w:tcPr>
            <w:tcW w:w="338" w:type="dxa"/>
          </w:tcPr>
          <w:p w14:paraId="6B154DC3" w14:textId="77777777" w:rsidR="004428A9" w:rsidRDefault="004428A9" w:rsidP="00FB3192">
            <w:pPr>
              <w:jc w:val="center"/>
              <w:rPr>
                <w:rFonts w:ascii="Calibri" w:hAnsi="Calibri" w:cs="Calibri"/>
                <w:sz w:val="24"/>
                <w:szCs w:val="24"/>
              </w:rPr>
            </w:pPr>
          </w:p>
        </w:tc>
        <w:tc>
          <w:tcPr>
            <w:tcW w:w="655" w:type="dxa"/>
          </w:tcPr>
          <w:p w14:paraId="2B551F16" w14:textId="3C05534A" w:rsidR="004428A9" w:rsidRDefault="004428A9" w:rsidP="00FB3192">
            <w:pPr>
              <w:jc w:val="both"/>
              <w:rPr>
                <w:rFonts w:ascii="Calibri" w:hAnsi="Calibri" w:cs="Calibri"/>
                <w:sz w:val="24"/>
                <w:szCs w:val="24"/>
              </w:rPr>
            </w:pPr>
            <w:r>
              <w:rPr>
                <w:rFonts w:ascii="Calibri" w:hAnsi="Calibri" w:cs="Calibri"/>
                <w:sz w:val="24"/>
                <w:szCs w:val="24"/>
              </w:rPr>
              <w:t>6.1</w:t>
            </w:r>
          </w:p>
        </w:tc>
        <w:tc>
          <w:tcPr>
            <w:tcW w:w="8789" w:type="dxa"/>
          </w:tcPr>
          <w:p w14:paraId="3E963920" w14:textId="116DC4EB" w:rsidR="004428A9" w:rsidRDefault="004428A9" w:rsidP="00FB3192">
            <w:pPr>
              <w:jc w:val="both"/>
              <w:rPr>
                <w:rFonts w:ascii="Calibri" w:hAnsi="Calibri" w:cs="Calibri"/>
                <w:sz w:val="24"/>
                <w:szCs w:val="24"/>
              </w:rPr>
            </w:pPr>
            <w:r w:rsidRPr="00483B1E">
              <w:rPr>
                <w:rFonts w:ascii="Calibri" w:hAnsi="Calibri" w:cs="Calibri"/>
                <w:sz w:val="24"/>
                <w:szCs w:val="24"/>
              </w:rPr>
              <w:t xml:space="preserve">Jonathan Morris </w:t>
            </w:r>
            <w:r w:rsidR="004D780D">
              <w:rPr>
                <w:rFonts w:ascii="Calibri" w:hAnsi="Calibri" w:cs="Calibri"/>
                <w:sz w:val="24"/>
                <w:szCs w:val="24"/>
              </w:rPr>
              <w:t xml:space="preserve">(in person) </w:t>
            </w:r>
            <w:r w:rsidRPr="00483B1E">
              <w:rPr>
                <w:rFonts w:ascii="Calibri" w:hAnsi="Calibri" w:cs="Calibri"/>
                <w:sz w:val="24"/>
                <w:szCs w:val="24"/>
              </w:rPr>
              <w:t xml:space="preserve">had 2 </w:t>
            </w:r>
            <w:proofErr w:type="gramStart"/>
            <w:r w:rsidRPr="00483B1E">
              <w:rPr>
                <w:rFonts w:ascii="Calibri" w:hAnsi="Calibri" w:cs="Calibri"/>
                <w:sz w:val="24"/>
                <w:szCs w:val="24"/>
              </w:rPr>
              <w:t>concerns:-</w:t>
            </w:r>
            <w:proofErr w:type="gramEnd"/>
          </w:p>
          <w:p w14:paraId="14AF9AA0" w14:textId="77777777" w:rsidR="004D780D" w:rsidRPr="00483B1E" w:rsidRDefault="004D780D" w:rsidP="00FB3192">
            <w:pPr>
              <w:jc w:val="both"/>
              <w:rPr>
                <w:rFonts w:ascii="Calibri" w:hAnsi="Calibri" w:cs="Calibri"/>
                <w:sz w:val="24"/>
                <w:szCs w:val="24"/>
              </w:rPr>
            </w:pPr>
          </w:p>
          <w:p w14:paraId="23D0BE54" w14:textId="77777777" w:rsidR="004428A9" w:rsidRPr="00593CFA" w:rsidRDefault="004428A9" w:rsidP="00483B1E">
            <w:pPr>
              <w:numPr>
                <w:ilvl w:val="2"/>
                <w:numId w:val="2"/>
              </w:numPr>
              <w:tabs>
                <w:tab w:val="left" w:pos="7938"/>
              </w:tabs>
              <w:ind w:left="1313" w:hanging="567"/>
              <w:jc w:val="both"/>
              <w:rPr>
                <w:rFonts w:ascii="Calibri" w:hAnsi="Calibri"/>
                <w:sz w:val="24"/>
                <w:szCs w:val="24"/>
              </w:rPr>
            </w:pPr>
            <w:r w:rsidRPr="00593CFA">
              <w:rPr>
                <w:rFonts w:ascii="Calibri" w:hAnsi="Calibri"/>
                <w:sz w:val="24"/>
                <w:szCs w:val="24"/>
              </w:rPr>
              <w:t>Did the brewery receive planning permission for the erection of ugly floodlights so out of keeping of the area?</w:t>
            </w:r>
          </w:p>
          <w:p w14:paraId="1A224FC5" w14:textId="4C3A264F" w:rsidR="004428A9" w:rsidRDefault="004428A9" w:rsidP="00483B1E">
            <w:pPr>
              <w:numPr>
                <w:ilvl w:val="2"/>
                <w:numId w:val="2"/>
              </w:numPr>
              <w:tabs>
                <w:tab w:val="left" w:pos="7938"/>
              </w:tabs>
              <w:ind w:left="1313" w:hanging="567"/>
              <w:jc w:val="both"/>
              <w:rPr>
                <w:rFonts w:ascii="Calibri" w:hAnsi="Calibri"/>
                <w:sz w:val="24"/>
                <w:szCs w:val="24"/>
              </w:rPr>
            </w:pPr>
            <w:r w:rsidRPr="00593CFA">
              <w:rPr>
                <w:rFonts w:ascii="Calibri" w:hAnsi="Calibri"/>
                <w:sz w:val="24"/>
                <w:szCs w:val="24"/>
              </w:rPr>
              <w:t>The bright light staying on all night is intrusive</w:t>
            </w:r>
            <w:r w:rsidRPr="00483B1E">
              <w:rPr>
                <w:rFonts w:ascii="Calibri" w:hAnsi="Calibri"/>
                <w:sz w:val="24"/>
                <w:szCs w:val="24"/>
              </w:rPr>
              <w:t>.</w:t>
            </w:r>
          </w:p>
          <w:p w14:paraId="34E703E4" w14:textId="77777777" w:rsidR="004D780D" w:rsidRPr="00483B1E" w:rsidRDefault="004D780D" w:rsidP="004D780D">
            <w:pPr>
              <w:tabs>
                <w:tab w:val="left" w:pos="7938"/>
              </w:tabs>
              <w:ind w:left="1313"/>
              <w:jc w:val="both"/>
              <w:rPr>
                <w:rFonts w:ascii="Calibri" w:hAnsi="Calibri"/>
                <w:sz w:val="24"/>
                <w:szCs w:val="24"/>
              </w:rPr>
            </w:pPr>
          </w:p>
          <w:p w14:paraId="3FD25B97" w14:textId="1F2247E9" w:rsidR="004428A9" w:rsidRDefault="004428A9" w:rsidP="00483B1E">
            <w:pPr>
              <w:tabs>
                <w:tab w:val="left" w:pos="7938"/>
              </w:tabs>
              <w:jc w:val="both"/>
              <w:rPr>
                <w:rFonts w:ascii="Calibri" w:hAnsi="Calibri"/>
                <w:sz w:val="24"/>
                <w:szCs w:val="24"/>
              </w:rPr>
            </w:pPr>
            <w:r w:rsidRPr="00483B1E">
              <w:rPr>
                <w:rFonts w:ascii="Calibri" w:hAnsi="Calibri"/>
                <w:sz w:val="24"/>
                <w:szCs w:val="24"/>
              </w:rPr>
              <w:t xml:space="preserve">APC have been approached to ascertain if </w:t>
            </w:r>
            <w:r>
              <w:rPr>
                <w:rFonts w:ascii="Calibri" w:hAnsi="Calibri"/>
                <w:sz w:val="24"/>
                <w:szCs w:val="24"/>
              </w:rPr>
              <w:t>the brewery had in fact received planning permission from Hertsmere for the erection of such floodlights that are not in keeping with the heritage of the area.</w:t>
            </w:r>
          </w:p>
          <w:p w14:paraId="06467247" w14:textId="77777777" w:rsidR="004428A9" w:rsidRDefault="004428A9" w:rsidP="00483B1E">
            <w:pPr>
              <w:tabs>
                <w:tab w:val="left" w:pos="7938"/>
              </w:tabs>
              <w:jc w:val="both"/>
              <w:rPr>
                <w:rFonts w:ascii="Calibri" w:hAnsi="Calibri"/>
                <w:sz w:val="24"/>
                <w:szCs w:val="24"/>
              </w:rPr>
            </w:pPr>
          </w:p>
          <w:p w14:paraId="67400260" w14:textId="5B054168" w:rsidR="004428A9" w:rsidRPr="00593CFA" w:rsidRDefault="004428A9" w:rsidP="00483B1E">
            <w:pPr>
              <w:tabs>
                <w:tab w:val="left" w:pos="7938"/>
              </w:tabs>
              <w:jc w:val="both"/>
              <w:rPr>
                <w:rFonts w:ascii="Calibri" w:hAnsi="Calibri"/>
                <w:sz w:val="24"/>
                <w:szCs w:val="24"/>
              </w:rPr>
            </w:pPr>
            <w:r>
              <w:rPr>
                <w:rFonts w:ascii="Calibri" w:hAnsi="Calibri"/>
                <w:sz w:val="24"/>
                <w:szCs w:val="24"/>
              </w:rPr>
              <w:t xml:space="preserve">Whilst we recognise that security was required given the theft of the electric charging cables so soon after their installation, </w:t>
            </w:r>
            <w:proofErr w:type="gramStart"/>
            <w:r>
              <w:rPr>
                <w:rFonts w:ascii="Calibri" w:hAnsi="Calibri"/>
                <w:sz w:val="24"/>
                <w:szCs w:val="24"/>
              </w:rPr>
              <w:t>If</w:t>
            </w:r>
            <w:proofErr w:type="gramEnd"/>
            <w:r>
              <w:rPr>
                <w:rFonts w:ascii="Calibri" w:hAnsi="Calibri"/>
                <w:sz w:val="24"/>
                <w:szCs w:val="24"/>
              </w:rPr>
              <w:t xml:space="preserve"> permission was granted then at least can sensor equipment be installed so that the bright lights only come in when motion is detected for a short time rather than all night?</w:t>
            </w:r>
          </w:p>
          <w:p w14:paraId="7B966289" w14:textId="2E63A019" w:rsidR="004428A9" w:rsidRPr="00747E52" w:rsidRDefault="004428A9" w:rsidP="00FB3192">
            <w:pPr>
              <w:jc w:val="both"/>
              <w:rPr>
                <w:rFonts w:ascii="Calibri" w:hAnsi="Calibri" w:cs="Calibri"/>
                <w:sz w:val="24"/>
                <w:szCs w:val="24"/>
              </w:rPr>
            </w:pPr>
          </w:p>
        </w:tc>
      </w:tr>
      <w:tr w:rsidR="004428A9" w14:paraId="5317DA9F" w14:textId="77777777" w:rsidTr="004428A9">
        <w:tc>
          <w:tcPr>
            <w:tcW w:w="338" w:type="dxa"/>
          </w:tcPr>
          <w:p w14:paraId="2896FEA0" w14:textId="77777777" w:rsidR="004428A9" w:rsidRDefault="004428A9" w:rsidP="00FB3192">
            <w:pPr>
              <w:jc w:val="center"/>
              <w:rPr>
                <w:rFonts w:ascii="Calibri" w:hAnsi="Calibri" w:cs="Calibri"/>
                <w:sz w:val="24"/>
                <w:szCs w:val="24"/>
              </w:rPr>
            </w:pPr>
          </w:p>
        </w:tc>
        <w:tc>
          <w:tcPr>
            <w:tcW w:w="655" w:type="dxa"/>
          </w:tcPr>
          <w:p w14:paraId="43B3043C" w14:textId="0DC7685C" w:rsidR="004428A9" w:rsidRDefault="004428A9" w:rsidP="00FB3192">
            <w:pPr>
              <w:jc w:val="both"/>
              <w:rPr>
                <w:rFonts w:ascii="Calibri" w:hAnsi="Calibri" w:cs="Calibri"/>
                <w:sz w:val="24"/>
                <w:szCs w:val="24"/>
              </w:rPr>
            </w:pPr>
            <w:r>
              <w:rPr>
                <w:rFonts w:ascii="Calibri" w:hAnsi="Calibri" w:cs="Calibri"/>
                <w:sz w:val="24"/>
                <w:szCs w:val="24"/>
              </w:rPr>
              <w:t>6.2</w:t>
            </w:r>
          </w:p>
        </w:tc>
        <w:tc>
          <w:tcPr>
            <w:tcW w:w="8789" w:type="dxa"/>
          </w:tcPr>
          <w:p w14:paraId="52456CDE" w14:textId="397DAB13" w:rsidR="004428A9" w:rsidRDefault="004428A9" w:rsidP="00483B1E">
            <w:pPr>
              <w:tabs>
                <w:tab w:val="left" w:pos="7938"/>
              </w:tabs>
              <w:ind w:left="1313" w:hanging="1313"/>
              <w:jc w:val="both"/>
              <w:rPr>
                <w:rFonts w:ascii="Calibri" w:hAnsi="Calibri" w:cs="Calibri"/>
                <w:sz w:val="24"/>
                <w:szCs w:val="24"/>
              </w:rPr>
            </w:pPr>
            <w:r w:rsidRPr="00483B1E">
              <w:rPr>
                <w:rFonts w:ascii="Calibri" w:hAnsi="Calibri" w:cs="Calibri"/>
                <w:sz w:val="24"/>
                <w:szCs w:val="24"/>
              </w:rPr>
              <w:t>From Rebecca Binstock &amp; Chris Lack</w:t>
            </w:r>
            <w:r w:rsidR="004D780D">
              <w:rPr>
                <w:rFonts w:ascii="Calibri" w:hAnsi="Calibri" w:cs="Calibri"/>
                <w:sz w:val="24"/>
                <w:szCs w:val="24"/>
              </w:rPr>
              <w:t xml:space="preserve"> (by email</w:t>
            </w:r>
            <w:proofErr w:type="gramStart"/>
            <w:r w:rsidR="004D780D">
              <w:rPr>
                <w:rFonts w:ascii="Calibri" w:hAnsi="Calibri" w:cs="Calibri"/>
                <w:sz w:val="24"/>
                <w:szCs w:val="24"/>
              </w:rPr>
              <w:t>)</w:t>
            </w:r>
            <w:r>
              <w:rPr>
                <w:rFonts w:ascii="Calibri" w:hAnsi="Calibri" w:cs="Calibri"/>
                <w:sz w:val="24"/>
                <w:szCs w:val="24"/>
              </w:rPr>
              <w:t>:-</w:t>
            </w:r>
            <w:proofErr w:type="gramEnd"/>
          </w:p>
          <w:p w14:paraId="57532908" w14:textId="77777777" w:rsidR="004D780D" w:rsidRPr="00483B1E" w:rsidRDefault="004D780D" w:rsidP="00483B1E">
            <w:pPr>
              <w:tabs>
                <w:tab w:val="left" w:pos="7938"/>
              </w:tabs>
              <w:ind w:left="1313" w:hanging="1313"/>
              <w:jc w:val="both"/>
              <w:rPr>
                <w:rFonts w:ascii="Calibri" w:hAnsi="Calibri" w:cs="Calibri"/>
                <w:sz w:val="24"/>
                <w:szCs w:val="24"/>
              </w:rPr>
            </w:pPr>
          </w:p>
          <w:p w14:paraId="4C6E5B3C" w14:textId="77777777" w:rsidR="004428A9" w:rsidRDefault="004428A9" w:rsidP="00483B1E">
            <w:pPr>
              <w:pStyle w:val="ListParagraph"/>
              <w:tabs>
                <w:tab w:val="left" w:pos="7938"/>
              </w:tabs>
              <w:ind w:left="604"/>
              <w:contextualSpacing w:val="0"/>
              <w:jc w:val="both"/>
              <w:rPr>
                <w:rFonts w:ascii="Calibri" w:hAnsi="Calibri" w:cs="Calibri"/>
                <w:sz w:val="24"/>
                <w:szCs w:val="24"/>
              </w:rPr>
            </w:pPr>
            <w:r w:rsidRPr="00483B1E">
              <w:rPr>
                <w:rFonts w:ascii="Calibri" w:hAnsi="Calibri" w:cs="Calibri"/>
                <w:sz w:val="24"/>
                <w:szCs w:val="24"/>
              </w:rPr>
              <w:t>Why will APC not sell the derelict land on Pegmire Lane and provide allotments up Common Lane?</w:t>
            </w:r>
          </w:p>
          <w:p w14:paraId="15582AF6" w14:textId="77777777" w:rsidR="004428A9" w:rsidRDefault="004428A9" w:rsidP="00483B1E">
            <w:pPr>
              <w:pStyle w:val="ListParagraph"/>
              <w:tabs>
                <w:tab w:val="left" w:pos="7938"/>
              </w:tabs>
              <w:ind w:left="604"/>
              <w:contextualSpacing w:val="0"/>
              <w:jc w:val="both"/>
              <w:rPr>
                <w:rFonts w:ascii="Calibri" w:hAnsi="Calibri" w:cs="Calibri"/>
                <w:sz w:val="24"/>
                <w:szCs w:val="24"/>
              </w:rPr>
            </w:pPr>
          </w:p>
          <w:p w14:paraId="05F1E3D8" w14:textId="7846DC58" w:rsidR="004428A9" w:rsidRDefault="004428A9" w:rsidP="00483B1E">
            <w:pPr>
              <w:pStyle w:val="ListParagraph"/>
              <w:tabs>
                <w:tab w:val="left" w:pos="7938"/>
              </w:tabs>
              <w:ind w:left="37"/>
              <w:contextualSpacing w:val="0"/>
              <w:rPr>
                <w:rFonts w:ascii="Calibri" w:hAnsi="Calibri" w:cs="Calibri"/>
                <w:sz w:val="24"/>
                <w:szCs w:val="24"/>
              </w:rPr>
            </w:pPr>
            <w:r>
              <w:rPr>
                <w:rFonts w:ascii="Calibri" w:hAnsi="Calibri" w:cs="Calibri"/>
                <w:sz w:val="24"/>
                <w:szCs w:val="24"/>
              </w:rPr>
              <w:t xml:space="preserve">Having spoken with APC it appears that and sale of APC land </w:t>
            </w:r>
            <w:proofErr w:type="gramStart"/>
            <w:r>
              <w:rPr>
                <w:rFonts w:ascii="Calibri" w:hAnsi="Calibri" w:cs="Calibri"/>
                <w:sz w:val="24"/>
                <w:szCs w:val="24"/>
              </w:rPr>
              <w:t>has to</w:t>
            </w:r>
            <w:proofErr w:type="gramEnd"/>
            <w:r>
              <w:rPr>
                <w:rFonts w:ascii="Calibri" w:hAnsi="Calibri" w:cs="Calibri"/>
                <w:sz w:val="24"/>
                <w:szCs w:val="24"/>
              </w:rPr>
              <w:t xml:space="preserve"> show a benefit to the community as a whole and not sold off to the benefit of an individual.</w:t>
            </w:r>
          </w:p>
          <w:p w14:paraId="2712C041" w14:textId="77777777" w:rsidR="004D780D" w:rsidRDefault="004D780D" w:rsidP="00483B1E">
            <w:pPr>
              <w:pStyle w:val="ListParagraph"/>
              <w:tabs>
                <w:tab w:val="left" w:pos="7938"/>
              </w:tabs>
              <w:ind w:left="37"/>
              <w:contextualSpacing w:val="0"/>
              <w:rPr>
                <w:rFonts w:ascii="Calibri" w:hAnsi="Calibri" w:cs="Calibri"/>
                <w:sz w:val="24"/>
                <w:szCs w:val="24"/>
              </w:rPr>
            </w:pPr>
          </w:p>
          <w:p w14:paraId="0F83EDDB" w14:textId="77777777" w:rsidR="004D780D" w:rsidRDefault="004D780D" w:rsidP="00483B1E">
            <w:pPr>
              <w:pStyle w:val="ListParagraph"/>
              <w:tabs>
                <w:tab w:val="left" w:pos="7938"/>
              </w:tabs>
              <w:ind w:left="37"/>
              <w:contextualSpacing w:val="0"/>
              <w:rPr>
                <w:rFonts w:ascii="Calibri" w:hAnsi="Calibri" w:cs="Calibri"/>
                <w:sz w:val="24"/>
                <w:szCs w:val="24"/>
              </w:rPr>
            </w:pPr>
          </w:p>
          <w:p w14:paraId="22906034" w14:textId="77777777" w:rsidR="004D780D" w:rsidRDefault="004D780D" w:rsidP="00483B1E">
            <w:pPr>
              <w:pStyle w:val="ListParagraph"/>
              <w:tabs>
                <w:tab w:val="left" w:pos="7938"/>
              </w:tabs>
              <w:ind w:left="37"/>
              <w:contextualSpacing w:val="0"/>
              <w:rPr>
                <w:rFonts w:ascii="Calibri" w:hAnsi="Calibri" w:cs="Calibri"/>
                <w:sz w:val="24"/>
                <w:szCs w:val="24"/>
              </w:rPr>
            </w:pPr>
          </w:p>
          <w:p w14:paraId="38BA6D45" w14:textId="53489531" w:rsidR="004428A9" w:rsidRDefault="004428A9" w:rsidP="00483B1E">
            <w:pPr>
              <w:pStyle w:val="ListParagraph"/>
              <w:tabs>
                <w:tab w:val="left" w:pos="7938"/>
              </w:tabs>
              <w:ind w:left="37"/>
              <w:contextualSpacing w:val="0"/>
              <w:rPr>
                <w:rFonts w:ascii="Calibri" w:hAnsi="Calibri" w:cs="Calibri"/>
                <w:sz w:val="24"/>
                <w:szCs w:val="24"/>
              </w:rPr>
            </w:pPr>
            <w:r>
              <w:rPr>
                <w:rFonts w:ascii="Calibri" w:hAnsi="Calibri" w:cs="Calibri"/>
                <w:sz w:val="24"/>
                <w:szCs w:val="24"/>
              </w:rPr>
              <w:t>Use of the land as allotments have been suggested, but the APC allotments in Radlett are not fully let and it is felt any investment to make the area suitable would not generate a suitable return if not fully let.</w:t>
            </w:r>
          </w:p>
          <w:p w14:paraId="5A4D61D9" w14:textId="77777777" w:rsidR="004D780D" w:rsidRDefault="004D780D" w:rsidP="00483B1E">
            <w:pPr>
              <w:pStyle w:val="ListParagraph"/>
              <w:tabs>
                <w:tab w:val="left" w:pos="7938"/>
              </w:tabs>
              <w:ind w:left="37"/>
              <w:contextualSpacing w:val="0"/>
              <w:rPr>
                <w:rFonts w:ascii="Calibri" w:hAnsi="Calibri" w:cs="Calibri"/>
                <w:sz w:val="24"/>
                <w:szCs w:val="24"/>
              </w:rPr>
            </w:pPr>
          </w:p>
          <w:p w14:paraId="1FC4A473" w14:textId="65AFAD81" w:rsidR="004428A9" w:rsidRDefault="004428A9" w:rsidP="00483B1E">
            <w:pPr>
              <w:pStyle w:val="ListParagraph"/>
              <w:tabs>
                <w:tab w:val="left" w:pos="7938"/>
              </w:tabs>
              <w:ind w:left="37"/>
              <w:contextualSpacing w:val="0"/>
              <w:rPr>
                <w:rFonts w:ascii="Calibri" w:hAnsi="Calibri" w:cs="Calibri"/>
                <w:sz w:val="24"/>
                <w:szCs w:val="24"/>
              </w:rPr>
            </w:pPr>
            <w:r>
              <w:rPr>
                <w:rFonts w:ascii="Calibri" w:hAnsi="Calibri" w:cs="Calibri"/>
                <w:sz w:val="24"/>
                <w:szCs w:val="24"/>
              </w:rPr>
              <w:t>Also, especially given the extra needs placed on local Councils by central government to identify areas for new homes, this area could potentially be used to help reach the local target.</w:t>
            </w:r>
          </w:p>
          <w:p w14:paraId="596E34E6" w14:textId="77777777" w:rsidR="004D780D" w:rsidRDefault="004D780D" w:rsidP="00483B1E">
            <w:pPr>
              <w:pStyle w:val="ListParagraph"/>
              <w:tabs>
                <w:tab w:val="left" w:pos="7938"/>
              </w:tabs>
              <w:ind w:left="37"/>
              <w:contextualSpacing w:val="0"/>
              <w:rPr>
                <w:rFonts w:ascii="Calibri" w:hAnsi="Calibri" w:cs="Calibri"/>
                <w:sz w:val="24"/>
                <w:szCs w:val="24"/>
              </w:rPr>
            </w:pPr>
          </w:p>
          <w:p w14:paraId="39AF4668" w14:textId="77777777" w:rsidR="004428A9" w:rsidRPr="004D780D" w:rsidRDefault="004428A9" w:rsidP="004428A9">
            <w:pPr>
              <w:pStyle w:val="ListParagraph"/>
              <w:tabs>
                <w:tab w:val="left" w:pos="7938"/>
              </w:tabs>
              <w:ind w:left="37"/>
              <w:contextualSpacing w:val="0"/>
              <w:rPr>
                <w:rFonts w:ascii="Calibri" w:hAnsi="Calibri" w:cs="Calibri"/>
                <w:sz w:val="24"/>
                <w:szCs w:val="24"/>
              </w:rPr>
            </w:pPr>
            <w:r w:rsidRPr="004D780D">
              <w:rPr>
                <w:rFonts w:ascii="Calibri" w:hAnsi="Calibri" w:cs="Calibri"/>
                <w:sz w:val="24"/>
                <w:szCs w:val="24"/>
              </w:rPr>
              <w:t>Meanwhile the area is kept as scrubland to deter and squatting/invasion of the area.</w:t>
            </w:r>
          </w:p>
          <w:p w14:paraId="4501F5E6" w14:textId="77777777" w:rsidR="004D780D" w:rsidRPr="004D780D" w:rsidRDefault="004D780D" w:rsidP="004428A9">
            <w:pPr>
              <w:pStyle w:val="ListParagraph"/>
              <w:tabs>
                <w:tab w:val="left" w:pos="7938"/>
              </w:tabs>
              <w:ind w:left="37"/>
              <w:contextualSpacing w:val="0"/>
              <w:rPr>
                <w:rFonts w:ascii="Calibri" w:hAnsi="Calibri" w:cs="Calibri"/>
                <w:color w:val="000000"/>
                <w:sz w:val="24"/>
                <w:szCs w:val="24"/>
              </w:rPr>
            </w:pPr>
            <w:r w:rsidRPr="004D780D">
              <w:rPr>
                <w:rFonts w:ascii="Calibri" w:hAnsi="Calibri" w:cs="Calibri"/>
                <w:color w:val="000000"/>
                <w:sz w:val="24"/>
                <w:szCs w:val="24"/>
              </w:rPr>
              <w:t xml:space="preserve">At present all those in attendance recognised that although the said land was owned by APC, it was currently not an “income producing” asset. In today’s financial climate </w:t>
            </w:r>
            <w:r w:rsidRPr="004D780D">
              <w:rPr>
                <w:rFonts w:ascii="Calibri" w:hAnsi="Calibri" w:cs="Calibri"/>
                <w:color w:val="000000"/>
                <w:sz w:val="24"/>
                <w:szCs w:val="24"/>
              </w:rPr>
              <w:t xml:space="preserve">would hope that APC </w:t>
            </w:r>
            <w:r w:rsidRPr="004D780D">
              <w:rPr>
                <w:rFonts w:ascii="Calibri" w:hAnsi="Calibri" w:cs="Calibri"/>
                <w:color w:val="000000"/>
                <w:sz w:val="24"/>
                <w:szCs w:val="24"/>
              </w:rPr>
              <w:t xml:space="preserve">should </w:t>
            </w:r>
            <w:r w:rsidRPr="004D780D">
              <w:rPr>
                <w:rFonts w:ascii="Calibri" w:hAnsi="Calibri" w:cs="Calibri"/>
                <w:color w:val="000000"/>
                <w:sz w:val="24"/>
                <w:szCs w:val="24"/>
              </w:rPr>
              <w:t>make attempts</w:t>
            </w:r>
            <w:r w:rsidRPr="004D780D">
              <w:rPr>
                <w:rFonts w:ascii="Calibri" w:hAnsi="Calibri" w:cs="Calibri"/>
                <w:color w:val="000000"/>
                <w:sz w:val="24"/>
                <w:szCs w:val="24"/>
              </w:rPr>
              <w:t xml:space="preserve"> to reverse this situation, but to do so in a most environmentally friendly way.</w:t>
            </w:r>
          </w:p>
          <w:p w14:paraId="45B64FE8" w14:textId="7CC70087" w:rsidR="004D780D" w:rsidRDefault="004D780D" w:rsidP="004428A9">
            <w:pPr>
              <w:pStyle w:val="ListParagraph"/>
              <w:tabs>
                <w:tab w:val="left" w:pos="7938"/>
              </w:tabs>
              <w:ind w:left="37"/>
              <w:contextualSpacing w:val="0"/>
              <w:rPr>
                <w:rFonts w:ascii="Calibri" w:hAnsi="Calibri" w:cs="Calibri"/>
                <w:sz w:val="24"/>
                <w:szCs w:val="24"/>
              </w:rPr>
            </w:pPr>
          </w:p>
        </w:tc>
      </w:tr>
      <w:tr w:rsidR="00B96560" w14:paraId="6B823F4B" w14:textId="77777777" w:rsidTr="004428A9">
        <w:tc>
          <w:tcPr>
            <w:tcW w:w="338" w:type="dxa"/>
          </w:tcPr>
          <w:p w14:paraId="70A17A16" w14:textId="77777777" w:rsidR="00B96560" w:rsidRDefault="00B96560" w:rsidP="00FB3192">
            <w:pPr>
              <w:jc w:val="center"/>
              <w:rPr>
                <w:rFonts w:ascii="Calibri" w:hAnsi="Calibri" w:cs="Calibri"/>
                <w:sz w:val="24"/>
                <w:szCs w:val="24"/>
              </w:rPr>
            </w:pPr>
          </w:p>
        </w:tc>
        <w:tc>
          <w:tcPr>
            <w:tcW w:w="655" w:type="dxa"/>
          </w:tcPr>
          <w:p w14:paraId="7DD5993F" w14:textId="77777777" w:rsidR="00B96560" w:rsidRDefault="00B96560" w:rsidP="00FB3192">
            <w:pPr>
              <w:jc w:val="both"/>
              <w:rPr>
                <w:rFonts w:ascii="Calibri" w:hAnsi="Calibri" w:cs="Calibri"/>
                <w:sz w:val="24"/>
                <w:szCs w:val="24"/>
              </w:rPr>
            </w:pPr>
          </w:p>
        </w:tc>
        <w:tc>
          <w:tcPr>
            <w:tcW w:w="8789" w:type="dxa"/>
          </w:tcPr>
          <w:p w14:paraId="0664FE73" w14:textId="5B076979" w:rsidR="00B96560" w:rsidRPr="00483B1E" w:rsidRDefault="00B96560" w:rsidP="00483B1E">
            <w:pPr>
              <w:tabs>
                <w:tab w:val="left" w:pos="7938"/>
              </w:tabs>
              <w:ind w:left="1313" w:hanging="1313"/>
              <w:jc w:val="both"/>
              <w:rPr>
                <w:rFonts w:ascii="Calibri" w:hAnsi="Calibri" w:cs="Calibri"/>
                <w:sz w:val="24"/>
                <w:szCs w:val="24"/>
              </w:rPr>
            </w:pPr>
            <w:r>
              <w:rPr>
                <w:rFonts w:ascii="Calibri" w:hAnsi="Calibri" w:cs="Calibri"/>
                <w:sz w:val="24"/>
                <w:szCs w:val="24"/>
              </w:rPr>
              <w:t>Date of Next Meeting 22</w:t>
            </w:r>
            <w:r w:rsidRPr="00B96560">
              <w:rPr>
                <w:rFonts w:ascii="Calibri" w:hAnsi="Calibri" w:cs="Calibri"/>
                <w:sz w:val="24"/>
                <w:szCs w:val="24"/>
                <w:vertAlign w:val="superscript"/>
              </w:rPr>
              <w:t>nd</w:t>
            </w:r>
            <w:r>
              <w:rPr>
                <w:rFonts w:ascii="Calibri" w:hAnsi="Calibri" w:cs="Calibri"/>
                <w:sz w:val="24"/>
                <w:szCs w:val="24"/>
              </w:rPr>
              <w:t xml:space="preserve"> May 2025 – time and date to be published.</w:t>
            </w:r>
          </w:p>
        </w:tc>
      </w:tr>
    </w:tbl>
    <w:p w14:paraId="1AB427FF" w14:textId="77777777" w:rsidR="00467529" w:rsidRPr="00467529" w:rsidRDefault="00467529" w:rsidP="006216E3">
      <w:pPr>
        <w:jc w:val="both"/>
        <w:rPr>
          <w:rFonts w:ascii="Calibri" w:hAnsi="Calibri" w:cs="Calibri"/>
          <w:sz w:val="24"/>
          <w:szCs w:val="24"/>
        </w:rPr>
      </w:pPr>
    </w:p>
    <w:sectPr w:rsidR="00467529" w:rsidRPr="00467529" w:rsidSect="006216E3">
      <w:pgSz w:w="11906" w:h="16838"/>
      <w:pgMar w:top="568"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C0E"/>
    <w:multiLevelType w:val="hybridMultilevel"/>
    <w:tmpl w:val="4A6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B5138"/>
    <w:multiLevelType w:val="hybridMultilevel"/>
    <w:tmpl w:val="4866F6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D57C2C"/>
    <w:multiLevelType w:val="hybridMultilevel"/>
    <w:tmpl w:val="C86EB74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003611"/>
    <w:multiLevelType w:val="hybridMultilevel"/>
    <w:tmpl w:val="D2FEF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2D640C"/>
    <w:multiLevelType w:val="hybridMultilevel"/>
    <w:tmpl w:val="C3E84D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533174">
    <w:abstractNumId w:val="0"/>
  </w:num>
  <w:num w:numId="2" w16cid:durableId="396171605">
    <w:abstractNumId w:val="4"/>
  </w:num>
  <w:num w:numId="3" w16cid:durableId="258295319">
    <w:abstractNumId w:val="1"/>
  </w:num>
  <w:num w:numId="4" w16cid:durableId="141120896">
    <w:abstractNumId w:val="3"/>
  </w:num>
  <w:num w:numId="5" w16cid:durableId="181131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9"/>
    <w:rsid w:val="00026FF8"/>
    <w:rsid w:val="00035F46"/>
    <w:rsid w:val="00044554"/>
    <w:rsid w:val="00060DA6"/>
    <w:rsid w:val="00067146"/>
    <w:rsid w:val="000711F0"/>
    <w:rsid w:val="00080808"/>
    <w:rsid w:val="00082610"/>
    <w:rsid w:val="00083A59"/>
    <w:rsid w:val="00092716"/>
    <w:rsid w:val="000B58CE"/>
    <w:rsid w:val="000D45B7"/>
    <w:rsid w:val="000D53F0"/>
    <w:rsid w:val="00120A3F"/>
    <w:rsid w:val="00126321"/>
    <w:rsid w:val="00142AB1"/>
    <w:rsid w:val="001502B0"/>
    <w:rsid w:val="00150539"/>
    <w:rsid w:val="001562FE"/>
    <w:rsid w:val="00162392"/>
    <w:rsid w:val="001722A9"/>
    <w:rsid w:val="00187EA2"/>
    <w:rsid w:val="001A173C"/>
    <w:rsid w:val="001D0092"/>
    <w:rsid w:val="001D3144"/>
    <w:rsid w:val="001E2801"/>
    <w:rsid w:val="001E5E16"/>
    <w:rsid w:val="001F5A54"/>
    <w:rsid w:val="00200A52"/>
    <w:rsid w:val="002011ED"/>
    <w:rsid w:val="0020163B"/>
    <w:rsid w:val="00211D33"/>
    <w:rsid w:val="00227BEF"/>
    <w:rsid w:val="00231269"/>
    <w:rsid w:val="00236705"/>
    <w:rsid w:val="002405DE"/>
    <w:rsid w:val="00256F83"/>
    <w:rsid w:val="00265912"/>
    <w:rsid w:val="00276F29"/>
    <w:rsid w:val="00277F3F"/>
    <w:rsid w:val="00280442"/>
    <w:rsid w:val="0029526B"/>
    <w:rsid w:val="002B2D7E"/>
    <w:rsid w:val="002B671B"/>
    <w:rsid w:val="002C3843"/>
    <w:rsid w:val="002D51FA"/>
    <w:rsid w:val="002E165C"/>
    <w:rsid w:val="003035E1"/>
    <w:rsid w:val="0030421C"/>
    <w:rsid w:val="003164A4"/>
    <w:rsid w:val="00320B8E"/>
    <w:rsid w:val="00330A13"/>
    <w:rsid w:val="00376806"/>
    <w:rsid w:val="00385D24"/>
    <w:rsid w:val="00387BE4"/>
    <w:rsid w:val="003912CC"/>
    <w:rsid w:val="003A3733"/>
    <w:rsid w:val="003A6C02"/>
    <w:rsid w:val="003C22F9"/>
    <w:rsid w:val="003C4B8A"/>
    <w:rsid w:val="003D5ED4"/>
    <w:rsid w:val="00405F2C"/>
    <w:rsid w:val="00407FDE"/>
    <w:rsid w:val="00421DCD"/>
    <w:rsid w:val="004364AF"/>
    <w:rsid w:val="004428A9"/>
    <w:rsid w:val="004470D9"/>
    <w:rsid w:val="00455BEC"/>
    <w:rsid w:val="00457ED4"/>
    <w:rsid w:val="00460FF4"/>
    <w:rsid w:val="00461754"/>
    <w:rsid w:val="0046254D"/>
    <w:rsid w:val="00467529"/>
    <w:rsid w:val="00476895"/>
    <w:rsid w:val="00483B1E"/>
    <w:rsid w:val="004917BF"/>
    <w:rsid w:val="004A229B"/>
    <w:rsid w:val="004B2B60"/>
    <w:rsid w:val="004D0917"/>
    <w:rsid w:val="004D780D"/>
    <w:rsid w:val="00515AEA"/>
    <w:rsid w:val="005177A2"/>
    <w:rsid w:val="0052666C"/>
    <w:rsid w:val="00532130"/>
    <w:rsid w:val="00533C2D"/>
    <w:rsid w:val="005513D5"/>
    <w:rsid w:val="00566E07"/>
    <w:rsid w:val="00593CFA"/>
    <w:rsid w:val="005A022E"/>
    <w:rsid w:val="005C5CCE"/>
    <w:rsid w:val="006122C1"/>
    <w:rsid w:val="0061604F"/>
    <w:rsid w:val="006216E3"/>
    <w:rsid w:val="00622E62"/>
    <w:rsid w:val="00637600"/>
    <w:rsid w:val="006466B9"/>
    <w:rsid w:val="006500C1"/>
    <w:rsid w:val="00650ED7"/>
    <w:rsid w:val="00651B7E"/>
    <w:rsid w:val="0065315A"/>
    <w:rsid w:val="006879F1"/>
    <w:rsid w:val="00695704"/>
    <w:rsid w:val="006B392B"/>
    <w:rsid w:val="006C74DF"/>
    <w:rsid w:val="006E6132"/>
    <w:rsid w:val="006F2D4A"/>
    <w:rsid w:val="00711DFE"/>
    <w:rsid w:val="007175B5"/>
    <w:rsid w:val="00722D85"/>
    <w:rsid w:val="007442E8"/>
    <w:rsid w:val="00747E52"/>
    <w:rsid w:val="00747E6C"/>
    <w:rsid w:val="00751390"/>
    <w:rsid w:val="00763276"/>
    <w:rsid w:val="0076371B"/>
    <w:rsid w:val="00763C1A"/>
    <w:rsid w:val="007812C3"/>
    <w:rsid w:val="007941C2"/>
    <w:rsid w:val="007A338B"/>
    <w:rsid w:val="007B4513"/>
    <w:rsid w:val="007C4699"/>
    <w:rsid w:val="007C6802"/>
    <w:rsid w:val="007E47C7"/>
    <w:rsid w:val="00802C11"/>
    <w:rsid w:val="008068A8"/>
    <w:rsid w:val="00821C33"/>
    <w:rsid w:val="00822F7E"/>
    <w:rsid w:val="008246C7"/>
    <w:rsid w:val="008328B8"/>
    <w:rsid w:val="0084697C"/>
    <w:rsid w:val="00854239"/>
    <w:rsid w:val="008665C3"/>
    <w:rsid w:val="00874775"/>
    <w:rsid w:val="008817FD"/>
    <w:rsid w:val="00883136"/>
    <w:rsid w:val="008935B4"/>
    <w:rsid w:val="00893A13"/>
    <w:rsid w:val="008A0F19"/>
    <w:rsid w:val="008A2512"/>
    <w:rsid w:val="008B0B62"/>
    <w:rsid w:val="008B7267"/>
    <w:rsid w:val="008C1687"/>
    <w:rsid w:val="008E7D47"/>
    <w:rsid w:val="0090060C"/>
    <w:rsid w:val="00901DCC"/>
    <w:rsid w:val="00920306"/>
    <w:rsid w:val="0092470E"/>
    <w:rsid w:val="00933062"/>
    <w:rsid w:val="00945857"/>
    <w:rsid w:val="00946C62"/>
    <w:rsid w:val="00950F8A"/>
    <w:rsid w:val="009535F2"/>
    <w:rsid w:val="009606BF"/>
    <w:rsid w:val="00964BD0"/>
    <w:rsid w:val="009D1623"/>
    <w:rsid w:val="009E69EE"/>
    <w:rsid w:val="009F7FA9"/>
    <w:rsid w:val="00A10F09"/>
    <w:rsid w:val="00A2242D"/>
    <w:rsid w:val="00A22C0D"/>
    <w:rsid w:val="00A22EE3"/>
    <w:rsid w:val="00A241AD"/>
    <w:rsid w:val="00A4001E"/>
    <w:rsid w:val="00A50D71"/>
    <w:rsid w:val="00A51C9E"/>
    <w:rsid w:val="00A7029D"/>
    <w:rsid w:val="00A72E95"/>
    <w:rsid w:val="00A76E13"/>
    <w:rsid w:val="00A83498"/>
    <w:rsid w:val="00A96742"/>
    <w:rsid w:val="00AA40C0"/>
    <w:rsid w:val="00AA423B"/>
    <w:rsid w:val="00AA7790"/>
    <w:rsid w:val="00AB1E57"/>
    <w:rsid w:val="00AC4CD9"/>
    <w:rsid w:val="00B1022B"/>
    <w:rsid w:val="00B115BB"/>
    <w:rsid w:val="00B221BB"/>
    <w:rsid w:val="00B32DDB"/>
    <w:rsid w:val="00B33DBF"/>
    <w:rsid w:val="00B47B7A"/>
    <w:rsid w:val="00B546B1"/>
    <w:rsid w:val="00B57496"/>
    <w:rsid w:val="00B82495"/>
    <w:rsid w:val="00B96560"/>
    <w:rsid w:val="00BA246C"/>
    <w:rsid w:val="00BA3855"/>
    <w:rsid w:val="00BE5326"/>
    <w:rsid w:val="00C12113"/>
    <w:rsid w:val="00C20CFD"/>
    <w:rsid w:val="00C36710"/>
    <w:rsid w:val="00C613E9"/>
    <w:rsid w:val="00C63888"/>
    <w:rsid w:val="00C67A1D"/>
    <w:rsid w:val="00C815CE"/>
    <w:rsid w:val="00C823D5"/>
    <w:rsid w:val="00C85718"/>
    <w:rsid w:val="00C90C3C"/>
    <w:rsid w:val="00CA3C1D"/>
    <w:rsid w:val="00CB1876"/>
    <w:rsid w:val="00CB42D9"/>
    <w:rsid w:val="00CC1261"/>
    <w:rsid w:val="00CC6363"/>
    <w:rsid w:val="00CD02E3"/>
    <w:rsid w:val="00CD1D61"/>
    <w:rsid w:val="00CE3079"/>
    <w:rsid w:val="00CE4CDC"/>
    <w:rsid w:val="00D031BA"/>
    <w:rsid w:val="00D034B8"/>
    <w:rsid w:val="00D06AE4"/>
    <w:rsid w:val="00D13A0E"/>
    <w:rsid w:val="00D178B3"/>
    <w:rsid w:val="00D216E9"/>
    <w:rsid w:val="00D25824"/>
    <w:rsid w:val="00D308BC"/>
    <w:rsid w:val="00D313F0"/>
    <w:rsid w:val="00DA25E8"/>
    <w:rsid w:val="00DA516D"/>
    <w:rsid w:val="00DB1AC0"/>
    <w:rsid w:val="00DB36DB"/>
    <w:rsid w:val="00DC13BD"/>
    <w:rsid w:val="00DF025D"/>
    <w:rsid w:val="00E02802"/>
    <w:rsid w:val="00E04ED3"/>
    <w:rsid w:val="00E325FA"/>
    <w:rsid w:val="00E4127B"/>
    <w:rsid w:val="00E43675"/>
    <w:rsid w:val="00E44E8E"/>
    <w:rsid w:val="00E4767C"/>
    <w:rsid w:val="00E62908"/>
    <w:rsid w:val="00E70932"/>
    <w:rsid w:val="00E844D5"/>
    <w:rsid w:val="00E84D81"/>
    <w:rsid w:val="00E92DEA"/>
    <w:rsid w:val="00EB3E58"/>
    <w:rsid w:val="00EB5AF9"/>
    <w:rsid w:val="00EC3DC0"/>
    <w:rsid w:val="00ED2D2C"/>
    <w:rsid w:val="00EF3B55"/>
    <w:rsid w:val="00EF5824"/>
    <w:rsid w:val="00F132F8"/>
    <w:rsid w:val="00F13D02"/>
    <w:rsid w:val="00F23F1C"/>
    <w:rsid w:val="00F24AF7"/>
    <w:rsid w:val="00F51A5A"/>
    <w:rsid w:val="00F57874"/>
    <w:rsid w:val="00F60728"/>
    <w:rsid w:val="00F80F15"/>
    <w:rsid w:val="00F85C38"/>
    <w:rsid w:val="00FB3192"/>
    <w:rsid w:val="00FD57B7"/>
    <w:rsid w:val="00FE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339D"/>
  <w15:chartTrackingRefBased/>
  <w15:docId w15:val="{1230A4CA-CAFB-48DD-8F43-B22C8497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529"/>
    <w:rPr>
      <w:rFonts w:eastAsiaTheme="majorEastAsia" w:cstheme="majorBidi"/>
      <w:color w:val="272727" w:themeColor="text1" w:themeTint="D8"/>
    </w:rPr>
  </w:style>
  <w:style w:type="paragraph" w:styleId="Title">
    <w:name w:val="Title"/>
    <w:basedOn w:val="Normal"/>
    <w:next w:val="Normal"/>
    <w:link w:val="TitleChar"/>
    <w:uiPriority w:val="10"/>
    <w:qFormat/>
    <w:rsid w:val="00467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529"/>
    <w:pPr>
      <w:spacing w:before="160"/>
      <w:jc w:val="center"/>
    </w:pPr>
    <w:rPr>
      <w:i/>
      <w:iCs/>
      <w:color w:val="404040" w:themeColor="text1" w:themeTint="BF"/>
    </w:rPr>
  </w:style>
  <w:style w:type="character" w:customStyle="1" w:styleId="QuoteChar">
    <w:name w:val="Quote Char"/>
    <w:basedOn w:val="DefaultParagraphFont"/>
    <w:link w:val="Quote"/>
    <w:uiPriority w:val="29"/>
    <w:rsid w:val="00467529"/>
    <w:rPr>
      <w:i/>
      <w:iCs/>
      <w:color w:val="404040" w:themeColor="text1" w:themeTint="BF"/>
    </w:rPr>
  </w:style>
  <w:style w:type="paragraph" w:styleId="ListParagraph">
    <w:name w:val="List Paragraph"/>
    <w:basedOn w:val="Normal"/>
    <w:uiPriority w:val="34"/>
    <w:qFormat/>
    <w:rsid w:val="00467529"/>
    <w:pPr>
      <w:ind w:left="720"/>
      <w:contextualSpacing/>
    </w:pPr>
  </w:style>
  <w:style w:type="character" w:styleId="IntenseEmphasis">
    <w:name w:val="Intense Emphasis"/>
    <w:basedOn w:val="DefaultParagraphFont"/>
    <w:uiPriority w:val="21"/>
    <w:qFormat/>
    <w:rsid w:val="00467529"/>
    <w:rPr>
      <w:i/>
      <w:iCs/>
      <w:color w:val="0F4761" w:themeColor="accent1" w:themeShade="BF"/>
    </w:rPr>
  </w:style>
  <w:style w:type="paragraph" w:styleId="IntenseQuote">
    <w:name w:val="Intense Quote"/>
    <w:basedOn w:val="Normal"/>
    <w:next w:val="Normal"/>
    <w:link w:val="IntenseQuoteChar"/>
    <w:uiPriority w:val="30"/>
    <w:qFormat/>
    <w:rsid w:val="00467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529"/>
    <w:rPr>
      <w:i/>
      <w:iCs/>
      <w:color w:val="0F4761" w:themeColor="accent1" w:themeShade="BF"/>
    </w:rPr>
  </w:style>
  <w:style w:type="character" w:styleId="IntenseReference">
    <w:name w:val="Intense Reference"/>
    <w:basedOn w:val="DefaultParagraphFont"/>
    <w:uiPriority w:val="32"/>
    <w:qFormat/>
    <w:rsid w:val="00467529"/>
    <w:rPr>
      <w:b/>
      <w:bCs/>
      <w:smallCaps/>
      <w:color w:val="0F4761" w:themeColor="accent1" w:themeShade="BF"/>
      <w:spacing w:val="5"/>
    </w:rPr>
  </w:style>
  <w:style w:type="table" w:styleId="TableGrid">
    <w:name w:val="Table Grid"/>
    <w:basedOn w:val="TableNormal"/>
    <w:uiPriority w:val="39"/>
    <w:rsid w:val="00467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895"/>
    <w:rPr>
      <w:color w:val="467886" w:themeColor="hyperlink"/>
      <w:u w:val="single"/>
    </w:rPr>
  </w:style>
  <w:style w:type="character" w:styleId="UnresolvedMention">
    <w:name w:val="Unresolved Mention"/>
    <w:basedOn w:val="DefaultParagraphFont"/>
    <w:uiPriority w:val="99"/>
    <w:semiHidden/>
    <w:unhideWhenUsed/>
    <w:rsid w:val="00476895"/>
    <w:rPr>
      <w:color w:val="605E5C"/>
      <w:shd w:val="clear" w:color="auto" w:fill="E1DFDD"/>
    </w:rPr>
  </w:style>
  <w:style w:type="character" w:styleId="CommentReference">
    <w:name w:val="annotation reference"/>
    <w:basedOn w:val="DefaultParagraphFont"/>
    <w:uiPriority w:val="99"/>
    <w:semiHidden/>
    <w:unhideWhenUsed/>
    <w:rsid w:val="00593CFA"/>
    <w:rPr>
      <w:sz w:val="16"/>
      <w:szCs w:val="16"/>
    </w:rPr>
  </w:style>
  <w:style w:type="paragraph" w:styleId="CommentText">
    <w:name w:val="annotation text"/>
    <w:basedOn w:val="Normal"/>
    <w:link w:val="CommentTextChar"/>
    <w:uiPriority w:val="99"/>
    <w:semiHidden/>
    <w:unhideWhenUsed/>
    <w:rsid w:val="00593CFA"/>
    <w:pPr>
      <w:spacing w:line="240" w:lineRule="auto"/>
    </w:pPr>
    <w:rPr>
      <w:sz w:val="20"/>
      <w:szCs w:val="20"/>
    </w:rPr>
  </w:style>
  <w:style w:type="character" w:customStyle="1" w:styleId="CommentTextChar">
    <w:name w:val="Comment Text Char"/>
    <w:basedOn w:val="DefaultParagraphFont"/>
    <w:link w:val="CommentText"/>
    <w:uiPriority w:val="99"/>
    <w:semiHidden/>
    <w:rsid w:val="00593CFA"/>
    <w:rPr>
      <w:sz w:val="20"/>
      <w:szCs w:val="20"/>
    </w:rPr>
  </w:style>
  <w:style w:type="paragraph" w:styleId="CommentSubject">
    <w:name w:val="annotation subject"/>
    <w:basedOn w:val="CommentText"/>
    <w:next w:val="CommentText"/>
    <w:link w:val="CommentSubjectChar"/>
    <w:uiPriority w:val="99"/>
    <w:semiHidden/>
    <w:unhideWhenUsed/>
    <w:rsid w:val="00593CFA"/>
    <w:rPr>
      <w:b/>
      <w:bCs/>
    </w:rPr>
  </w:style>
  <w:style w:type="character" w:customStyle="1" w:styleId="CommentSubjectChar">
    <w:name w:val="Comment Subject Char"/>
    <w:basedOn w:val="CommentTextChar"/>
    <w:link w:val="CommentSubject"/>
    <w:uiPriority w:val="99"/>
    <w:semiHidden/>
    <w:rsid w:val="00593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B88B-CE69-4634-8A38-444482AE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Sevren</dc:creator>
  <cp:keywords/>
  <dc:description/>
  <cp:lastModifiedBy>carl.woolf</cp:lastModifiedBy>
  <cp:revision>10</cp:revision>
  <dcterms:created xsi:type="dcterms:W3CDTF">2025-03-26T11:56:00Z</dcterms:created>
  <dcterms:modified xsi:type="dcterms:W3CDTF">2025-04-29T17:54:00Z</dcterms:modified>
</cp:coreProperties>
</file>