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5E09" w14:textId="077CA7FA" w:rsidR="00467529" w:rsidRDefault="00467529" w:rsidP="0046752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467529">
        <w:rPr>
          <w:rFonts w:ascii="Calibri" w:hAnsi="Calibri" w:cs="Calibri"/>
          <w:b/>
          <w:bCs/>
          <w:sz w:val="32"/>
          <w:szCs w:val="32"/>
          <w:u w:val="single"/>
        </w:rPr>
        <w:t>PATCHETTS</w:t>
      </w:r>
      <w:r w:rsidR="007E0CA1">
        <w:rPr>
          <w:rFonts w:ascii="Calibri" w:hAnsi="Calibri" w:cs="Calibri"/>
          <w:b/>
          <w:bCs/>
          <w:sz w:val="32"/>
          <w:szCs w:val="32"/>
          <w:u w:val="single"/>
        </w:rPr>
        <w:t>’</w:t>
      </w:r>
      <w:r w:rsidRPr="00467529">
        <w:rPr>
          <w:rFonts w:ascii="Calibri" w:hAnsi="Calibri" w:cs="Calibri"/>
          <w:b/>
          <w:bCs/>
          <w:sz w:val="32"/>
          <w:szCs w:val="32"/>
          <w:u w:val="single"/>
        </w:rPr>
        <w:t xml:space="preserve"> GREEN RESIDENT ASSOCIATION</w:t>
      </w:r>
    </w:p>
    <w:p w14:paraId="030D519B" w14:textId="53EC6CFC" w:rsidR="00467529" w:rsidRDefault="00467529" w:rsidP="004675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Action Points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From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Meeting </w:t>
      </w:r>
      <w:r w:rsidR="00575B2D">
        <w:rPr>
          <w:rFonts w:ascii="Calibri" w:hAnsi="Calibri" w:cs="Calibri"/>
          <w:b/>
          <w:bCs/>
          <w:sz w:val="24"/>
          <w:szCs w:val="24"/>
          <w:u w:val="single"/>
        </w:rPr>
        <w:t>28 August</w:t>
      </w:r>
      <w:r w:rsidR="000B0853">
        <w:rPr>
          <w:rFonts w:ascii="Calibri" w:hAnsi="Calibri" w:cs="Calibri"/>
          <w:b/>
          <w:bCs/>
          <w:sz w:val="24"/>
          <w:szCs w:val="24"/>
          <w:u w:val="single"/>
        </w:rPr>
        <w:t xml:space="preserve"> 2025</w:t>
      </w:r>
    </w:p>
    <w:p w14:paraId="3F43D26A" w14:textId="5001C5D7" w:rsidR="00467529" w:rsidRDefault="00467529" w:rsidP="004675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Held at: </w:t>
      </w:r>
      <w:proofErr w:type="spellStart"/>
      <w:r w:rsidR="00575B2D">
        <w:rPr>
          <w:rFonts w:ascii="Calibri" w:hAnsi="Calibri" w:cs="Calibri"/>
          <w:b/>
          <w:bCs/>
          <w:sz w:val="24"/>
          <w:szCs w:val="24"/>
          <w:u w:val="single"/>
        </w:rPr>
        <w:t>Delside</w:t>
      </w:r>
      <w:proofErr w:type="spellEnd"/>
      <w:r w:rsidR="00575B2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proofErr w:type="spellStart"/>
      <w:r w:rsidR="00575B2D">
        <w:rPr>
          <w:rFonts w:ascii="Calibri" w:hAnsi="Calibri" w:cs="Calibri"/>
          <w:b/>
          <w:bCs/>
          <w:sz w:val="24"/>
          <w:szCs w:val="24"/>
          <w:u w:val="single"/>
        </w:rPr>
        <w:t>Hilfield</w:t>
      </w:r>
      <w:proofErr w:type="spellEnd"/>
      <w:r w:rsidR="00575B2D">
        <w:rPr>
          <w:rFonts w:ascii="Calibri" w:hAnsi="Calibri" w:cs="Calibri"/>
          <w:b/>
          <w:bCs/>
          <w:sz w:val="24"/>
          <w:szCs w:val="24"/>
          <w:u w:val="single"/>
        </w:rPr>
        <w:t xml:space="preserve"> Lane</w:t>
      </w:r>
    </w:p>
    <w:p w14:paraId="5C1F9B18" w14:textId="1879852A" w:rsidR="00BE5326" w:rsidRDefault="00467529" w:rsidP="00467529">
      <w:pPr>
        <w:ind w:left="1560" w:hanging="15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Those Present: Malcolm </w:t>
      </w:r>
      <w:proofErr w:type="spellStart"/>
      <w:r>
        <w:rPr>
          <w:rFonts w:ascii="Calibri" w:hAnsi="Calibri" w:cs="Calibri"/>
          <w:sz w:val="24"/>
          <w:szCs w:val="24"/>
        </w:rPr>
        <w:t>Sevren</w:t>
      </w:r>
      <w:proofErr w:type="spellEnd"/>
      <w:r>
        <w:rPr>
          <w:rFonts w:ascii="Calibri" w:hAnsi="Calibri" w:cs="Calibri"/>
          <w:sz w:val="24"/>
          <w:szCs w:val="24"/>
        </w:rPr>
        <w:t xml:space="preserve"> (in the Chair), </w:t>
      </w:r>
      <w:r w:rsidR="006E6132">
        <w:rPr>
          <w:rFonts w:ascii="Calibri" w:hAnsi="Calibri" w:cs="Calibri"/>
          <w:sz w:val="24"/>
          <w:szCs w:val="24"/>
        </w:rPr>
        <w:t xml:space="preserve">Bonnie Shaw, David Baldwin, </w:t>
      </w:r>
      <w:r>
        <w:rPr>
          <w:rFonts w:ascii="Calibri" w:hAnsi="Calibri" w:cs="Calibri"/>
          <w:sz w:val="24"/>
          <w:szCs w:val="24"/>
        </w:rPr>
        <w:t>Cllr Carl Woolf, Jonath</w:t>
      </w:r>
      <w:r w:rsidR="00901DCC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 Morris,</w:t>
      </w:r>
      <w:r w:rsidR="006E6132">
        <w:rPr>
          <w:rFonts w:ascii="Calibri" w:hAnsi="Calibri" w:cs="Calibri"/>
          <w:sz w:val="24"/>
          <w:szCs w:val="24"/>
        </w:rPr>
        <w:t xml:space="preserve"> </w:t>
      </w:r>
      <w:r w:rsidR="00376806">
        <w:rPr>
          <w:rFonts w:ascii="Calibri" w:hAnsi="Calibri" w:cs="Calibri"/>
          <w:sz w:val="24"/>
          <w:szCs w:val="24"/>
        </w:rPr>
        <w:t xml:space="preserve">Julie Owen, </w:t>
      </w:r>
      <w:r w:rsidR="002C640E">
        <w:rPr>
          <w:rFonts w:ascii="Calibri" w:hAnsi="Calibri" w:cs="Calibri"/>
          <w:sz w:val="24"/>
          <w:szCs w:val="24"/>
        </w:rPr>
        <w:t xml:space="preserve">Marina Doyle, Michelle Hart, </w:t>
      </w:r>
      <w:r w:rsidR="006E6132">
        <w:rPr>
          <w:rFonts w:ascii="Calibri" w:hAnsi="Calibri" w:cs="Calibri"/>
          <w:sz w:val="24"/>
          <w:szCs w:val="24"/>
        </w:rPr>
        <w:t>Paul Kemble</w:t>
      </w:r>
      <w:r w:rsidR="002C640E">
        <w:rPr>
          <w:rFonts w:ascii="Calibri" w:hAnsi="Calibri" w:cs="Calibri"/>
          <w:sz w:val="24"/>
          <w:szCs w:val="24"/>
        </w:rPr>
        <w:t xml:space="preserve">, </w:t>
      </w:r>
      <w:r w:rsidR="00575B2D">
        <w:rPr>
          <w:rFonts w:ascii="Calibri" w:hAnsi="Calibri" w:cs="Calibri"/>
          <w:sz w:val="24"/>
          <w:szCs w:val="24"/>
        </w:rPr>
        <w:t>Simon Jacobs.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38"/>
        <w:gridCol w:w="655"/>
        <w:gridCol w:w="8179"/>
        <w:gridCol w:w="1177"/>
      </w:tblGrid>
      <w:tr w:rsidR="00F80F15" w:rsidRPr="00F80F15" w14:paraId="4244BBD9" w14:textId="77777777" w:rsidTr="00D50A70">
        <w:trPr>
          <w:tblHeader/>
        </w:trPr>
        <w:tc>
          <w:tcPr>
            <w:tcW w:w="993" w:type="dxa"/>
            <w:gridSpan w:val="2"/>
          </w:tcPr>
          <w:p w14:paraId="7D5BCE6C" w14:textId="49582A30" w:rsidR="00F80F15" w:rsidRPr="00F80F15" w:rsidRDefault="00F80F15" w:rsidP="00F80F1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179" w:type="dxa"/>
          </w:tcPr>
          <w:p w14:paraId="330EE59B" w14:textId="78B9721E" w:rsidR="00F80F15" w:rsidRPr="00F80F15" w:rsidRDefault="00F80F15" w:rsidP="00F80F1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77" w:type="dxa"/>
          </w:tcPr>
          <w:p w14:paraId="5D8B40E0" w14:textId="540C3B6F" w:rsidR="00F80F15" w:rsidRPr="00F80F15" w:rsidRDefault="00F80F15" w:rsidP="0046752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ACTION</w:t>
            </w:r>
          </w:p>
        </w:tc>
      </w:tr>
      <w:tr w:rsidR="00F80F15" w14:paraId="4521FB85" w14:textId="77777777" w:rsidTr="00D50A70">
        <w:tc>
          <w:tcPr>
            <w:tcW w:w="338" w:type="dxa"/>
          </w:tcPr>
          <w:p w14:paraId="61E751F1" w14:textId="7450F700" w:rsidR="00F80F15" w:rsidRDefault="00F80F15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30946329" w14:textId="77777777" w:rsidR="00F80F15" w:rsidRPr="00F80F15" w:rsidRDefault="00F80F15" w:rsidP="0046752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79" w:type="dxa"/>
          </w:tcPr>
          <w:p w14:paraId="023F69CA" w14:textId="646E0C18" w:rsidR="00F80F15" w:rsidRPr="00F80F15" w:rsidRDefault="006E6132" w:rsidP="003912CC">
            <w:pPr>
              <w:ind w:right="-137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Action Points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80F15"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Last Meeting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75B2D">
              <w:rPr>
                <w:rFonts w:ascii="Calibri" w:hAnsi="Calibri" w:cs="Calibri"/>
                <w:b/>
                <w:bCs/>
                <w:sz w:val="24"/>
                <w:szCs w:val="24"/>
              </w:rPr>
              <w:t>22 May 2025</w:t>
            </w:r>
          </w:p>
        </w:tc>
        <w:tc>
          <w:tcPr>
            <w:tcW w:w="1177" w:type="dxa"/>
          </w:tcPr>
          <w:p w14:paraId="55CA18B0" w14:textId="77777777" w:rsidR="00F80F15" w:rsidRDefault="00F80F15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0F15" w14:paraId="4FE34F75" w14:textId="77777777" w:rsidTr="00D50A70">
        <w:tc>
          <w:tcPr>
            <w:tcW w:w="338" w:type="dxa"/>
          </w:tcPr>
          <w:p w14:paraId="43BAF728" w14:textId="77777777" w:rsidR="00F80F15" w:rsidRDefault="00F80F15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4D4E4DA8" w14:textId="0099EA62" w:rsidR="00F80F15" w:rsidRDefault="00F80F15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8179" w:type="dxa"/>
          </w:tcPr>
          <w:p w14:paraId="76A88B33" w14:textId="11F4E6B6" w:rsidR="00F80F15" w:rsidRDefault="00457ED4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Minutes </w:t>
            </w:r>
            <w:r w:rsidR="007B71BB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f Last Meeting Approved.</w:t>
            </w:r>
          </w:p>
        </w:tc>
        <w:tc>
          <w:tcPr>
            <w:tcW w:w="1177" w:type="dxa"/>
          </w:tcPr>
          <w:p w14:paraId="3AF12348" w14:textId="021455FB" w:rsidR="00F80F15" w:rsidRDefault="00F91623" w:rsidP="00F916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</w:tr>
      <w:tr w:rsidR="00FB3192" w14:paraId="102290EF" w14:textId="77777777" w:rsidTr="00D50A70">
        <w:tc>
          <w:tcPr>
            <w:tcW w:w="338" w:type="dxa"/>
          </w:tcPr>
          <w:p w14:paraId="198B558A" w14:textId="35D660E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069A99DA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9" w:type="dxa"/>
          </w:tcPr>
          <w:p w14:paraId="115D5618" w14:textId="49E0F626" w:rsidR="00FB3192" w:rsidRPr="00FB3192" w:rsidRDefault="003912CC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APC Update</w:t>
            </w:r>
          </w:p>
        </w:tc>
        <w:tc>
          <w:tcPr>
            <w:tcW w:w="1177" w:type="dxa"/>
          </w:tcPr>
          <w:p w14:paraId="44BC8AB8" w14:textId="7C62E909" w:rsidR="00FB3192" w:rsidRDefault="00883136" w:rsidP="008831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CW</w:t>
            </w:r>
          </w:p>
        </w:tc>
      </w:tr>
      <w:tr w:rsidR="00FB3192" w14:paraId="102C71A4" w14:textId="77777777" w:rsidTr="00D50A70">
        <w:tc>
          <w:tcPr>
            <w:tcW w:w="338" w:type="dxa"/>
          </w:tcPr>
          <w:p w14:paraId="191EDD5E" w14:textId="7777777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2A19FFD" w14:textId="5FB41B69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</w:t>
            </w:r>
          </w:p>
        </w:tc>
        <w:tc>
          <w:tcPr>
            <w:tcW w:w="8179" w:type="dxa"/>
          </w:tcPr>
          <w:p w14:paraId="501F2FFF" w14:textId="31A236A1" w:rsidR="00FB3192" w:rsidRPr="00A50D71" w:rsidRDefault="009006FC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Fencing around the Green outside the Three Compasses</w:t>
            </w:r>
            <w:r w:rsidR="00DF5CEB">
              <w:rPr>
                <w:rFonts w:ascii="Calibri" w:hAnsi="Calibri" w:cs="Calibri"/>
                <w:sz w:val="24"/>
                <w:szCs w:val="24"/>
              </w:rPr>
              <w:t xml:space="preserve"> has been further damaged. Its restoration is on the “to do” list of </w:t>
            </w:r>
            <w:proofErr w:type="gramStart"/>
            <w:r w:rsidR="00DF5CEB">
              <w:rPr>
                <w:rFonts w:ascii="Calibri" w:hAnsi="Calibri" w:cs="Calibri"/>
                <w:sz w:val="24"/>
                <w:szCs w:val="24"/>
              </w:rPr>
              <w:t>APC</w:t>
            </w:r>
            <w:proofErr w:type="gramEnd"/>
            <w:r w:rsidR="00DF5CEB">
              <w:rPr>
                <w:rFonts w:ascii="Calibri" w:hAnsi="Calibri" w:cs="Calibri"/>
                <w:sz w:val="24"/>
                <w:szCs w:val="24"/>
              </w:rPr>
              <w:t>, but to repair like for like will be very expensive, and outside the scope of works that can be handled by the APC staff. A white picket fence would be cheaper and more likely to be within the APC budget.</w:t>
            </w:r>
            <w:r w:rsidR="00D50A70">
              <w:rPr>
                <w:rFonts w:ascii="Calibri" w:hAnsi="Calibri" w:cs="Calibri"/>
                <w:sz w:val="24"/>
                <w:szCs w:val="24"/>
              </w:rPr>
              <w:t xml:space="preserve"> To be reviewed in next meeting to determine as to what type of fencing we will be requesting</w:t>
            </w:r>
            <w:r w:rsidR="00501D4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14:paraId="6A1B664E" w14:textId="77777777" w:rsidR="003C22F9" w:rsidRDefault="003C22F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12A2462" w14:textId="77777777" w:rsidR="00D50A70" w:rsidRDefault="00D50A70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C023687" w14:textId="77777777" w:rsidR="00D50A70" w:rsidRDefault="00D50A70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69A92BB" w14:textId="77777777" w:rsidR="00D50A70" w:rsidRDefault="00D50A70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781231A" w14:textId="53B552E2" w:rsidR="00D50A70" w:rsidRDefault="00D50A70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</w:tr>
      <w:tr w:rsidR="00FB3192" w14:paraId="268B0464" w14:textId="77777777" w:rsidTr="00D50A70">
        <w:tc>
          <w:tcPr>
            <w:tcW w:w="338" w:type="dxa"/>
          </w:tcPr>
          <w:p w14:paraId="182CE65A" w14:textId="21AC9D3D" w:rsidR="00FB3192" w:rsidRDefault="008246C7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14:paraId="25A7E9A2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9" w:type="dxa"/>
          </w:tcPr>
          <w:p w14:paraId="0D8DD8ED" w14:textId="03F4D8D4" w:rsidR="008246C7" w:rsidRPr="008665C3" w:rsidRDefault="00575B2D" w:rsidP="008246C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BESS Application Update</w:t>
            </w:r>
          </w:p>
        </w:tc>
        <w:tc>
          <w:tcPr>
            <w:tcW w:w="1177" w:type="dxa"/>
          </w:tcPr>
          <w:p w14:paraId="15C7A17D" w14:textId="77777777" w:rsidR="00FB3192" w:rsidRDefault="00FB3192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192" w14:paraId="29FA51C3" w14:textId="77777777" w:rsidTr="00D50A70">
        <w:tc>
          <w:tcPr>
            <w:tcW w:w="338" w:type="dxa"/>
          </w:tcPr>
          <w:p w14:paraId="3E342AD9" w14:textId="7777777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70002D6" w14:textId="584AEADF" w:rsidR="00FB3192" w:rsidRDefault="008246C7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8179" w:type="dxa"/>
          </w:tcPr>
          <w:p w14:paraId="725C9B59" w14:textId="1F8410F0" w:rsidR="00DF5CEB" w:rsidRPr="002C640E" w:rsidRDefault="00D50A70" w:rsidP="003C22F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PENSO had already applied for pre-determination by the Secretary of State’s departments before the Hertsmere Planning Committee had themselves adjudicated on their application. </w:t>
            </w:r>
          </w:p>
        </w:tc>
        <w:tc>
          <w:tcPr>
            <w:tcW w:w="1177" w:type="dxa"/>
          </w:tcPr>
          <w:p w14:paraId="65C0A156" w14:textId="7754C5DA" w:rsidR="00C045EA" w:rsidRDefault="00C045EA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22F9" w14:paraId="2778FE38" w14:textId="77777777" w:rsidTr="00D50A70">
        <w:tc>
          <w:tcPr>
            <w:tcW w:w="338" w:type="dxa"/>
          </w:tcPr>
          <w:p w14:paraId="50A8C3FB" w14:textId="77777777" w:rsidR="003C22F9" w:rsidRDefault="003C22F9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7573646C" w14:textId="6C75CC61" w:rsidR="003C22F9" w:rsidRDefault="003C22F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8179" w:type="dxa"/>
          </w:tcPr>
          <w:p w14:paraId="66E0872E" w14:textId="4DEE6B33" w:rsidR="002C640E" w:rsidRPr="002C640E" w:rsidRDefault="00D50A70" w:rsidP="002C640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 have until 10 September to submit a written comment to the Planning Inspector who will be reviewing all the documentation with regard to this application and adjudicate.</w:t>
            </w:r>
          </w:p>
        </w:tc>
        <w:tc>
          <w:tcPr>
            <w:tcW w:w="1177" w:type="dxa"/>
          </w:tcPr>
          <w:p w14:paraId="4EAEEAF8" w14:textId="12D83654" w:rsidR="00C12113" w:rsidRDefault="00C12113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640E" w14:paraId="6E0E7D04" w14:textId="77777777" w:rsidTr="00D50A70">
        <w:tc>
          <w:tcPr>
            <w:tcW w:w="338" w:type="dxa"/>
          </w:tcPr>
          <w:p w14:paraId="6DA959B5" w14:textId="77777777" w:rsidR="002C640E" w:rsidRDefault="002C640E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14E36201" w14:textId="0126424A" w:rsidR="002C640E" w:rsidRDefault="002C640E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</w:t>
            </w:r>
          </w:p>
        </w:tc>
        <w:tc>
          <w:tcPr>
            <w:tcW w:w="8179" w:type="dxa"/>
          </w:tcPr>
          <w:p w14:paraId="72336D8B" w14:textId="74D8BC48" w:rsidR="002C640E" w:rsidRPr="002C640E" w:rsidRDefault="00D50A70" w:rsidP="003C22F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MBS will draft a suggested submission to the Inspector to the committee for comments before submitting</w:t>
            </w:r>
          </w:p>
        </w:tc>
        <w:tc>
          <w:tcPr>
            <w:tcW w:w="1177" w:type="dxa"/>
          </w:tcPr>
          <w:p w14:paraId="39FE5BA4" w14:textId="0EAFB10D" w:rsidR="002C640E" w:rsidRDefault="00D50A70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Malcolm</w:t>
            </w:r>
          </w:p>
        </w:tc>
      </w:tr>
      <w:tr w:rsidR="00A96742" w14:paraId="5BC832EE" w14:textId="77777777" w:rsidTr="00D50A70">
        <w:tc>
          <w:tcPr>
            <w:tcW w:w="338" w:type="dxa"/>
          </w:tcPr>
          <w:p w14:paraId="3F33A523" w14:textId="7B35F21B" w:rsidR="00A96742" w:rsidRDefault="000B085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3B530668" w14:textId="77777777" w:rsidR="00A96742" w:rsidRDefault="00A9674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9" w:type="dxa"/>
          </w:tcPr>
          <w:p w14:paraId="7B29A3B0" w14:textId="794C0126" w:rsidR="00A96742" w:rsidRPr="00211D33" w:rsidRDefault="00575B2D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Manor Festival Fiasco Saturday Night 16 August 2025</w:t>
            </w:r>
          </w:p>
        </w:tc>
        <w:tc>
          <w:tcPr>
            <w:tcW w:w="1177" w:type="dxa"/>
          </w:tcPr>
          <w:p w14:paraId="077983F6" w14:textId="77777777" w:rsidR="00A96742" w:rsidRDefault="00A96742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742" w14:paraId="0749CFAD" w14:textId="77777777" w:rsidTr="00D50A70">
        <w:tc>
          <w:tcPr>
            <w:tcW w:w="338" w:type="dxa"/>
          </w:tcPr>
          <w:p w14:paraId="5319DE0B" w14:textId="77777777" w:rsidR="00A96742" w:rsidRDefault="00A9674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2682863" w14:textId="6292E9FD" w:rsidR="000B0853" w:rsidRDefault="000B0853" w:rsidP="00F9162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8179" w:type="dxa"/>
          </w:tcPr>
          <w:p w14:paraId="10E21005" w14:textId="77F00AEB" w:rsidR="007442E8" w:rsidRPr="00E70932" w:rsidRDefault="00D50A70" w:rsidP="000B0853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50A70">
              <w:rPr>
                <w:rFonts w:ascii="Calibri" w:hAnsi="Calibri" w:cs="Calibri"/>
                <w:sz w:val="24"/>
                <w:szCs w:val="24"/>
              </w:rPr>
              <w:t>W</w:t>
            </w:r>
            <w:r w:rsidR="00501D4C">
              <w:rPr>
                <w:rFonts w:ascii="Calibri" w:hAnsi="Calibri" w:cs="Calibri"/>
                <w:sz w:val="24"/>
                <w:szCs w:val="24"/>
              </w:rPr>
              <w:t>e</w:t>
            </w:r>
            <w:r w:rsidRPr="00D50A70">
              <w:rPr>
                <w:rFonts w:ascii="Calibri" w:hAnsi="Calibri" w:cs="Calibri"/>
                <w:sz w:val="24"/>
                <w:szCs w:val="24"/>
              </w:rPr>
              <w:t xml:space="preserve"> will again try and </w:t>
            </w:r>
            <w:r>
              <w:rPr>
                <w:rFonts w:ascii="Calibri" w:hAnsi="Calibri" w:cs="Calibri"/>
                <w:sz w:val="24"/>
                <w:szCs w:val="24"/>
              </w:rPr>
              <w:t>re</w:t>
            </w:r>
            <w:r w:rsidRPr="00D50A70">
              <w:rPr>
                <w:rFonts w:ascii="Calibri" w:hAnsi="Calibri" w:cs="Calibri"/>
                <w:sz w:val="24"/>
                <w:szCs w:val="24"/>
              </w:rPr>
              <w:t xml:space="preserve">ach out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to the Manor to try and discuss future arrangements for the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Festival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14:paraId="4B8D502E" w14:textId="6F2040D7" w:rsidR="007442E8" w:rsidRDefault="00D50A70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 as APC/ Malcolm</w:t>
            </w:r>
          </w:p>
        </w:tc>
      </w:tr>
      <w:tr w:rsidR="00060DA6" w14:paraId="73959959" w14:textId="77777777" w:rsidTr="00D50A70">
        <w:tc>
          <w:tcPr>
            <w:tcW w:w="338" w:type="dxa"/>
          </w:tcPr>
          <w:p w14:paraId="44F5E463" w14:textId="77777777" w:rsidR="00060DA6" w:rsidRDefault="00060DA6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84781DC" w14:textId="5453F990" w:rsidR="00060DA6" w:rsidRDefault="000B085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</w:t>
            </w:r>
          </w:p>
        </w:tc>
        <w:tc>
          <w:tcPr>
            <w:tcW w:w="8179" w:type="dxa"/>
          </w:tcPr>
          <w:p w14:paraId="3CABCA89" w14:textId="6A2EF380" w:rsidR="00C07965" w:rsidRDefault="00D50A70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Failing any joy, a formal complaint will be lodged with Hertsmere, requiring future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activities</w:t>
            </w:r>
            <w:r w:rsidR="00207C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  <w:p w14:paraId="5A333AF7" w14:textId="77777777" w:rsidR="00207C82" w:rsidRDefault="00207C82" w:rsidP="00207C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have a strict cut off time, certainly by the legal limit of 11pm, preferably at 10pm.</w:t>
            </w:r>
          </w:p>
          <w:p w14:paraId="16B5FBB4" w14:textId="0E32C52D" w:rsidR="00D50A70" w:rsidRDefault="00207C82" w:rsidP="00207C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That road blocks to the Lanes must be in force until all visitors have left – and those at Round Bush to be on the junction of the B</w:t>
            </w:r>
            <w:r w:rsidR="00C260A1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62. </w:t>
            </w:r>
          </w:p>
          <w:p w14:paraId="2EB3F073" w14:textId="77777777" w:rsidR="00207C82" w:rsidRDefault="00207C82" w:rsidP="00207C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Visitor passes to be limited to a manageable number per hour for the traffic seeking to access the Manor.</w:t>
            </w:r>
          </w:p>
          <w:p w14:paraId="0E66D4CE" w14:textId="77777777" w:rsidR="00207C82" w:rsidRDefault="00207C82" w:rsidP="00207C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Local businesses to be compensated for loss of business.</w:t>
            </w:r>
          </w:p>
          <w:p w14:paraId="73112452" w14:textId="77777777" w:rsidR="00207C82" w:rsidRDefault="00207C82" w:rsidP="00207C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Hertsmere to review other local public events wishing to take place on that week end – for example Watford FC should not have home games on that Saturday nor Sunday.</w:t>
            </w:r>
          </w:p>
          <w:p w14:paraId="5A4D8ADE" w14:textId="0EB4FCDF" w:rsidR="00207C82" w:rsidRPr="00207C82" w:rsidRDefault="00207C82" w:rsidP="00207C82">
            <w:pPr>
              <w:pStyle w:val="ListParagraph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7" w:type="dxa"/>
          </w:tcPr>
          <w:p w14:paraId="6BD55E75" w14:textId="3E9FC5BB" w:rsidR="008E6A59" w:rsidRDefault="008E6A59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5B2D" w14:paraId="06D86D3A" w14:textId="77777777" w:rsidTr="00D50A70">
        <w:tc>
          <w:tcPr>
            <w:tcW w:w="338" w:type="dxa"/>
          </w:tcPr>
          <w:p w14:paraId="72033DE9" w14:textId="37E305E7" w:rsidR="00575B2D" w:rsidRDefault="00575B2D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14:paraId="016B0E4E" w14:textId="77777777" w:rsidR="00575B2D" w:rsidRDefault="00575B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9" w:type="dxa"/>
          </w:tcPr>
          <w:p w14:paraId="03108727" w14:textId="736226C0" w:rsidR="00575B2D" w:rsidRPr="00575B2D" w:rsidRDefault="00575B2D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David Baldwin</w:t>
            </w:r>
            <w:r w:rsidR="00501D4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Raised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1177" w:type="dxa"/>
          </w:tcPr>
          <w:p w14:paraId="2C1D9B38" w14:textId="77777777" w:rsidR="00575B2D" w:rsidRDefault="00575B2D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EA2" w14:paraId="758CC87E" w14:textId="77777777" w:rsidTr="00D50A70">
        <w:tc>
          <w:tcPr>
            <w:tcW w:w="338" w:type="dxa"/>
          </w:tcPr>
          <w:p w14:paraId="641A0D39" w14:textId="77777777" w:rsidR="00187EA2" w:rsidRDefault="00187EA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67A2CC1" w14:textId="3B313984" w:rsidR="00187EA2" w:rsidRDefault="00575B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</w:t>
            </w:r>
          </w:p>
        </w:tc>
        <w:tc>
          <w:tcPr>
            <w:tcW w:w="8179" w:type="dxa"/>
          </w:tcPr>
          <w:p w14:paraId="1B74447D" w14:textId="77777777" w:rsidR="00575B2D" w:rsidRDefault="00575B2D" w:rsidP="00F9162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5B2D">
              <w:rPr>
                <w:rFonts w:ascii="Calibri" w:hAnsi="Calibri" w:cs="Calibri"/>
                <w:b/>
                <w:bCs/>
                <w:sz w:val="24"/>
                <w:szCs w:val="24"/>
              </w:rPr>
              <w:t>Bonfire/</w:t>
            </w:r>
            <w:proofErr w:type="gramStart"/>
            <w:r w:rsidRPr="00575B2D">
              <w:rPr>
                <w:rFonts w:ascii="Calibri" w:hAnsi="Calibri" w:cs="Calibri"/>
                <w:b/>
                <w:bCs/>
                <w:sz w:val="24"/>
                <w:szCs w:val="24"/>
              </w:rPr>
              <w:t>Fireworks ;</w:t>
            </w:r>
            <w:proofErr w:type="gramEnd"/>
            <w:r w:rsidRPr="00575B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Xmas Tree/Lighting</w:t>
            </w:r>
          </w:p>
          <w:p w14:paraId="2F7997A3" w14:textId="77777777" w:rsidR="00F91623" w:rsidRDefault="00BC41B2" w:rsidP="00F9162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 need to determine who owns the land and who has control over it? Do we need permission?</w:t>
            </w:r>
          </w:p>
          <w:p w14:paraId="39D3ECAF" w14:textId="77777777" w:rsidR="00207C82" w:rsidRDefault="00207C82" w:rsidP="00F9162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We have received formal notification from APC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regarding 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  <w:p w14:paraId="2350A63B" w14:textId="77777777" w:rsidR="00207C82" w:rsidRDefault="00207C82" w:rsidP="00207C8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Having fireworks and a bonfire</w:t>
            </w:r>
            <w:r w:rsidR="002C4A7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within the legal perimeter from houses/buildings prohibitin</w:t>
            </w:r>
            <w:r w:rsidR="002C4A79">
              <w:rPr>
                <w:rFonts w:ascii="Calibri" w:hAnsi="Calibri" w:cs="Calibri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 such activities</w:t>
            </w:r>
            <w:r w:rsidR="002C4A79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B0BAE64" w14:textId="77777777" w:rsidR="002C4A79" w:rsidRDefault="002C4A79" w:rsidP="00207C8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Having public liability </w:t>
            </w:r>
            <w:r w:rsidR="00A92704">
              <w:rPr>
                <w:rFonts w:ascii="Calibri" w:hAnsi="Calibri" w:cs="Calibri"/>
                <w:sz w:val="24"/>
                <w:szCs w:val="24"/>
              </w:rPr>
              <w:t>insurance for both events.</w:t>
            </w:r>
          </w:p>
          <w:p w14:paraId="3AC2E892" w14:textId="77777777" w:rsidR="00A92704" w:rsidRDefault="00A92704" w:rsidP="00207C8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Having a permanent “tree fixing” unit in the ground.</w:t>
            </w:r>
          </w:p>
          <w:p w14:paraId="0E0F15E4" w14:textId="451808CA" w:rsidR="00A92704" w:rsidRDefault="00A92704" w:rsidP="00A9270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MBS to speak with James and Brian</w:t>
            </w:r>
            <w:r w:rsidR="00B50C27">
              <w:rPr>
                <w:rFonts w:ascii="Calibri" w:hAnsi="Calibri" w:cs="Calibri"/>
                <w:sz w:val="24"/>
                <w:szCs w:val="24"/>
              </w:rPr>
              <w:t>. No solution will have any endorsement from PGRA</w:t>
            </w:r>
          </w:p>
          <w:p w14:paraId="34539E9D" w14:textId="12C7142D" w:rsidR="00B50C27" w:rsidRDefault="00B50C27" w:rsidP="00A9270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If a fully compliant resolution can’t be found, </w:t>
            </w:r>
            <w:r w:rsidR="00501D4C">
              <w:rPr>
                <w:rFonts w:ascii="Calibri" w:hAnsi="Calibri" w:cs="Calibri"/>
                <w:sz w:val="24"/>
                <w:szCs w:val="24"/>
              </w:rPr>
              <w:t xml:space="preserve">and Brian and James agree to continue with these activities, </w:t>
            </w:r>
            <w:r>
              <w:rPr>
                <w:rFonts w:ascii="Calibri" w:hAnsi="Calibri" w:cs="Calibri"/>
                <w:sz w:val="24"/>
                <w:szCs w:val="24"/>
              </w:rPr>
              <w:t>then the Committee will be consulted as to whether PGRA should advise that attendees to any firework event do so at their own risk.</w:t>
            </w:r>
          </w:p>
          <w:p w14:paraId="2813DB48" w14:textId="65983580" w:rsidR="00B50C27" w:rsidRPr="00A92704" w:rsidRDefault="00B50C27" w:rsidP="00A9270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If the Xmas tree is funded by resident contributions, do such residents also become liable in the event of any accident/damage?</w:t>
            </w:r>
          </w:p>
        </w:tc>
        <w:tc>
          <w:tcPr>
            <w:tcW w:w="1177" w:type="dxa"/>
          </w:tcPr>
          <w:p w14:paraId="7A26BFA5" w14:textId="77777777" w:rsidR="00DF4870" w:rsidRDefault="00DF4870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1748F58" w14:textId="77777777" w:rsidR="00207C82" w:rsidRDefault="00207C82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7CD58CE" w14:textId="77777777" w:rsidR="00BC41B2" w:rsidRDefault="00BC41B2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</w:t>
            </w:r>
          </w:p>
          <w:p w14:paraId="05FE5764" w14:textId="77777777" w:rsidR="00B50C27" w:rsidRDefault="00B50C27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3BFD6E7" w14:textId="77777777" w:rsidR="00B50C27" w:rsidRDefault="00B50C27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75DFACE" w14:textId="77777777" w:rsidR="00B50C27" w:rsidRDefault="00B50C27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75504C9" w14:textId="77777777" w:rsidR="00B50C27" w:rsidRDefault="00B50C27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F5EC24A" w14:textId="77777777" w:rsidR="00B50C27" w:rsidRDefault="00B50C27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7E612F2" w14:textId="77777777" w:rsidR="00B50C27" w:rsidRDefault="00B50C27" w:rsidP="00B50C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EA6492" w14:textId="77777777" w:rsidR="00B50C27" w:rsidRDefault="00B50C27" w:rsidP="00B50C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Malcolm</w:t>
            </w:r>
          </w:p>
          <w:p w14:paraId="077A37E6" w14:textId="77777777" w:rsidR="00B50C27" w:rsidRDefault="00B50C27" w:rsidP="00B50C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BE8E21" w14:textId="77777777" w:rsidR="00B50C27" w:rsidRDefault="00B50C27" w:rsidP="00B50C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BB5E6F" w14:textId="77777777" w:rsidR="00B50C27" w:rsidRDefault="00B50C27" w:rsidP="00B50C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E6AF9E" w14:textId="77777777" w:rsidR="00B50C27" w:rsidRDefault="00B50C27" w:rsidP="00B50C2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D0139A" w14:textId="1430099D" w:rsidR="00B50C27" w:rsidRDefault="00B50C27" w:rsidP="00B50C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</w:t>
            </w:r>
          </w:p>
        </w:tc>
      </w:tr>
      <w:tr w:rsidR="005B2DB1" w14:paraId="10F712B5" w14:textId="77777777" w:rsidTr="00D50A70">
        <w:tc>
          <w:tcPr>
            <w:tcW w:w="338" w:type="dxa"/>
          </w:tcPr>
          <w:p w14:paraId="14A86341" w14:textId="77777777" w:rsidR="005B2DB1" w:rsidRDefault="005B2DB1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1AF45EBA" w14:textId="6ADDC4A1" w:rsidR="005B2DB1" w:rsidRDefault="00575B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5.2</w:t>
            </w:r>
          </w:p>
        </w:tc>
        <w:tc>
          <w:tcPr>
            <w:tcW w:w="8179" w:type="dxa"/>
          </w:tcPr>
          <w:p w14:paraId="4A980BD3" w14:textId="77777777" w:rsidR="00575B2D" w:rsidRDefault="00575B2D" w:rsidP="00F9162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5B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Yellow Lines </w:t>
            </w:r>
            <w:proofErr w:type="gramStart"/>
            <w:r w:rsidRPr="00575B2D">
              <w:rPr>
                <w:rFonts w:ascii="Calibri" w:hAnsi="Calibri" w:cs="Calibri"/>
                <w:b/>
                <w:bCs/>
                <w:sz w:val="24"/>
                <w:szCs w:val="24"/>
              </w:rPr>
              <w:t>At</w:t>
            </w:r>
            <w:proofErr w:type="gramEnd"/>
            <w:r w:rsidRPr="00575B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Junction </w:t>
            </w:r>
            <w:proofErr w:type="spellStart"/>
            <w:r w:rsidRPr="00575B2D">
              <w:rPr>
                <w:rFonts w:ascii="Calibri" w:hAnsi="Calibri" w:cs="Calibri"/>
                <w:b/>
                <w:bCs/>
                <w:sz w:val="24"/>
                <w:szCs w:val="24"/>
              </w:rPr>
              <w:t>Hilfield</w:t>
            </w:r>
            <w:proofErr w:type="spellEnd"/>
            <w:r w:rsidRPr="00575B2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Lane/B562</w:t>
            </w:r>
          </w:p>
          <w:p w14:paraId="2BE2BC32" w14:textId="56D4EB71" w:rsidR="00F91623" w:rsidRPr="00575B2D" w:rsidRDefault="00375D16" w:rsidP="00F9162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to be pursued.</w:t>
            </w:r>
          </w:p>
        </w:tc>
        <w:tc>
          <w:tcPr>
            <w:tcW w:w="1177" w:type="dxa"/>
          </w:tcPr>
          <w:p w14:paraId="345A8D9A" w14:textId="387A6B52" w:rsidR="00AB7378" w:rsidRDefault="00AB7378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7378" w14:paraId="767C9F5E" w14:textId="77777777" w:rsidTr="00D50A70">
        <w:tc>
          <w:tcPr>
            <w:tcW w:w="338" w:type="dxa"/>
          </w:tcPr>
          <w:p w14:paraId="205B7ECA" w14:textId="77777777" w:rsidR="00AB7378" w:rsidRDefault="00AB7378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711BC274" w14:textId="38C60FE9" w:rsidR="00AB7378" w:rsidRDefault="00575B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5.3</w:t>
            </w:r>
          </w:p>
        </w:tc>
        <w:tc>
          <w:tcPr>
            <w:tcW w:w="8179" w:type="dxa"/>
          </w:tcPr>
          <w:p w14:paraId="4D553801" w14:textId="77777777" w:rsidR="00575B2D" w:rsidRDefault="00575B2D" w:rsidP="00F9162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75B2D">
              <w:rPr>
                <w:rFonts w:ascii="Calibri" w:hAnsi="Calibri" w:cs="Calibri"/>
                <w:b/>
                <w:bCs/>
              </w:rPr>
              <w:t>Imposing Weight Limit on B462</w:t>
            </w:r>
            <w:r>
              <w:rPr>
                <w:rFonts w:ascii="Calibri" w:hAnsi="Calibri" w:cs="Calibri"/>
                <w:b/>
                <w:bCs/>
              </w:rPr>
              <w:t>/Expansion of Aldenham Golf Club</w:t>
            </w:r>
          </w:p>
          <w:p w14:paraId="22F4E0BE" w14:textId="016BD2B4" w:rsidR="00F91623" w:rsidRDefault="003E22AC" w:rsidP="00F9162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Highways need to be contact</w:t>
            </w:r>
            <w:r w:rsidR="00B50C27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d.</w:t>
            </w:r>
            <w:r w:rsidR="00B50C27">
              <w:rPr>
                <w:rFonts w:ascii="Calibri" w:hAnsi="Calibri" w:cs="Calibri"/>
              </w:rPr>
              <w:t xml:space="preserve"> Especially if trucks deliver </w:t>
            </w:r>
            <w:r w:rsidR="00501D4C">
              <w:rPr>
                <w:rFonts w:ascii="Calibri" w:hAnsi="Calibri" w:cs="Calibri"/>
              </w:rPr>
              <w:t xml:space="preserve">materials for </w:t>
            </w:r>
            <w:r w:rsidR="00B50C27">
              <w:rPr>
                <w:rFonts w:ascii="Calibri" w:hAnsi="Calibri" w:cs="Calibri"/>
              </w:rPr>
              <w:t xml:space="preserve">the proposed new </w:t>
            </w:r>
            <w:r w:rsidR="00501D4C">
              <w:rPr>
                <w:rFonts w:ascii="Calibri" w:hAnsi="Calibri" w:cs="Calibri"/>
              </w:rPr>
              <w:t>work</w:t>
            </w:r>
            <w:r w:rsidR="00B50C27">
              <w:rPr>
                <w:rFonts w:ascii="Calibri" w:hAnsi="Calibri" w:cs="Calibri"/>
              </w:rPr>
              <w:t xml:space="preserve"> for Aldenham golf course.</w:t>
            </w:r>
          </w:p>
          <w:p w14:paraId="50FFC963" w14:textId="4A8E4305" w:rsidR="003E22AC" w:rsidRPr="00F91623" w:rsidRDefault="003E22AC" w:rsidP="00F9162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Carl will circulate the APC planning officer to advise when an application is made.</w:t>
            </w:r>
          </w:p>
        </w:tc>
        <w:tc>
          <w:tcPr>
            <w:tcW w:w="1177" w:type="dxa"/>
          </w:tcPr>
          <w:p w14:paraId="3987CF53" w14:textId="77777777" w:rsidR="00AB7378" w:rsidRDefault="00AB7378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033E44F" w14:textId="77777777" w:rsidR="003E22AC" w:rsidRDefault="003E22AC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David</w:t>
            </w:r>
          </w:p>
          <w:p w14:paraId="4366C216" w14:textId="77777777" w:rsidR="00501D4C" w:rsidRDefault="00501D4C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FDDAE82" w14:textId="207F016F" w:rsidR="003E22AC" w:rsidRDefault="003E22AC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</w:t>
            </w:r>
          </w:p>
        </w:tc>
      </w:tr>
      <w:tr w:rsidR="00575B2D" w14:paraId="5D13B7B2" w14:textId="77777777" w:rsidTr="00D50A70">
        <w:tc>
          <w:tcPr>
            <w:tcW w:w="338" w:type="dxa"/>
          </w:tcPr>
          <w:p w14:paraId="3B29D12E" w14:textId="77777777" w:rsidR="00575B2D" w:rsidRDefault="00575B2D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4E4AAF5F" w14:textId="7DE3A0E4" w:rsidR="00575B2D" w:rsidRDefault="00575B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5.4</w:t>
            </w:r>
          </w:p>
        </w:tc>
        <w:tc>
          <w:tcPr>
            <w:tcW w:w="8179" w:type="dxa"/>
          </w:tcPr>
          <w:p w14:paraId="68B305AB" w14:textId="77777777" w:rsidR="00575B2D" w:rsidRDefault="00575B2D" w:rsidP="00F9162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48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Hilfield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Lane State of Repair</w:t>
            </w:r>
          </w:p>
          <w:p w14:paraId="2236AB4D" w14:textId="0AC13C47" w:rsidR="00F91623" w:rsidRPr="00F91623" w:rsidRDefault="003E22AC" w:rsidP="00F9162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further updates have been received. David’s neighbour contacted Hertsmere Council. David will await their response and follow up if and as necessary.</w:t>
            </w:r>
          </w:p>
        </w:tc>
        <w:tc>
          <w:tcPr>
            <w:tcW w:w="1177" w:type="dxa"/>
          </w:tcPr>
          <w:p w14:paraId="049C3809" w14:textId="77777777" w:rsidR="00575B2D" w:rsidRDefault="00575B2D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FB89452" w14:textId="77777777" w:rsidR="003E22AC" w:rsidRDefault="003E22AC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6567002" w14:textId="68507CAB" w:rsidR="003E22AC" w:rsidRDefault="003E22AC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David</w:t>
            </w:r>
          </w:p>
        </w:tc>
      </w:tr>
      <w:tr w:rsidR="00575B2D" w14:paraId="6097DF11" w14:textId="77777777" w:rsidTr="00D50A70">
        <w:tc>
          <w:tcPr>
            <w:tcW w:w="338" w:type="dxa"/>
          </w:tcPr>
          <w:p w14:paraId="3A4A67EB" w14:textId="77777777" w:rsidR="00575B2D" w:rsidRDefault="00575B2D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38166EE" w14:textId="0D6CDDA8" w:rsidR="00575B2D" w:rsidRDefault="00575B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5.5</w:t>
            </w:r>
          </w:p>
        </w:tc>
        <w:tc>
          <w:tcPr>
            <w:tcW w:w="8179" w:type="dxa"/>
          </w:tcPr>
          <w:p w14:paraId="5BE59337" w14:textId="77777777" w:rsidR="00575B2D" w:rsidRDefault="00575B2D" w:rsidP="00F9162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Pot Holes/Fencing Along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Hilfield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Lane</w:t>
            </w:r>
          </w:p>
          <w:p w14:paraId="42A35DFE" w14:textId="77777777" w:rsidR="00F91623" w:rsidRDefault="00E014B7" w:rsidP="00F9162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Hertsmere contacted David to confirm that this pothole does not meet the criteria for repair.</w:t>
            </w:r>
          </w:p>
          <w:p w14:paraId="26569A05" w14:textId="1B49655D" w:rsidR="00382CAC" w:rsidRPr="00F91623" w:rsidRDefault="00382CAC" w:rsidP="00B50C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Another objection about the Stables End pothole to be lodged on behalf of PGRA.</w:t>
            </w:r>
          </w:p>
        </w:tc>
        <w:tc>
          <w:tcPr>
            <w:tcW w:w="1177" w:type="dxa"/>
          </w:tcPr>
          <w:p w14:paraId="463DEA2F" w14:textId="77777777" w:rsidR="00575B2D" w:rsidRDefault="00575B2D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852A8A9" w14:textId="77777777" w:rsidR="00382CAC" w:rsidRDefault="00382CAC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B72FABE" w14:textId="77777777" w:rsidR="00382CAC" w:rsidRDefault="00382CAC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35F7852" w14:textId="14502D81" w:rsidR="00382CAC" w:rsidRDefault="00382CAC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Malcolm</w:t>
            </w:r>
          </w:p>
        </w:tc>
      </w:tr>
      <w:tr w:rsidR="00575B2D" w14:paraId="2DDD19C1" w14:textId="77777777" w:rsidTr="00D50A70">
        <w:tc>
          <w:tcPr>
            <w:tcW w:w="338" w:type="dxa"/>
          </w:tcPr>
          <w:p w14:paraId="44FF9E07" w14:textId="77777777" w:rsidR="00575B2D" w:rsidRDefault="00575B2D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1D5E584C" w14:textId="60E5765F" w:rsidR="00575B2D" w:rsidRDefault="00575B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5.6</w:t>
            </w:r>
          </w:p>
        </w:tc>
        <w:tc>
          <w:tcPr>
            <w:tcW w:w="8179" w:type="dxa"/>
          </w:tcPr>
          <w:p w14:paraId="412A8BBD" w14:textId="77777777" w:rsidR="00575B2D" w:rsidRDefault="00575B2D" w:rsidP="00FB3192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Bin Complaints – Has Anyone Been Affected?</w:t>
            </w:r>
          </w:p>
          <w:p w14:paraId="476E28B6" w14:textId="664215AC" w:rsidR="00F91623" w:rsidRPr="00F91623" w:rsidRDefault="00382CAC" w:rsidP="00FB319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However frustrating, </w:t>
            </w:r>
            <w:proofErr w:type="gramStart"/>
            <w:r>
              <w:rPr>
                <w:rFonts w:ascii="Calibri" w:hAnsi="Calibri" w:cs="Calibri"/>
              </w:rPr>
              <w:t>It’s</w:t>
            </w:r>
            <w:proofErr w:type="gramEnd"/>
            <w:r>
              <w:rPr>
                <w:rFonts w:ascii="Calibri" w:hAnsi="Calibri" w:cs="Calibri"/>
              </w:rPr>
              <w:t xml:space="preserve"> hard to complain about bins not being emptied if </w:t>
            </w:r>
            <w:r w:rsidR="00B50C27">
              <w:rPr>
                <w:rFonts w:ascii="Calibri" w:hAnsi="Calibri" w:cs="Calibri"/>
              </w:rPr>
              <w:t>banned</w:t>
            </w:r>
            <w:r>
              <w:rPr>
                <w:rFonts w:ascii="Calibri" w:hAnsi="Calibri" w:cs="Calibri"/>
              </w:rPr>
              <w:t xml:space="preserve"> </w:t>
            </w:r>
            <w:r w:rsidR="008F10EB">
              <w:rPr>
                <w:rFonts w:ascii="Calibri" w:hAnsi="Calibri" w:cs="Calibri"/>
              </w:rPr>
              <w:t>material is inserted in the bin</w:t>
            </w:r>
          </w:p>
        </w:tc>
        <w:tc>
          <w:tcPr>
            <w:tcW w:w="1177" w:type="dxa"/>
          </w:tcPr>
          <w:p w14:paraId="681CA46F" w14:textId="77777777" w:rsidR="00575B2D" w:rsidRDefault="00575B2D" w:rsidP="00D50A7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5B2D" w14:paraId="2F54511B" w14:textId="77777777" w:rsidTr="00D50A70">
        <w:tc>
          <w:tcPr>
            <w:tcW w:w="338" w:type="dxa"/>
          </w:tcPr>
          <w:p w14:paraId="46DB8B13" w14:textId="50B83BDE" w:rsidR="00575B2D" w:rsidRDefault="00575B2D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14:paraId="6F7324C7" w14:textId="77777777" w:rsidR="00575B2D" w:rsidRDefault="00575B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9" w:type="dxa"/>
          </w:tcPr>
          <w:p w14:paraId="2F56CE12" w14:textId="295C46A6" w:rsidR="00B50C27" w:rsidRPr="00B50C27" w:rsidRDefault="00575B2D" w:rsidP="00F9162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A.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O.B</w:t>
            </w:r>
            <w:proofErr w:type="gramEnd"/>
          </w:p>
        </w:tc>
        <w:tc>
          <w:tcPr>
            <w:tcW w:w="1177" w:type="dxa"/>
          </w:tcPr>
          <w:p w14:paraId="302C520C" w14:textId="18BF4944" w:rsidR="008F10EB" w:rsidRDefault="008F10EB" w:rsidP="006866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68D" w14:paraId="3CCDB377" w14:textId="77777777" w:rsidTr="00D50A70">
        <w:tc>
          <w:tcPr>
            <w:tcW w:w="338" w:type="dxa"/>
          </w:tcPr>
          <w:p w14:paraId="609A0D0A" w14:textId="77777777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10F32582" w14:textId="67500660" w:rsidR="0068668D" w:rsidRDefault="0068668D" w:rsidP="006866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6.1</w:t>
            </w:r>
          </w:p>
        </w:tc>
        <w:tc>
          <w:tcPr>
            <w:tcW w:w="8179" w:type="dxa"/>
          </w:tcPr>
          <w:p w14:paraId="7D790580" w14:textId="3994E65B" w:rsidR="0068668D" w:rsidRPr="008F10EB" w:rsidRDefault="0068668D" w:rsidP="0068668D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F10EB">
              <w:rPr>
                <w:rFonts w:ascii="Calibri" w:hAnsi="Calibri" w:cs="Calibri"/>
                <w:b/>
                <w:bCs/>
              </w:rPr>
              <w:t>Illegal Cars.</w:t>
            </w:r>
          </w:p>
          <w:p w14:paraId="26D4EE05" w14:textId="77777777" w:rsidR="0068668D" w:rsidRDefault="0068668D" w:rsidP="0068668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David will write to the Council about the untaxed cars illegally parked on </w:t>
            </w:r>
            <w:proofErr w:type="spellStart"/>
            <w:r>
              <w:rPr>
                <w:rFonts w:ascii="Calibri" w:hAnsi="Calibri" w:cs="Calibri"/>
              </w:rPr>
              <w:t>Hilfield</w:t>
            </w:r>
            <w:proofErr w:type="spellEnd"/>
            <w:r>
              <w:rPr>
                <w:rFonts w:ascii="Calibri" w:hAnsi="Calibri" w:cs="Calibri"/>
              </w:rPr>
              <w:t xml:space="preserve"> Lane.</w:t>
            </w:r>
          </w:p>
          <w:p w14:paraId="51BC0CA8" w14:textId="77777777" w:rsidR="0068668D" w:rsidRDefault="0068668D" w:rsidP="0068668D">
            <w:pPr>
              <w:jc w:val="both"/>
              <w:rPr>
                <w:rFonts w:ascii="Calibri" w:hAnsi="Calibri" w:cs="Calibri"/>
              </w:rPr>
            </w:pPr>
          </w:p>
          <w:p w14:paraId="5AF29CC7" w14:textId="363E76E1" w:rsidR="0068668D" w:rsidRDefault="0068668D" w:rsidP="0068668D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Post Meeting Note: </w:t>
            </w:r>
            <w:r w:rsidRPr="00B50C27">
              <w:rPr>
                <w:rFonts w:ascii="Calibri" w:hAnsi="Calibri" w:cs="Calibri"/>
              </w:rPr>
              <w:t>Simon informed the Gov.UK site o</w:t>
            </w:r>
            <w:r>
              <w:rPr>
                <w:rFonts w:ascii="Calibri" w:hAnsi="Calibri" w:cs="Calibri"/>
              </w:rPr>
              <w:t>f</w:t>
            </w:r>
            <w:r w:rsidRPr="00B50C27">
              <w:rPr>
                <w:rFonts w:ascii="Calibri" w:hAnsi="Calibri" w:cs="Calibri"/>
              </w:rPr>
              <w:t xml:space="preserve"> these untaxed vehicles.</w:t>
            </w:r>
          </w:p>
        </w:tc>
        <w:tc>
          <w:tcPr>
            <w:tcW w:w="1177" w:type="dxa"/>
          </w:tcPr>
          <w:p w14:paraId="15635428" w14:textId="77777777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EA041C6" w14:textId="77777777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875731C" w14:textId="05080819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David</w:t>
            </w:r>
          </w:p>
        </w:tc>
      </w:tr>
      <w:tr w:rsidR="0068668D" w14:paraId="03A34363" w14:textId="77777777" w:rsidTr="00D50A70">
        <w:tc>
          <w:tcPr>
            <w:tcW w:w="338" w:type="dxa"/>
          </w:tcPr>
          <w:p w14:paraId="6DBC7B51" w14:textId="77777777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72D3D240" w14:textId="6D712BDE" w:rsidR="0068668D" w:rsidRDefault="0068668D" w:rsidP="006866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6.2</w:t>
            </w:r>
          </w:p>
        </w:tc>
        <w:tc>
          <w:tcPr>
            <w:tcW w:w="8179" w:type="dxa"/>
          </w:tcPr>
          <w:p w14:paraId="3E23945B" w14:textId="77777777" w:rsidR="0068668D" w:rsidRDefault="0068668D" w:rsidP="0068668D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Issues Carried Forward</w:t>
            </w:r>
          </w:p>
          <w:p w14:paraId="1A8A51DC" w14:textId="77777777" w:rsidR="0068668D" w:rsidRDefault="0068668D" w:rsidP="0068668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68668D">
              <w:rPr>
                <w:rFonts w:ascii="Calibri" w:hAnsi="Calibri" w:cs="Calibri"/>
              </w:rPr>
              <w:t xml:space="preserve">Fencing </w:t>
            </w:r>
            <w:r>
              <w:rPr>
                <w:rFonts w:ascii="Calibri" w:hAnsi="Calibri" w:cs="Calibri"/>
              </w:rPr>
              <w:t xml:space="preserve">between the first field and </w:t>
            </w:r>
            <w:proofErr w:type="spellStart"/>
            <w:r>
              <w:rPr>
                <w:rFonts w:ascii="Calibri" w:hAnsi="Calibri" w:cs="Calibri"/>
              </w:rPr>
              <w:t>Hilfield</w:t>
            </w:r>
            <w:proofErr w:type="spellEnd"/>
            <w:r>
              <w:rPr>
                <w:rFonts w:ascii="Calibri" w:hAnsi="Calibri" w:cs="Calibri"/>
              </w:rPr>
              <w:t xml:space="preserve"> Lane </w:t>
            </w:r>
            <w:r w:rsidRPr="0068668D">
              <w:rPr>
                <w:rFonts w:ascii="Calibri" w:hAnsi="Calibri" w:cs="Calibri"/>
              </w:rPr>
              <w:t>in need of</w:t>
            </w:r>
            <w:r>
              <w:rPr>
                <w:rFonts w:ascii="Calibri" w:hAnsi="Calibri" w:cs="Calibri"/>
              </w:rPr>
              <w:t xml:space="preserve"> repair.</w:t>
            </w:r>
          </w:p>
          <w:p w14:paraId="327C33BC" w14:textId="77777777" w:rsidR="0068668D" w:rsidRDefault="0068668D" w:rsidP="0068668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£120,000 annual grant paid by APC to The Radlett Centre.</w:t>
            </w:r>
          </w:p>
          <w:p w14:paraId="4335DCF5" w14:textId="5D70B0D5" w:rsidR="0068668D" w:rsidRPr="0068668D" w:rsidRDefault="0068668D" w:rsidP="0068668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Bhaktivedanta Manor planning applications’ outcome albeit decisions on these may be delayed until they produce a comprehensive new </w:t>
            </w:r>
            <w:proofErr w:type="gramStart"/>
            <w:r>
              <w:rPr>
                <w:rFonts w:ascii="Calibri" w:hAnsi="Calibri" w:cs="Calibri"/>
              </w:rPr>
              <w:t>5 year</w:t>
            </w:r>
            <w:proofErr w:type="gramEnd"/>
            <w:r>
              <w:rPr>
                <w:rFonts w:ascii="Calibri" w:hAnsi="Calibri" w:cs="Calibri"/>
              </w:rPr>
              <w:t xml:space="preserve"> plan to be agreed with Herts Planning, which will detail the total of their development ambitions.</w:t>
            </w:r>
          </w:p>
        </w:tc>
        <w:tc>
          <w:tcPr>
            <w:tcW w:w="1177" w:type="dxa"/>
          </w:tcPr>
          <w:p w14:paraId="046A78A7" w14:textId="77777777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668D" w14:paraId="1D420745" w14:textId="77777777" w:rsidTr="00D50A70">
        <w:tc>
          <w:tcPr>
            <w:tcW w:w="338" w:type="dxa"/>
          </w:tcPr>
          <w:p w14:paraId="7EF5629C" w14:textId="6576D828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14:paraId="26D502BE" w14:textId="241E1FE0" w:rsidR="0068668D" w:rsidRDefault="0068668D" w:rsidP="006866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9" w:type="dxa"/>
          </w:tcPr>
          <w:p w14:paraId="5BBD89F2" w14:textId="1AF3A9BA" w:rsidR="0068668D" w:rsidRDefault="0068668D" w:rsidP="006866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1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Date of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Pr="006E61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ext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6E6132">
              <w:rPr>
                <w:rFonts w:ascii="Calibri" w:hAnsi="Calibri" w:cs="Calibri"/>
                <w:b/>
                <w:bCs/>
                <w:sz w:val="24"/>
                <w:szCs w:val="24"/>
              </w:rPr>
              <w:t>eeting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533C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4D70777" w14:textId="7B88B094" w:rsidR="0068668D" w:rsidRDefault="0068668D" w:rsidP="006866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Thursday 4 December 2025, 18:30 at Bonnie, Studio,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Hilfield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Lane</w:t>
            </w:r>
          </w:p>
        </w:tc>
        <w:tc>
          <w:tcPr>
            <w:tcW w:w="1177" w:type="dxa"/>
          </w:tcPr>
          <w:p w14:paraId="746A0A97" w14:textId="2D127921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8465544" w14:textId="3730F215" w:rsidR="0068668D" w:rsidRDefault="0068668D" w:rsidP="006866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</w:tr>
    </w:tbl>
    <w:p w14:paraId="1AB427FF" w14:textId="77777777" w:rsidR="00467529" w:rsidRPr="00467529" w:rsidRDefault="00467529" w:rsidP="00467529">
      <w:pPr>
        <w:ind w:left="1560" w:hanging="1560"/>
        <w:jc w:val="both"/>
        <w:rPr>
          <w:rFonts w:ascii="Calibri" w:hAnsi="Calibri" w:cs="Calibri"/>
          <w:sz w:val="24"/>
          <w:szCs w:val="24"/>
        </w:rPr>
      </w:pPr>
    </w:p>
    <w:sectPr w:rsidR="00467529" w:rsidRPr="00467529" w:rsidSect="00187EA2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C0E"/>
    <w:multiLevelType w:val="hybridMultilevel"/>
    <w:tmpl w:val="4A6C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BF9"/>
    <w:multiLevelType w:val="hybridMultilevel"/>
    <w:tmpl w:val="F23A6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13274"/>
    <w:multiLevelType w:val="hybridMultilevel"/>
    <w:tmpl w:val="9D402D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1223"/>
    <w:multiLevelType w:val="hybridMultilevel"/>
    <w:tmpl w:val="FCA85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127FD"/>
    <w:multiLevelType w:val="hybridMultilevel"/>
    <w:tmpl w:val="9384D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533174">
    <w:abstractNumId w:val="0"/>
  </w:num>
  <w:num w:numId="2" w16cid:durableId="828441710">
    <w:abstractNumId w:val="1"/>
  </w:num>
  <w:num w:numId="3" w16cid:durableId="504632969">
    <w:abstractNumId w:val="4"/>
  </w:num>
  <w:num w:numId="4" w16cid:durableId="1518033940">
    <w:abstractNumId w:val="2"/>
  </w:num>
  <w:num w:numId="5" w16cid:durableId="165584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9"/>
    <w:rsid w:val="00003520"/>
    <w:rsid w:val="00026FF8"/>
    <w:rsid w:val="00035F46"/>
    <w:rsid w:val="00044554"/>
    <w:rsid w:val="00060DA6"/>
    <w:rsid w:val="00067146"/>
    <w:rsid w:val="000711F0"/>
    <w:rsid w:val="00080808"/>
    <w:rsid w:val="00082610"/>
    <w:rsid w:val="00083A59"/>
    <w:rsid w:val="00092716"/>
    <w:rsid w:val="000B0853"/>
    <w:rsid w:val="000D45B7"/>
    <w:rsid w:val="000D53F0"/>
    <w:rsid w:val="00105AE9"/>
    <w:rsid w:val="00132412"/>
    <w:rsid w:val="00145D9F"/>
    <w:rsid w:val="00150539"/>
    <w:rsid w:val="001522AD"/>
    <w:rsid w:val="001562FE"/>
    <w:rsid w:val="001722A9"/>
    <w:rsid w:val="00187EA2"/>
    <w:rsid w:val="00190D78"/>
    <w:rsid w:val="001A173C"/>
    <w:rsid w:val="001B52B7"/>
    <w:rsid w:val="001D0092"/>
    <w:rsid w:val="001E2801"/>
    <w:rsid w:val="001E5E16"/>
    <w:rsid w:val="001F5A54"/>
    <w:rsid w:val="00200A52"/>
    <w:rsid w:val="002011ED"/>
    <w:rsid w:val="0020163B"/>
    <w:rsid w:val="00207428"/>
    <w:rsid w:val="00207C82"/>
    <w:rsid w:val="00211D33"/>
    <w:rsid w:val="00236705"/>
    <w:rsid w:val="002405DE"/>
    <w:rsid w:val="00256F83"/>
    <w:rsid w:val="00265912"/>
    <w:rsid w:val="00276F29"/>
    <w:rsid w:val="00277F3F"/>
    <w:rsid w:val="00280442"/>
    <w:rsid w:val="0029526B"/>
    <w:rsid w:val="002B2D7E"/>
    <w:rsid w:val="002B671B"/>
    <w:rsid w:val="002C3843"/>
    <w:rsid w:val="002C4A79"/>
    <w:rsid w:val="002C640E"/>
    <w:rsid w:val="002E165C"/>
    <w:rsid w:val="003035E1"/>
    <w:rsid w:val="0030421C"/>
    <w:rsid w:val="003164A4"/>
    <w:rsid w:val="00320B8E"/>
    <w:rsid w:val="00330A13"/>
    <w:rsid w:val="0033263D"/>
    <w:rsid w:val="00364DA8"/>
    <w:rsid w:val="00375D16"/>
    <w:rsid w:val="00376806"/>
    <w:rsid w:val="00382CAC"/>
    <w:rsid w:val="00387BE4"/>
    <w:rsid w:val="003912CC"/>
    <w:rsid w:val="003A6C02"/>
    <w:rsid w:val="003C22F9"/>
    <w:rsid w:val="003C4B8A"/>
    <w:rsid w:val="003D5ED4"/>
    <w:rsid w:val="003E22AC"/>
    <w:rsid w:val="00405F2C"/>
    <w:rsid w:val="00407FDE"/>
    <w:rsid w:val="00411864"/>
    <w:rsid w:val="00421DCD"/>
    <w:rsid w:val="004364AF"/>
    <w:rsid w:val="004421B6"/>
    <w:rsid w:val="00455BEC"/>
    <w:rsid w:val="00457ED4"/>
    <w:rsid w:val="00460FF4"/>
    <w:rsid w:val="00461754"/>
    <w:rsid w:val="0046254D"/>
    <w:rsid w:val="00467529"/>
    <w:rsid w:val="00476895"/>
    <w:rsid w:val="004917BF"/>
    <w:rsid w:val="004A229B"/>
    <w:rsid w:val="004B2B60"/>
    <w:rsid w:val="004D0917"/>
    <w:rsid w:val="00501D4C"/>
    <w:rsid w:val="00515AEA"/>
    <w:rsid w:val="005177A2"/>
    <w:rsid w:val="0052666C"/>
    <w:rsid w:val="00533C2D"/>
    <w:rsid w:val="00541B3C"/>
    <w:rsid w:val="005513D5"/>
    <w:rsid w:val="00566E07"/>
    <w:rsid w:val="00575B2D"/>
    <w:rsid w:val="0058446D"/>
    <w:rsid w:val="0058729C"/>
    <w:rsid w:val="005A022E"/>
    <w:rsid w:val="005B2DB1"/>
    <w:rsid w:val="005C0D7E"/>
    <w:rsid w:val="006122C1"/>
    <w:rsid w:val="00613C7E"/>
    <w:rsid w:val="0061604F"/>
    <w:rsid w:val="00622E62"/>
    <w:rsid w:val="00637600"/>
    <w:rsid w:val="006466B9"/>
    <w:rsid w:val="006500C1"/>
    <w:rsid w:val="00650ED7"/>
    <w:rsid w:val="00651B7E"/>
    <w:rsid w:val="0065315A"/>
    <w:rsid w:val="00676687"/>
    <w:rsid w:val="0068668D"/>
    <w:rsid w:val="006879F1"/>
    <w:rsid w:val="00695704"/>
    <w:rsid w:val="006B392B"/>
    <w:rsid w:val="006C5B89"/>
    <w:rsid w:val="006E6132"/>
    <w:rsid w:val="006F2D4A"/>
    <w:rsid w:val="00711DFE"/>
    <w:rsid w:val="00722D85"/>
    <w:rsid w:val="007442E8"/>
    <w:rsid w:val="00747E52"/>
    <w:rsid w:val="00747E6C"/>
    <w:rsid w:val="00763276"/>
    <w:rsid w:val="00763C1A"/>
    <w:rsid w:val="007812C3"/>
    <w:rsid w:val="007941C2"/>
    <w:rsid w:val="007A338B"/>
    <w:rsid w:val="007B71BB"/>
    <w:rsid w:val="007C4699"/>
    <w:rsid w:val="007C6802"/>
    <w:rsid w:val="007E0CA1"/>
    <w:rsid w:val="007E47C7"/>
    <w:rsid w:val="00802C11"/>
    <w:rsid w:val="008068A8"/>
    <w:rsid w:val="00822F7E"/>
    <w:rsid w:val="008246C7"/>
    <w:rsid w:val="008328B8"/>
    <w:rsid w:val="0084697C"/>
    <w:rsid w:val="00854239"/>
    <w:rsid w:val="008665C3"/>
    <w:rsid w:val="00874775"/>
    <w:rsid w:val="008817FD"/>
    <w:rsid w:val="00883136"/>
    <w:rsid w:val="008935B4"/>
    <w:rsid w:val="00893A13"/>
    <w:rsid w:val="008A0F19"/>
    <w:rsid w:val="008A2512"/>
    <w:rsid w:val="008B0B62"/>
    <w:rsid w:val="008B7267"/>
    <w:rsid w:val="008C1687"/>
    <w:rsid w:val="008C569F"/>
    <w:rsid w:val="008E6A59"/>
    <w:rsid w:val="008E7D47"/>
    <w:rsid w:val="008F10EB"/>
    <w:rsid w:val="0090060C"/>
    <w:rsid w:val="009006FC"/>
    <w:rsid w:val="00901DCC"/>
    <w:rsid w:val="00920306"/>
    <w:rsid w:val="0092470E"/>
    <w:rsid w:val="00945857"/>
    <w:rsid w:val="00946C62"/>
    <w:rsid w:val="00950F8A"/>
    <w:rsid w:val="009535F2"/>
    <w:rsid w:val="009606BF"/>
    <w:rsid w:val="00964BD0"/>
    <w:rsid w:val="009A5702"/>
    <w:rsid w:val="009D1623"/>
    <w:rsid w:val="009F7FA9"/>
    <w:rsid w:val="00A10F09"/>
    <w:rsid w:val="00A2242D"/>
    <w:rsid w:val="00A22C0D"/>
    <w:rsid w:val="00A22EE3"/>
    <w:rsid w:val="00A241AD"/>
    <w:rsid w:val="00A4001E"/>
    <w:rsid w:val="00A50D71"/>
    <w:rsid w:val="00A51C9E"/>
    <w:rsid w:val="00A7029D"/>
    <w:rsid w:val="00A72E95"/>
    <w:rsid w:val="00A76E13"/>
    <w:rsid w:val="00A83498"/>
    <w:rsid w:val="00A92704"/>
    <w:rsid w:val="00A96742"/>
    <w:rsid w:val="00AA40C0"/>
    <w:rsid w:val="00AA7790"/>
    <w:rsid w:val="00AB1E57"/>
    <w:rsid w:val="00AB7378"/>
    <w:rsid w:val="00AC4CD9"/>
    <w:rsid w:val="00B1022B"/>
    <w:rsid w:val="00B115BB"/>
    <w:rsid w:val="00B14CAF"/>
    <w:rsid w:val="00B221BB"/>
    <w:rsid w:val="00B32DDB"/>
    <w:rsid w:val="00B33DBF"/>
    <w:rsid w:val="00B47B7A"/>
    <w:rsid w:val="00B50C27"/>
    <w:rsid w:val="00B546B1"/>
    <w:rsid w:val="00B57496"/>
    <w:rsid w:val="00B82495"/>
    <w:rsid w:val="00BA3855"/>
    <w:rsid w:val="00BC41B2"/>
    <w:rsid w:val="00BE5326"/>
    <w:rsid w:val="00C045EA"/>
    <w:rsid w:val="00C07965"/>
    <w:rsid w:val="00C11C0D"/>
    <w:rsid w:val="00C12113"/>
    <w:rsid w:val="00C159D6"/>
    <w:rsid w:val="00C260A1"/>
    <w:rsid w:val="00C36710"/>
    <w:rsid w:val="00C613E9"/>
    <w:rsid w:val="00C63888"/>
    <w:rsid w:val="00C67A1D"/>
    <w:rsid w:val="00C815CE"/>
    <w:rsid w:val="00C823D5"/>
    <w:rsid w:val="00C85718"/>
    <w:rsid w:val="00C90C3C"/>
    <w:rsid w:val="00C97C1D"/>
    <w:rsid w:val="00CA3C1D"/>
    <w:rsid w:val="00CA790C"/>
    <w:rsid w:val="00CB1876"/>
    <w:rsid w:val="00CB42D9"/>
    <w:rsid w:val="00CC1261"/>
    <w:rsid w:val="00CE3079"/>
    <w:rsid w:val="00CE4CDC"/>
    <w:rsid w:val="00D031BA"/>
    <w:rsid w:val="00D034B8"/>
    <w:rsid w:val="00D13A0E"/>
    <w:rsid w:val="00D178B3"/>
    <w:rsid w:val="00D216E9"/>
    <w:rsid w:val="00D25824"/>
    <w:rsid w:val="00D308BC"/>
    <w:rsid w:val="00D313F0"/>
    <w:rsid w:val="00D50A70"/>
    <w:rsid w:val="00DA25E8"/>
    <w:rsid w:val="00DA516D"/>
    <w:rsid w:val="00DB1AC0"/>
    <w:rsid w:val="00DB36DB"/>
    <w:rsid w:val="00DC13BD"/>
    <w:rsid w:val="00DD17B8"/>
    <w:rsid w:val="00DF025D"/>
    <w:rsid w:val="00DF4870"/>
    <w:rsid w:val="00DF5CEB"/>
    <w:rsid w:val="00E014B7"/>
    <w:rsid w:val="00E02802"/>
    <w:rsid w:val="00E325FA"/>
    <w:rsid w:val="00E40ACD"/>
    <w:rsid w:val="00E4127B"/>
    <w:rsid w:val="00E43675"/>
    <w:rsid w:val="00E44E8E"/>
    <w:rsid w:val="00E4767C"/>
    <w:rsid w:val="00E62908"/>
    <w:rsid w:val="00E70932"/>
    <w:rsid w:val="00E844D5"/>
    <w:rsid w:val="00EC3DC0"/>
    <w:rsid w:val="00ED2D2C"/>
    <w:rsid w:val="00EF3B55"/>
    <w:rsid w:val="00F132F8"/>
    <w:rsid w:val="00F13D02"/>
    <w:rsid w:val="00F23F1C"/>
    <w:rsid w:val="00F57874"/>
    <w:rsid w:val="00F60728"/>
    <w:rsid w:val="00F80F15"/>
    <w:rsid w:val="00F85C38"/>
    <w:rsid w:val="00F91623"/>
    <w:rsid w:val="00FB3192"/>
    <w:rsid w:val="00FD57B7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339D"/>
  <w15:chartTrackingRefBased/>
  <w15:docId w15:val="{1230A4CA-CAFB-48DD-8F43-B22C849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5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8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370C-80F0-4149-8BE0-3C45FF0E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Sevren</dc:creator>
  <cp:keywords/>
  <dc:description/>
  <cp:lastModifiedBy>Malcolm Sevren</cp:lastModifiedBy>
  <cp:revision>11</cp:revision>
  <dcterms:created xsi:type="dcterms:W3CDTF">2025-08-28T15:14:00Z</dcterms:created>
  <dcterms:modified xsi:type="dcterms:W3CDTF">2025-09-10T16:42:00Z</dcterms:modified>
</cp:coreProperties>
</file>