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F1C" w:rsidRPr="008C4415" w:rsidRDefault="008C4415" w:rsidP="008C4415">
      <w:pPr>
        <w:jc w:val="center"/>
        <w:rPr>
          <w:rFonts w:ascii="Trebuchet MS" w:hAnsi="Trebuchet MS"/>
          <w:sz w:val="28"/>
          <w:szCs w:val="28"/>
        </w:rPr>
      </w:pPr>
      <w:r w:rsidRPr="008C4415">
        <w:rPr>
          <w:rFonts w:ascii="Trebuchet MS" w:hAnsi="Trebuchet MS"/>
          <w:sz w:val="28"/>
          <w:szCs w:val="28"/>
        </w:rPr>
        <w:t>PREFACE</w:t>
      </w:r>
    </w:p>
    <w:p w:rsidR="00EC4F1C" w:rsidRPr="000672BC" w:rsidRDefault="00EC4F1C">
      <w:pPr>
        <w:rPr>
          <w:rFonts w:ascii="Trebuchet MS" w:hAnsi="Trebuchet MS"/>
        </w:rPr>
      </w:pPr>
    </w:p>
    <w:p w:rsidR="00A14AFF" w:rsidRPr="000672BC" w:rsidRDefault="008C4415">
      <w:pPr>
        <w:rPr>
          <w:rFonts w:ascii="Trebuchet MS" w:hAnsi="Trebuchet MS"/>
        </w:rPr>
      </w:pPr>
      <w:r>
        <w:rPr>
          <w:rFonts w:ascii="Trebuchet MS" w:hAnsi="Trebuchet MS"/>
        </w:rPr>
        <w:t xml:space="preserve">I </w:t>
      </w:r>
      <w:r w:rsidR="00865B11">
        <w:rPr>
          <w:rFonts w:ascii="Trebuchet MS" w:hAnsi="Trebuchet MS"/>
        </w:rPr>
        <w:t>intend</w:t>
      </w:r>
      <w:r>
        <w:rPr>
          <w:rFonts w:ascii="Trebuchet MS" w:hAnsi="Trebuchet MS"/>
        </w:rPr>
        <w:t xml:space="preserve"> this </w:t>
      </w:r>
      <w:r w:rsidR="00865B11">
        <w:rPr>
          <w:rFonts w:ascii="Trebuchet MS" w:hAnsi="Trebuchet MS"/>
        </w:rPr>
        <w:t xml:space="preserve">to </w:t>
      </w:r>
      <w:r w:rsidR="000672BC" w:rsidRPr="000672BC">
        <w:rPr>
          <w:rFonts w:ascii="Trebuchet MS" w:hAnsi="Trebuchet MS"/>
        </w:rPr>
        <w:t>complement</w:t>
      </w:r>
      <w:r w:rsidR="00460937" w:rsidRPr="000672BC">
        <w:rPr>
          <w:rFonts w:ascii="Trebuchet MS" w:hAnsi="Trebuchet MS"/>
        </w:rPr>
        <w:t xml:space="preserve"> </w:t>
      </w:r>
      <w:r>
        <w:rPr>
          <w:rFonts w:ascii="Trebuchet MS" w:hAnsi="Trebuchet MS"/>
        </w:rPr>
        <w:t>Denzil’s Foreward</w:t>
      </w:r>
      <w:r w:rsidRPr="000672BC">
        <w:rPr>
          <w:rFonts w:ascii="Trebuchet MS" w:hAnsi="Trebuchet MS"/>
        </w:rPr>
        <w:t xml:space="preserve">, </w:t>
      </w:r>
      <w:r w:rsidR="007E1CDB">
        <w:rPr>
          <w:rFonts w:ascii="Trebuchet MS" w:hAnsi="Trebuchet MS"/>
        </w:rPr>
        <w:t>which</w:t>
      </w:r>
      <w:r w:rsidR="00460937" w:rsidRPr="000672BC">
        <w:rPr>
          <w:rFonts w:ascii="Trebuchet MS" w:hAnsi="Trebuchet MS"/>
        </w:rPr>
        <w:t xml:space="preserve"> at first blush may </w:t>
      </w:r>
      <w:r w:rsidR="00031A08" w:rsidRPr="000672BC">
        <w:rPr>
          <w:rFonts w:ascii="Trebuchet MS" w:hAnsi="Trebuchet MS"/>
        </w:rPr>
        <w:t xml:space="preserve">appear to fly in the face of a book about enduring and lasting powers of attorney. </w:t>
      </w:r>
      <w:r w:rsidR="00460937" w:rsidRPr="000672BC">
        <w:rPr>
          <w:rFonts w:ascii="Trebuchet MS" w:hAnsi="Trebuchet MS"/>
        </w:rPr>
        <w:t xml:space="preserve"> </w:t>
      </w:r>
    </w:p>
    <w:p w:rsidR="00A14AFF" w:rsidRPr="000672BC" w:rsidRDefault="00A14AFF">
      <w:pPr>
        <w:rPr>
          <w:rFonts w:ascii="Trebuchet MS" w:hAnsi="Trebuchet MS"/>
        </w:rPr>
      </w:pPr>
    </w:p>
    <w:p w:rsidR="00A834CC" w:rsidRDefault="003C4EA3">
      <w:pPr>
        <w:rPr>
          <w:rFonts w:ascii="Trebuchet MS" w:hAnsi="Trebuchet MS"/>
        </w:rPr>
      </w:pPr>
      <w:r>
        <w:rPr>
          <w:rFonts w:ascii="Trebuchet MS" w:hAnsi="Trebuchet MS"/>
        </w:rPr>
        <w:t xml:space="preserve">I have </w:t>
      </w:r>
      <w:r w:rsidR="00A14AFF" w:rsidRPr="000672BC">
        <w:rPr>
          <w:rFonts w:ascii="Trebuchet MS" w:hAnsi="Trebuchet MS"/>
        </w:rPr>
        <w:t>conce</w:t>
      </w:r>
      <w:r w:rsidR="001B08B1" w:rsidRPr="000672BC">
        <w:rPr>
          <w:rFonts w:ascii="Trebuchet MS" w:hAnsi="Trebuchet MS"/>
        </w:rPr>
        <w:t>rns about the path the O</w:t>
      </w:r>
      <w:r w:rsidR="005B0629">
        <w:rPr>
          <w:rFonts w:ascii="Trebuchet MS" w:hAnsi="Trebuchet MS"/>
        </w:rPr>
        <w:t xml:space="preserve">ffice of the </w:t>
      </w:r>
      <w:r w:rsidR="001B08B1" w:rsidRPr="000672BC">
        <w:rPr>
          <w:rFonts w:ascii="Trebuchet MS" w:hAnsi="Trebuchet MS"/>
        </w:rPr>
        <w:t>P</w:t>
      </w:r>
      <w:r w:rsidR="005B0629">
        <w:rPr>
          <w:rFonts w:ascii="Trebuchet MS" w:hAnsi="Trebuchet MS"/>
        </w:rPr>
        <w:t xml:space="preserve">ublic </w:t>
      </w:r>
      <w:r w:rsidR="001B08B1" w:rsidRPr="000672BC">
        <w:rPr>
          <w:rFonts w:ascii="Trebuchet MS" w:hAnsi="Trebuchet MS"/>
        </w:rPr>
        <w:t>G</w:t>
      </w:r>
      <w:r w:rsidR="005B0629">
        <w:rPr>
          <w:rFonts w:ascii="Trebuchet MS" w:hAnsi="Trebuchet MS"/>
        </w:rPr>
        <w:t>uardian (OPG)</w:t>
      </w:r>
      <w:r w:rsidR="001B08B1" w:rsidRPr="000672BC">
        <w:rPr>
          <w:rFonts w:ascii="Trebuchet MS" w:hAnsi="Trebuchet MS"/>
        </w:rPr>
        <w:t xml:space="preserve"> </w:t>
      </w:r>
      <w:r w:rsidR="005B0629">
        <w:rPr>
          <w:rFonts w:ascii="Trebuchet MS" w:hAnsi="Trebuchet MS"/>
        </w:rPr>
        <w:t xml:space="preserve">is </w:t>
      </w:r>
      <w:r w:rsidR="00A14AFF" w:rsidRPr="000672BC">
        <w:rPr>
          <w:rFonts w:ascii="Trebuchet MS" w:hAnsi="Trebuchet MS"/>
        </w:rPr>
        <w:t xml:space="preserve">travelling. The 2015 </w:t>
      </w:r>
      <w:r w:rsidR="00865B11">
        <w:rPr>
          <w:rFonts w:ascii="Trebuchet MS" w:hAnsi="Trebuchet MS"/>
        </w:rPr>
        <w:t>lasting power</w:t>
      </w:r>
      <w:r w:rsidR="00865B11" w:rsidRPr="000672BC">
        <w:rPr>
          <w:rFonts w:ascii="Trebuchet MS" w:hAnsi="Trebuchet MS"/>
        </w:rPr>
        <w:t xml:space="preserve"> of attorney </w:t>
      </w:r>
      <w:r w:rsidR="00865B11">
        <w:rPr>
          <w:rFonts w:ascii="Trebuchet MS" w:hAnsi="Trebuchet MS"/>
        </w:rPr>
        <w:t>prescribed forms</w:t>
      </w:r>
      <w:r w:rsidR="00F9265B" w:rsidRPr="000672BC">
        <w:rPr>
          <w:rFonts w:ascii="Trebuchet MS" w:hAnsi="Trebuchet MS"/>
        </w:rPr>
        <w:t xml:space="preserve"> </w:t>
      </w:r>
      <w:r w:rsidR="005B0629">
        <w:rPr>
          <w:rFonts w:ascii="Trebuchet MS" w:hAnsi="Trebuchet MS"/>
        </w:rPr>
        <w:t>marked a sharp deviation in</w:t>
      </w:r>
      <w:r w:rsidR="00B87F1B" w:rsidRPr="000672BC">
        <w:rPr>
          <w:rFonts w:ascii="Trebuchet MS" w:hAnsi="Trebuchet MS"/>
        </w:rPr>
        <w:t xml:space="preserve"> </w:t>
      </w:r>
      <w:r w:rsidR="00F9265B" w:rsidRPr="000672BC">
        <w:rPr>
          <w:rFonts w:ascii="Trebuchet MS" w:hAnsi="Trebuchet MS"/>
        </w:rPr>
        <w:t>direction</w:t>
      </w:r>
      <w:r w:rsidR="00B87F1B" w:rsidRPr="000672BC">
        <w:rPr>
          <w:rFonts w:ascii="Trebuchet MS" w:hAnsi="Trebuchet MS"/>
        </w:rPr>
        <w:t xml:space="preserve"> for the OPG</w:t>
      </w:r>
      <w:r w:rsidR="005B0629">
        <w:rPr>
          <w:rFonts w:ascii="Trebuchet MS" w:hAnsi="Trebuchet MS"/>
        </w:rPr>
        <w:t xml:space="preserve">: moving away from the Law </w:t>
      </w:r>
      <w:r w:rsidR="005B0629" w:rsidRPr="000672BC">
        <w:rPr>
          <w:rFonts w:ascii="Trebuchet MS" w:hAnsi="Trebuchet MS"/>
        </w:rPr>
        <w:t>Commission</w:t>
      </w:r>
      <w:r w:rsidR="005B0629">
        <w:rPr>
          <w:rFonts w:ascii="Trebuchet MS" w:hAnsi="Trebuchet MS"/>
        </w:rPr>
        <w:t>’s</w:t>
      </w:r>
      <w:r w:rsidR="005B0629" w:rsidRPr="000672BC">
        <w:rPr>
          <w:rFonts w:ascii="Trebuchet MS" w:hAnsi="Trebuchet MS"/>
        </w:rPr>
        <w:t xml:space="preserve"> </w:t>
      </w:r>
      <w:r w:rsidR="005B0629">
        <w:rPr>
          <w:rFonts w:ascii="Trebuchet MS" w:hAnsi="Trebuchet MS"/>
        </w:rPr>
        <w:t>vision</w:t>
      </w:r>
      <w:r w:rsidR="00B87F1B" w:rsidRPr="000672BC">
        <w:rPr>
          <w:rFonts w:ascii="Trebuchet MS" w:hAnsi="Trebuchet MS"/>
        </w:rPr>
        <w:t xml:space="preserve"> </w:t>
      </w:r>
      <w:r w:rsidR="005B0629">
        <w:rPr>
          <w:rFonts w:ascii="Trebuchet MS" w:hAnsi="Trebuchet MS"/>
        </w:rPr>
        <w:t>for the replacement to</w:t>
      </w:r>
      <w:r w:rsidR="00165A8D" w:rsidRPr="000672BC">
        <w:rPr>
          <w:rFonts w:ascii="Trebuchet MS" w:hAnsi="Trebuchet MS"/>
        </w:rPr>
        <w:t xml:space="preserve"> </w:t>
      </w:r>
      <w:r w:rsidR="005B0629">
        <w:rPr>
          <w:rFonts w:ascii="Trebuchet MS" w:hAnsi="Trebuchet MS"/>
        </w:rPr>
        <w:t>the enduring power regime</w:t>
      </w:r>
      <w:r w:rsidR="00165A8D" w:rsidRPr="000672BC">
        <w:rPr>
          <w:rFonts w:ascii="Trebuchet MS" w:hAnsi="Trebuchet MS"/>
        </w:rPr>
        <w:t xml:space="preserve">. </w:t>
      </w:r>
    </w:p>
    <w:p w:rsidR="00A834CC" w:rsidRDefault="00A834CC">
      <w:pPr>
        <w:rPr>
          <w:rFonts w:ascii="Trebuchet MS" w:hAnsi="Trebuchet MS"/>
        </w:rPr>
      </w:pPr>
    </w:p>
    <w:p w:rsidR="00D36DF9" w:rsidRDefault="00165A8D">
      <w:pPr>
        <w:rPr>
          <w:rFonts w:ascii="Trebuchet MS" w:hAnsi="Trebuchet MS"/>
        </w:rPr>
      </w:pPr>
      <w:r w:rsidRPr="000672BC">
        <w:rPr>
          <w:rFonts w:ascii="Trebuchet MS" w:hAnsi="Trebuchet MS"/>
        </w:rPr>
        <w:t xml:space="preserve">The Law Commission identified that most enduring powers were registered within a few weeks of their creation, </w:t>
      </w:r>
      <w:r w:rsidR="00A808E8" w:rsidRPr="000672BC">
        <w:rPr>
          <w:rFonts w:ascii="Trebuchet MS" w:hAnsi="Trebuchet MS"/>
        </w:rPr>
        <w:t xml:space="preserve">which begged </w:t>
      </w:r>
      <w:r w:rsidRPr="000672BC">
        <w:rPr>
          <w:rFonts w:ascii="Trebuchet MS" w:hAnsi="Trebuchet MS"/>
        </w:rPr>
        <w:t xml:space="preserve">the question, whether the donor understood what they were signing.  </w:t>
      </w:r>
      <w:r w:rsidR="00A808E8" w:rsidRPr="000672BC">
        <w:rPr>
          <w:rFonts w:ascii="Trebuchet MS" w:hAnsi="Trebuchet MS"/>
        </w:rPr>
        <w:t xml:space="preserve">It was for this reason </w:t>
      </w:r>
      <w:r w:rsidR="005B0629" w:rsidRPr="000672BC">
        <w:rPr>
          <w:rFonts w:ascii="Trebuchet MS" w:hAnsi="Trebuchet MS"/>
        </w:rPr>
        <w:t>the Mental Capacity Act 2005</w:t>
      </w:r>
      <w:r w:rsidR="005B0629">
        <w:rPr>
          <w:rFonts w:ascii="Trebuchet MS" w:hAnsi="Trebuchet MS"/>
        </w:rPr>
        <w:t xml:space="preserve"> requires</w:t>
      </w:r>
      <w:r w:rsidR="006B413F" w:rsidRPr="000672BC">
        <w:rPr>
          <w:rFonts w:ascii="Trebuchet MS" w:hAnsi="Trebuchet MS"/>
        </w:rPr>
        <w:t xml:space="preserve"> an independent person </w:t>
      </w:r>
      <w:r w:rsidR="005B0629">
        <w:rPr>
          <w:rFonts w:ascii="Trebuchet MS" w:hAnsi="Trebuchet MS"/>
        </w:rPr>
        <w:t xml:space="preserve">to </w:t>
      </w:r>
      <w:r w:rsidR="001D10AC">
        <w:rPr>
          <w:rFonts w:ascii="Trebuchet MS" w:hAnsi="Trebuchet MS"/>
        </w:rPr>
        <w:t>counter sign</w:t>
      </w:r>
      <w:r w:rsidR="006B413F" w:rsidRPr="000672BC">
        <w:rPr>
          <w:rFonts w:ascii="Trebuchet MS" w:hAnsi="Trebuchet MS"/>
        </w:rPr>
        <w:t xml:space="preserve"> th</w:t>
      </w:r>
      <w:r w:rsidR="005B0629">
        <w:rPr>
          <w:rFonts w:ascii="Trebuchet MS" w:hAnsi="Trebuchet MS"/>
        </w:rPr>
        <w:t>e donor’s signature</w:t>
      </w:r>
      <w:r w:rsidR="00A834CC">
        <w:rPr>
          <w:rFonts w:ascii="Trebuchet MS" w:hAnsi="Trebuchet MS"/>
        </w:rPr>
        <w:t xml:space="preserve">: to confirm that in his opinion the donor understands what he is signing and there is no fraud or undue pressure being used to get the donor </w:t>
      </w:r>
      <w:r w:rsidR="003268E3">
        <w:rPr>
          <w:rFonts w:ascii="Trebuchet MS" w:hAnsi="Trebuchet MS"/>
        </w:rPr>
        <w:t xml:space="preserve">to </w:t>
      </w:r>
      <w:r w:rsidR="00A834CC">
        <w:rPr>
          <w:rFonts w:ascii="Trebuchet MS" w:hAnsi="Trebuchet MS"/>
        </w:rPr>
        <w:t>grant the power.</w:t>
      </w:r>
      <w:r w:rsidR="006B413F" w:rsidRPr="000672BC">
        <w:rPr>
          <w:rFonts w:ascii="Trebuchet MS" w:hAnsi="Trebuchet MS"/>
        </w:rPr>
        <w:t xml:space="preserve"> </w:t>
      </w:r>
      <w:r w:rsidR="005B0629">
        <w:rPr>
          <w:rFonts w:ascii="Trebuchet MS" w:hAnsi="Trebuchet MS"/>
        </w:rPr>
        <w:t xml:space="preserve"> </w:t>
      </w:r>
    </w:p>
    <w:p w:rsidR="00D36DF9" w:rsidRDefault="00D36DF9">
      <w:pPr>
        <w:rPr>
          <w:rFonts w:ascii="Trebuchet MS" w:hAnsi="Trebuchet MS"/>
        </w:rPr>
      </w:pPr>
    </w:p>
    <w:p w:rsidR="005B0629" w:rsidRDefault="00D36DF9">
      <w:pPr>
        <w:rPr>
          <w:rFonts w:ascii="Trebuchet MS" w:hAnsi="Trebuchet MS"/>
        </w:rPr>
      </w:pPr>
      <w:r w:rsidRPr="000672BC">
        <w:rPr>
          <w:rFonts w:ascii="Trebuchet MS" w:hAnsi="Trebuchet MS"/>
        </w:rPr>
        <w:t xml:space="preserve">The role of </w:t>
      </w:r>
      <w:r>
        <w:rPr>
          <w:rFonts w:ascii="Trebuchet MS" w:hAnsi="Trebuchet MS"/>
        </w:rPr>
        <w:t xml:space="preserve">the certificate provider is a vital </w:t>
      </w:r>
      <w:r w:rsidRPr="000672BC">
        <w:rPr>
          <w:rFonts w:ascii="Trebuchet MS" w:hAnsi="Trebuchet MS"/>
        </w:rPr>
        <w:t xml:space="preserve">safeguard at the point of creation of the power. </w:t>
      </w:r>
      <w:r w:rsidR="005B0629">
        <w:rPr>
          <w:rFonts w:ascii="Trebuchet MS" w:hAnsi="Trebuchet MS"/>
        </w:rPr>
        <w:t xml:space="preserve">Unfortunately, </w:t>
      </w:r>
      <w:r w:rsidR="006B413F" w:rsidRPr="000672BC">
        <w:rPr>
          <w:rFonts w:ascii="Trebuchet MS" w:hAnsi="Trebuchet MS"/>
        </w:rPr>
        <w:t>the 2015 prescribed form</w:t>
      </w:r>
      <w:r w:rsidR="005B0629">
        <w:rPr>
          <w:rFonts w:ascii="Trebuchet MS" w:hAnsi="Trebuchet MS"/>
        </w:rPr>
        <w:t>s</w:t>
      </w:r>
      <w:r w:rsidR="006B413F" w:rsidRPr="000672BC">
        <w:rPr>
          <w:rFonts w:ascii="Trebuchet MS" w:hAnsi="Trebuchet MS"/>
        </w:rPr>
        <w:t xml:space="preserve"> have watered down this </w:t>
      </w:r>
      <w:r w:rsidR="000672BC" w:rsidRPr="000672BC">
        <w:rPr>
          <w:rFonts w:ascii="Trebuchet MS" w:hAnsi="Trebuchet MS"/>
        </w:rPr>
        <w:t>safeguard</w:t>
      </w:r>
      <w:r w:rsidR="005B0629">
        <w:rPr>
          <w:rFonts w:ascii="Trebuchet MS" w:hAnsi="Trebuchet MS"/>
        </w:rPr>
        <w:t>. It is unlikely</w:t>
      </w:r>
      <w:r w:rsidR="006B413F" w:rsidRPr="000672BC">
        <w:rPr>
          <w:rFonts w:ascii="Trebuchet MS" w:hAnsi="Trebuchet MS"/>
        </w:rPr>
        <w:t xml:space="preserve"> </w:t>
      </w:r>
      <w:r w:rsidR="005B0629" w:rsidRPr="000672BC">
        <w:rPr>
          <w:rFonts w:ascii="Trebuchet MS" w:hAnsi="Trebuchet MS"/>
        </w:rPr>
        <w:t xml:space="preserve">the </w:t>
      </w:r>
      <w:r w:rsidR="000672BC" w:rsidRPr="000672BC">
        <w:rPr>
          <w:rFonts w:ascii="Trebuchet MS" w:hAnsi="Trebuchet MS"/>
        </w:rPr>
        <w:t>OPG</w:t>
      </w:r>
      <w:r w:rsidR="00A834CC">
        <w:rPr>
          <w:rFonts w:ascii="Trebuchet MS" w:hAnsi="Trebuchet MS"/>
        </w:rPr>
        <w:t xml:space="preserve"> would be able to identify</w:t>
      </w:r>
      <w:r w:rsidR="000672BC" w:rsidRPr="000672BC">
        <w:rPr>
          <w:rFonts w:ascii="Trebuchet MS" w:hAnsi="Trebuchet MS"/>
        </w:rPr>
        <w:t xml:space="preserve"> whether</w:t>
      </w:r>
      <w:r w:rsidR="006B413F" w:rsidRPr="000672BC">
        <w:rPr>
          <w:rFonts w:ascii="Trebuchet MS" w:hAnsi="Trebuchet MS"/>
        </w:rPr>
        <w:t xml:space="preserve"> the certificate provider is disqualified. </w:t>
      </w:r>
      <w:r w:rsidR="00757C11">
        <w:rPr>
          <w:rFonts w:ascii="Trebuchet MS" w:hAnsi="Trebuchet MS"/>
        </w:rPr>
        <w:t>Certificate providers may not know they cannot act as such, as t</w:t>
      </w:r>
      <w:r w:rsidR="006B413F" w:rsidRPr="000672BC">
        <w:rPr>
          <w:rFonts w:ascii="Trebuchet MS" w:hAnsi="Trebuchet MS"/>
        </w:rPr>
        <w:t xml:space="preserve">he font size setting out </w:t>
      </w:r>
      <w:r w:rsidR="00757C11">
        <w:rPr>
          <w:rFonts w:ascii="Trebuchet MS" w:hAnsi="Trebuchet MS"/>
        </w:rPr>
        <w:t>those who are disqualified is so</w:t>
      </w:r>
      <w:r w:rsidR="009A7442">
        <w:rPr>
          <w:rFonts w:ascii="Trebuchet MS" w:hAnsi="Trebuchet MS"/>
        </w:rPr>
        <w:t xml:space="preserve"> small;</w:t>
      </w:r>
      <w:r w:rsidR="006B413F" w:rsidRPr="000672BC">
        <w:rPr>
          <w:rFonts w:ascii="Trebuchet MS" w:hAnsi="Trebuchet MS"/>
        </w:rPr>
        <w:t xml:space="preserve"> only those with perfect vision </w:t>
      </w:r>
      <w:r w:rsidR="000672BC" w:rsidRPr="000672BC">
        <w:rPr>
          <w:rFonts w:ascii="Trebuchet MS" w:hAnsi="Trebuchet MS"/>
        </w:rPr>
        <w:t>could possibly</w:t>
      </w:r>
      <w:r w:rsidR="006955A1" w:rsidRPr="000672BC">
        <w:rPr>
          <w:rFonts w:ascii="Trebuchet MS" w:hAnsi="Trebuchet MS"/>
        </w:rPr>
        <w:t xml:space="preserve"> </w:t>
      </w:r>
      <w:r w:rsidR="006B413F" w:rsidRPr="000672BC">
        <w:rPr>
          <w:rFonts w:ascii="Trebuchet MS" w:hAnsi="Trebuchet MS"/>
        </w:rPr>
        <w:t>read it.</w:t>
      </w:r>
      <w:r w:rsidR="006955A1" w:rsidRPr="000672BC">
        <w:rPr>
          <w:rFonts w:ascii="Trebuchet MS" w:hAnsi="Trebuchet MS"/>
        </w:rPr>
        <w:t xml:space="preserve"> </w:t>
      </w:r>
      <w:r w:rsidR="00757C11">
        <w:rPr>
          <w:rFonts w:ascii="Trebuchet MS" w:hAnsi="Trebuchet MS"/>
        </w:rPr>
        <w:t>No doubt t</w:t>
      </w:r>
      <w:r w:rsidR="003C0D96" w:rsidRPr="000672BC">
        <w:rPr>
          <w:rFonts w:ascii="Trebuchet MS" w:hAnsi="Trebuchet MS"/>
        </w:rPr>
        <w:t xml:space="preserve">he change </w:t>
      </w:r>
      <w:r w:rsidR="00757C11">
        <w:rPr>
          <w:rFonts w:ascii="Trebuchet MS" w:hAnsi="Trebuchet MS"/>
        </w:rPr>
        <w:t>has</w:t>
      </w:r>
      <w:r w:rsidR="003C0D96" w:rsidRPr="000672BC">
        <w:rPr>
          <w:rFonts w:ascii="Trebuchet MS" w:hAnsi="Trebuchet MS"/>
        </w:rPr>
        <w:t xml:space="preserve"> </w:t>
      </w:r>
      <w:r w:rsidR="00857480" w:rsidRPr="000672BC">
        <w:rPr>
          <w:rFonts w:ascii="Trebuchet MS" w:hAnsi="Trebuchet MS"/>
        </w:rPr>
        <w:t xml:space="preserve">made </w:t>
      </w:r>
      <w:r w:rsidR="000672BC" w:rsidRPr="000672BC">
        <w:rPr>
          <w:rFonts w:ascii="Trebuchet MS" w:hAnsi="Trebuchet MS"/>
        </w:rPr>
        <w:t>the OPG</w:t>
      </w:r>
      <w:r w:rsidR="005B0629">
        <w:rPr>
          <w:rFonts w:ascii="Trebuchet MS" w:hAnsi="Trebuchet MS"/>
        </w:rPr>
        <w:t>’</w:t>
      </w:r>
      <w:r w:rsidR="009A7442">
        <w:rPr>
          <w:rFonts w:ascii="Trebuchet MS" w:hAnsi="Trebuchet MS"/>
        </w:rPr>
        <w:t>s work</w:t>
      </w:r>
      <w:r w:rsidR="0009121F" w:rsidRPr="000672BC">
        <w:rPr>
          <w:rFonts w:ascii="Trebuchet MS" w:hAnsi="Trebuchet MS"/>
        </w:rPr>
        <w:t xml:space="preserve"> easier</w:t>
      </w:r>
      <w:r w:rsidR="00857480" w:rsidRPr="000672BC">
        <w:rPr>
          <w:rFonts w:ascii="Trebuchet MS" w:hAnsi="Trebuchet MS"/>
        </w:rPr>
        <w:t>.</w:t>
      </w:r>
      <w:r w:rsidR="00286F52" w:rsidRPr="000672BC">
        <w:rPr>
          <w:rFonts w:ascii="Trebuchet MS" w:hAnsi="Trebuchet MS"/>
        </w:rPr>
        <w:t xml:space="preserve"> </w:t>
      </w:r>
    </w:p>
    <w:p w:rsidR="005B0629" w:rsidRDefault="005B0629">
      <w:pPr>
        <w:rPr>
          <w:rFonts w:ascii="Trebuchet MS" w:hAnsi="Trebuchet MS"/>
        </w:rPr>
      </w:pPr>
    </w:p>
    <w:p w:rsidR="00286F52" w:rsidRPr="000672BC" w:rsidRDefault="00757C11">
      <w:pPr>
        <w:rPr>
          <w:rFonts w:ascii="Trebuchet MS" w:hAnsi="Trebuchet MS"/>
        </w:rPr>
      </w:pPr>
      <w:r>
        <w:rPr>
          <w:rFonts w:ascii="Trebuchet MS" w:hAnsi="Trebuchet MS"/>
        </w:rPr>
        <w:t>The OPG no longer have</w:t>
      </w:r>
      <w:r w:rsidR="0009136C" w:rsidRPr="000672BC">
        <w:rPr>
          <w:rFonts w:ascii="Trebuchet MS" w:hAnsi="Trebuchet MS"/>
        </w:rPr>
        <w:t xml:space="preserve"> any guidance aimed at the certificate provider to he</w:t>
      </w:r>
      <w:r>
        <w:rPr>
          <w:rFonts w:ascii="Trebuchet MS" w:hAnsi="Trebuchet MS"/>
        </w:rPr>
        <w:t>lp him work out how to form his</w:t>
      </w:r>
      <w:r w:rsidR="0009136C" w:rsidRPr="000672BC">
        <w:rPr>
          <w:rFonts w:ascii="Trebuchet MS" w:hAnsi="Trebuchet MS"/>
        </w:rPr>
        <w:t xml:space="preserve"> opinion. The legislation </w:t>
      </w:r>
      <w:r>
        <w:rPr>
          <w:rFonts w:ascii="Trebuchet MS" w:hAnsi="Trebuchet MS"/>
        </w:rPr>
        <w:t xml:space="preserve">specifically </w:t>
      </w:r>
      <w:r w:rsidR="0009136C" w:rsidRPr="000672BC">
        <w:rPr>
          <w:rFonts w:ascii="Trebuchet MS" w:hAnsi="Trebuchet MS"/>
        </w:rPr>
        <w:t>requires the certificate</w:t>
      </w:r>
      <w:r>
        <w:rPr>
          <w:rFonts w:ascii="Trebuchet MS" w:hAnsi="Trebuchet MS"/>
        </w:rPr>
        <w:t xml:space="preserve"> provider to form</w:t>
      </w:r>
      <w:r w:rsidR="0009136C" w:rsidRPr="000672BC">
        <w:rPr>
          <w:rFonts w:ascii="Trebuchet MS" w:hAnsi="Trebuchet MS"/>
        </w:rPr>
        <w:t xml:space="preserve"> an </w:t>
      </w:r>
      <w:r w:rsidR="009A7442">
        <w:rPr>
          <w:rFonts w:ascii="Trebuchet MS" w:hAnsi="Trebuchet MS"/>
        </w:rPr>
        <w:t>‘</w:t>
      </w:r>
      <w:r w:rsidR="0009136C" w:rsidRPr="000672BC">
        <w:rPr>
          <w:rFonts w:ascii="Trebuchet MS" w:hAnsi="Trebuchet MS"/>
        </w:rPr>
        <w:t>opinion</w:t>
      </w:r>
      <w:r w:rsidR="009A7442">
        <w:rPr>
          <w:rFonts w:ascii="Trebuchet MS" w:hAnsi="Trebuchet MS"/>
        </w:rPr>
        <w:t>’</w:t>
      </w:r>
      <w:r w:rsidR="0009136C" w:rsidRPr="000672BC">
        <w:rPr>
          <w:rFonts w:ascii="Trebuchet MS" w:hAnsi="Trebuchet MS"/>
        </w:rPr>
        <w:t>,</w:t>
      </w:r>
      <w:r>
        <w:rPr>
          <w:rFonts w:ascii="Trebuchet MS" w:hAnsi="Trebuchet MS"/>
        </w:rPr>
        <w:t xml:space="preserve"> which I would suggest requires him to take some positive action in this regard. Y</w:t>
      </w:r>
      <w:r w:rsidR="0009136C" w:rsidRPr="000672BC">
        <w:rPr>
          <w:rFonts w:ascii="Trebuchet MS" w:hAnsi="Trebuchet MS"/>
        </w:rPr>
        <w:t>et</w:t>
      </w:r>
      <w:r>
        <w:rPr>
          <w:rFonts w:ascii="Trebuchet MS" w:hAnsi="Trebuchet MS"/>
        </w:rPr>
        <w:t>,</w:t>
      </w:r>
      <w:r w:rsidR="0009136C" w:rsidRPr="000672BC">
        <w:rPr>
          <w:rFonts w:ascii="Trebuchet MS" w:hAnsi="Trebuchet MS"/>
        </w:rPr>
        <w:t xml:space="preserve"> the 2015 prescribed form</w:t>
      </w:r>
      <w:r>
        <w:rPr>
          <w:rFonts w:ascii="Trebuchet MS" w:hAnsi="Trebuchet MS"/>
        </w:rPr>
        <w:t>s do</w:t>
      </w:r>
      <w:r w:rsidR="00227FF9">
        <w:rPr>
          <w:rFonts w:ascii="Trebuchet MS" w:hAnsi="Trebuchet MS"/>
        </w:rPr>
        <w:t xml:space="preserve"> not require</w:t>
      </w:r>
      <w:r>
        <w:rPr>
          <w:rFonts w:ascii="Trebuchet MS" w:hAnsi="Trebuchet MS"/>
        </w:rPr>
        <w:t xml:space="preserve"> an opinion</w:t>
      </w:r>
      <w:r w:rsidR="0009136C" w:rsidRPr="000672BC">
        <w:rPr>
          <w:rFonts w:ascii="Trebuchet MS" w:hAnsi="Trebuchet MS"/>
        </w:rPr>
        <w:t xml:space="preserve"> </w:t>
      </w:r>
      <w:r>
        <w:rPr>
          <w:rFonts w:ascii="Trebuchet MS" w:hAnsi="Trebuchet MS"/>
        </w:rPr>
        <w:t xml:space="preserve">but </w:t>
      </w:r>
      <w:r w:rsidR="005B0629">
        <w:rPr>
          <w:rFonts w:ascii="Trebuchet MS" w:hAnsi="Trebuchet MS"/>
        </w:rPr>
        <w:t xml:space="preserve">rather </w:t>
      </w:r>
      <w:r>
        <w:rPr>
          <w:rFonts w:ascii="Trebuchet MS" w:hAnsi="Trebuchet MS"/>
        </w:rPr>
        <w:t>passively states</w:t>
      </w:r>
      <w:r w:rsidR="00227FF9">
        <w:rPr>
          <w:rFonts w:ascii="Trebuchet MS" w:hAnsi="Trebuchet MS"/>
        </w:rPr>
        <w:t xml:space="preserve"> that this is</w:t>
      </w:r>
      <w:r>
        <w:rPr>
          <w:rFonts w:ascii="Trebuchet MS" w:hAnsi="Trebuchet MS"/>
        </w:rPr>
        <w:t>,</w:t>
      </w:r>
      <w:r w:rsidR="0009136C" w:rsidRPr="000672BC">
        <w:rPr>
          <w:rFonts w:ascii="Trebuchet MS" w:hAnsi="Trebuchet MS"/>
        </w:rPr>
        <w:t xml:space="preserve"> </w:t>
      </w:r>
      <w:r w:rsidR="000672BC" w:rsidRPr="000672BC">
        <w:rPr>
          <w:rFonts w:ascii="Trebuchet MS" w:hAnsi="Trebuchet MS"/>
        </w:rPr>
        <w:t>‘so</w:t>
      </w:r>
      <w:r w:rsidR="0009136C" w:rsidRPr="000672BC">
        <w:rPr>
          <w:rFonts w:ascii="Trebuchet MS" w:hAnsi="Trebuchet MS"/>
        </w:rPr>
        <w:t xml:space="preserve"> far as I'm aware’. </w:t>
      </w:r>
    </w:p>
    <w:p w:rsidR="002C77D8" w:rsidRPr="000672BC" w:rsidRDefault="002C77D8">
      <w:pPr>
        <w:rPr>
          <w:rFonts w:ascii="Trebuchet MS" w:hAnsi="Trebuchet MS"/>
        </w:rPr>
      </w:pPr>
    </w:p>
    <w:p w:rsidR="00334117" w:rsidRDefault="00E53764">
      <w:pPr>
        <w:rPr>
          <w:rFonts w:ascii="Trebuchet MS" w:hAnsi="Trebuchet MS"/>
        </w:rPr>
      </w:pPr>
      <w:r w:rsidRPr="000672BC">
        <w:rPr>
          <w:rFonts w:ascii="Trebuchet MS" w:hAnsi="Trebuchet MS"/>
        </w:rPr>
        <w:t xml:space="preserve">According to statistics </w:t>
      </w:r>
      <w:r w:rsidR="00FD5E2F">
        <w:rPr>
          <w:rFonts w:ascii="Trebuchet MS" w:hAnsi="Trebuchet MS"/>
        </w:rPr>
        <w:t>published by the Ministry of Justice in March 2017,</w:t>
      </w:r>
      <w:r w:rsidRPr="000672BC">
        <w:rPr>
          <w:rFonts w:ascii="Trebuchet MS" w:hAnsi="Trebuchet MS"/>
        </w:rPr>
        <w:t xml:space="preserve"> the single lar</w:t>
      </w:r>
      <w:r w:rsidR="008D6045">
        <w:rPr>
          <w:rFonts w:ascii="Trebuchet MS" w:hAnsi="Trebuchet MS"/>
        </w:rPr>
        <w:t>gest group of registered LPAs</w:t>
      </w:r>
      <w:r w:rsidRPr="000672BC">
        <w:rPr>
          <w:rFonts w:ascii="Trebuchet MS" w:hAnsi="Trebuchet MS"/>
        </w:rPr>
        <w:t xml:space="preserve"> are </w:t>
      </w:r>
      <w:r w:rsidR="00191FD1">
        <w:rPr>
          <w:rFonts w:ascii="Trebuchet MS" w:hAnsi="Trebuchet MS"/>
        </w:rPr>
        <w:t>for people</w:t>
      </w:r>
      <w:r w:rsidR="008D6045">
        <w:rPr>
          <w:rFonts w:ascii="Trebuchet MS" w:hAnsi="Trebuchet MS"/>
        </w:rPr>
        <w:t xml:space="preserve"> aged between 81-90, followed not far behind by those aged </w:t>
      </w:r>
      <w:r w:rsidR="00191FD1">
        <w:rPr>
          <w:rFonts w:ascii="Trebuchet MS" w:hAnsi="Trebuchet MS"/>
        </w:rPr>
        <w:t>between 71-80</w:t>
      </w:r>
      <w:r w:rsidR="008D6045">
        <w:rPr>
          <w:rFonts w:ascii="Trebuchet MS" w:hAnsi="Trebuchet MS"/>
        </w:rPr>
        <w:t xml:space="preserve">. </w:t>
      </w:r>
      <w:r w:rsidR="00A7390C" w:rsidRPr="000672BC">
        <w:rPr>
          <w:rFonts w:ascii="Trebuchet MS" w:hAnsi="Trebuchet MS"/>
        </w:rPr>
        <w:t xml:space="preserve">The incidence of disability and cognitive impairment increases with age, and so statistically there is a high chance that many of these </w:t>
      </w:r>
      <w:r w:rsidR="000672BC" w:rsidRPr="000672BC">
        <w:rPr>
          <w:rFonts w:ascii="Trebuchet MS" w:hAnsi="Trebuchet MS"/>
        </w:rPr>
        <w:t>donors already</w:t>
      </w:r>
      <w:r w:rsidR="00191FD1">
        <w:rPr>
          <w:rFonts w:ascii="Trebuchet MS" w:hAnsi="Trebuchet MS"/>
        </w:rPr>
        <w:t xml:space="preserve"> had</w:t>
      </w:r>
      <w:r w:rsidR="00A7390C" w:rsidRPr="000672BC">
        <w:rPr>
          <w:rFonts w:ascii="Trebuchet MS" w:hAnsi="Trebuchet MS"/>
        </w:rPr>
        <w:t xml:space="preserve"> </w:t>
      </w:r>
      <w:r w:rsidR="0070727B" w:rsidRPr="000672BC">
        <w:rPr>
          <w:rFonts w:ascii="Trebuchet MS" w:hAnsi="Trebuchet MS"/>
        </w:rPr>
        <w:t>such dif</w:t>
      </w:r>
      <w:r w:rsidR="00242507" w:rsidRPr="000672BC">
        <w:rPr>
          <w:rFonts w:ascii="Trebuchet MS" w:hAnsi="Trebuchet MS"/>
        </w:rPr>
        <w:t>ficulties</w:t>
      </w:r>
      <w:r w:rsidR="00191FD1">
        <w:rPr>
          <w:rFonts w:ascii="Trebuchet MS" w:hAnsi="Trebuchet MS"/>
        </w:rPr>
        <w:t xml:space="preserve"> when they made their lasting power</w:t>
      </w:r>
      <w:r w:rsidR="00242507" w:rsidRPr="000672BC">
        <w:rPr>
          <w:rFonts w:ascii="Trebuchet MS" w:hAnsi="Trebuchet MS"/>
        </w:rPr>
        <w:t xml:space="preserve">. </w:t>
      </w:r>
      <w:r w:rsidR="00334117">
        <w:rPr>
          <w:rFonts w:ascii="Trebuchet MS" w:hAnsi="Trebuchet MS"/>
        </w:rPr>
        <w:t>It is no</w:t>
      </w:r>
      <w:r w:rsidR="00737FE1">
        <w:rPr>
          <w:rFonts w:ascii="Trebuchet MS" w:hAnsi="Trebuchet MS"/>
        </w:rPr>
        <w:t>t</w:t>
      </w:r>
      <w:r w:rsidR="00334117">
        <w:rPr>
          <w:rFonts w:ascii="Trebuchet MS" w:hAnsi="Trebuchet MS"/>
        </w:rPr>
        <w:t xml:space="preserve"> uncommon in practice for f</w:t>
      </w:r>
      <w:r w:rsidR="00286F52" w:rsidRPr="000672BC">
        <w:rPr>
          <w:rFonts w:ascii="Trebuchet MS" w:hAnsi="Trebuchet MS"/>
        </w:rPr>
        <w:t xml:space="preserve">amily members </w:t>
      </w:r>
      <w:r w:rsidR="00334117">
        <w:rPr>
          <w:rFonts w:ascii="Trebuchet MS" w:hAnsi="Trebuchet MS"/>
        </w:rPr>
        <w:t>to contact a</w:t>
      </w:r>
      <w:r w:rsidR="00286F52" w:rsidRPr="000672BC">
        <w:rPr>
          <w:rFonts w:ascii="Trebuchet MS" w:hAnsi="Trebuchet MS"/>
        </w:rPr>
        <w:t xml:space="preserve"> </w:t>
      </w:r>
      <w:r w:rsidR="00191FD1">
        <w:rPr>
          <w:rFonts w:ascii="Trebuchet MS" w:hAnsi="Trebuchet MS"/>
        </w:rPr>
        <w:t xml:space="preserve">professional </w:t>
      </w:r>
      <w:r w:rsidR="00334117">
        <w:rPr>
          <w:rFonts w:ascii="Trebuchet MS" w:hAnsi="Trebuchet MS"/>
        </w:rPr>
        <w:t>adviser, to ‘get</w:t>
      </w:r>
      <w:r w:rsidR="00286F52" w:rsidRPr="000672BC">
        <w:rPr>
          <w:rFonts w:ascii="Trebuchet MS" w:hAnsi="Trebuchet MS"/>
        </w:rPr>
        <w:t xml:space="preserve">’ a power </w:t>
      </w:r>
      <w:r w:rsidR="000672BC" w:rsidRPr="000672BC">
        <w:rPr>
          <w:rFonts w:ascii="Trebuchet MS" w:hAnsi="Trebuchet MS"/>
        </w:rPr>
        <w:t>over their</w:t>
      </w:r>
      <w:r w:rsidR="00286F52" w:rsidRPr="000672BC">
        <w:rPr>
          <w:rFonts w:ascii="Trebuchet MS" w:hAnsi="Trebuchet MS"/>
        </w:rPr>
        <w:t xml:space="preserve"> relative</w:t>
      </w:r>
      <w:r w:rsidR="00695A2E">
        <w:rPr>
          <w:rFonts w:ascii="Trebuchet MS" w:hAnsi="Trebuchet MS"/>
        </w:rPr>
        <w:t>’s</w:t>
      </w:r>
      <w:r w:rsidR="00995E7E">
        <w:rPr>
          <w:rFonts w:ascii="Trebuchet MS" w:hAnsi="Trebuchet MS"/>
        </w:rPr>
        <w:t xml:space="preserve"> money:</w:t>
      </w:r>
      <w:r w:rsidR="00286F52" w:rsidRPr="000672BC">
        <w:rPr>
          <w:rFonts w:ascii="Trebuchet MS" w:hAnsi="Trebuchet MS"/>
        </w:rPr>
        <w:t xml:space="preserve"> </w:t>
      </w:r>
      <w:r w:rsidR="00995E7E">
        <w:rPr>
          <w:rFonts w:ascii="Trebuchet MS" w:hAnsi="Trebuchet MS"/>
        </w:rPr>
        <w:t>r</w:t>
      </w:r>
      <w:r w:rsidR="002C77D8" w:rsidRPr="000672BC">
        <w:rPr>
          <w:rFonts w:ascii="Trebuchet MS" w:hAnsi="Trebuchet MS"/>
        </w:rPr>
        <w:t>ather than</w:t>
      </w:r>
      <w:r w:rsidR="00705D5B" w:rsidRPr="000672BC">
        <w:rPr>
          <w:rFonts w:ascii="Trebuchet MS" w:hAnsi="Trebuchet MS"/>
        </w:rPr>
        <w:t xml:space="preserve"> </w:t>
      </w:r>
      <w:r w:rsidR="00286F52" w:rsidRPr="000672BC">
        <w:rPr>
          <w:rFonts w:ascii="Trebuchet MS" w:hAnsi="Trebuchet MS"/>
        </w:rPr>
        <w:t xml:space="preserve">wishing to be </w:t>
      </w:r>
      <w:r w:rsidR="00334117">
        <w:rPr>
          <w:rFonts w:ascii="Trebuchet MS" w:hAnsi="Trebuchet MS"/>
        </w:rPr>
        <w:t>‘</w:t>
      </w:r>
      <w:r w:rsidR="00286F52" w:rsidRPr="000672BC">
        <w:rPr>
          <w:rFonts w:ascii="Trebuchet MS" w:hAnsi="Trebuchet MS"/>
        </w:rPr>
        <w:t>given</w:t>
      </w:r>
      <w:r w:rsidR="00334117">
        <w:rPr>
          <w:rFonts w:ascii="Trebuchet MS" w:hAnsi="Trebuchet MS"/>
        </w:rPr>
        <w:t>’</w:t>
      </w:r>
      <w:r w:rsidR="00286F52" w:rsidRPr="000672BC">
        <w:rPr>
          <w:rFonts w:ascii="Trebuchet MS" w:hAnsi="Trebuchet MS"/>
        </w:rPr>
        <w:t xml:space="preserve"> the power by their relative. </w:t>
      </w:r>
      <w:r w:rsidR="00E33452" w:rsidRPr="000672BC">
        <w:rPr>
          <w:rFonts w:ascii="Trebuchet MS" w:hAnsi="Trebuchet MS"/>
        </w:rPr>
        <w:t>The donor is rarely i</w:t>
      </w:r>
      <w:r w:rsidR="004A6457">
        <w:rPr>
          <w:rFonts w:ascii="Trebuchet MS" w:hAnsi="Trebuchet MS"/>
        </w:rPr>
        <w:t>nitiating the need to have the power. It is for this reason, I believe</w:t>
      </w:r>
      <w:r w:rsidR="00E33452" w:rsidRPr="000672BC">
        <w:rPr>
          <w:rFonts w:ascii="Trebuchet MS" w:hAnsi="Trebuchet MS"/>
        </w:rPr>
        <w:t xml:space="preserve"> that professional advisers act as a</w:t>
      </w:r>
      <w:r w:rsidR="00334117">
        <w:rPr>
          <w:rFonts w:ascii="Trebuchet MS" w:hAnsi="Trebuchet MS"/>
        </w:rPr>
        <w:t>n important</w:t>
      </w:r>
      <w:r w:rsidR="00E33452" w:rsidRPr="000672BC">
        <w:rPr>
          <w:rFonts w:ascii="Trebuchet MS" w:hAnsi="Trebuchet MS"/>
        </w:rPr>
        <w:t xml:space="preserve"> </w:t>
      </w:r>
      <w:r w:rsidR="000672BC" w:rsidRPr="000672BC">
        <w:rPr>
          <w:rFonts w:ascii="Trebuchet MS" w:hAnsi="Trebuchet MS"/>
        </w:rPr>
        <w:t>safeguard</w:t>
      </w:r>
      <w:r w:rsidR="00334117">
        <w:rPr>
          <w:rFonts w:ascii="Trebuchet MS" w:hAnsi="Trebuchet MS"/>
        </w:rPr>
        <w:t>.</w:t>
      </w:r>
      <w:r w:rsidR="00E33452" w:rsidRPr="000672BC">
        <w:rPr>
          <w:rFonts w:ascii="Trebuchet MS" w:hAnsi="Trebuchet MS"/>
        </w:rPr>
        <w:t xml:space="preserve"> </w:t>
      </w:r>
      <w:r w:rsidR="00334117">
        <w:rPr>
          <w:rFonts w:ascii="Trebuchet MS" w:hAnsi="Trebuchet MS"/>
        </w:rPr>
        <w:t>They are able to provide impartial advice about the donor’s choice of attorney and how best to include appropriate provisions to ensure the attorney</w:t>
      </w:r>
      <w:r w:rsidR="00334117" w:rsidRPr="000672BC">
        <w:rPr>
          <w:rFonts w:ascii="Trebuchet MS" w:hAnsi="Trebuchet MS"/>
        </w:rPr>
        <w:t xml:space="preserve"> make</w:t>
      </w:r>
      <w:r w:rsidR="00334117">
        <w:rPr>
          <w:rFonts w:ascii="Trebuchet MS" w:hAnsi="Trebuchet MS"/>
        </w:rPr>
        <w:t xml:space="preserve">s good decisions which are </w:t>
      </w:r>
      <w:r w:rsidR="00334117" w:rsidRPr="000672BC">
        <w:rPr>
          <w:rFonts w:ascii="Trebuchet MS" w:hAnsi="Trebuchet MS"/>
        </w:rPr>
        <w:t xml:space="preserve">tailored to </w:t>
      </w:r>
      <w:r w:rsidR="00334117">
        <w:rPr>
          <w:rFonts w:ascii="Trebuchet MS" w:hAnsi="Trebuchet MS"/>
        </w:rPr>
        <w:t xml:space="preserve">the donor’s </w:t>
      </w:r>
      <w:r w:rsidR="00334117" w:rsidRPr="000672BC">
        <w:rPr>
          <w:rFonts w:ascii="Trebuchet MS" w:hAnsi="Trebuchet MS"/>
        </w:rPr>
        <w:t>needs and wishes.</w:t>
      </w:r>
    </w:p>
    <w:p w:rsidR="00334117" w:rsidRDefault="00334117">
      <w:pPr>
        <w:rPr>
          <w:rFonts w:ascii="Trebuchet MS" w:hAnsi="Trebuchet MS"/>
        </w:rPr>
      </w:pPr>
    </w:p>
    <w:p w:rsidR="00101086" w:rsidRPr="000672BC" w:rsidRDefault="008D3A03">
      <w:pPr>
        <w:rPr>
          <w:rFonts w:ascii="Trebuchet MS" w:hAnsi="Trebuchet MS"/>
        </w:rPr>
      </w:pPr>
      <w:r>
        <w:rPr>
          <w:rFonts w:ascii="Trebuchet MS" w:hAnsi="Trebuchet MS"/>
        </w:rPr>
        <w:t>The OPG intend</w:t>
      </w:r>
      <w:r w:rsidR="00F5472F" w:rsidRPr="000672BC">
        <w:rPr>
          <w:rFonts w:ascii="Trebuchet MS" w:hAnsi="Trebuchet MS"/>
        </w:rPr>
        <w:t xml:space="preserve"> </w:t>
      </w:r>
      <w:r w:rsidR="001368B9">
        <w:rPr>
          <w:rFonts w:ascii="Trebuchet MS" w:hAnsi="Trebuchet MS"/>
        </w:rPr>
        <w:t>to move forward with their plan</w:t>
      </w:r>
      <w:r w:rsidR="00F5472F" w:rsidRPr="000672BC">
        <w:rPr>
          <w:rFonts w:ascii="Trebuchet MS" w:hAnsi="Trebuchet MS"/>
        </w:rPr>
        <w:t xml:space="preserve"> to</w:t>
      </w:r>
      <w:r>
        <w:rPr>
          <w:rFonts w:ascii="Trebuchet MS" w:hAnsi="Trebuchet MS"/>
        </w:rPr>
        <w:t xml:space="preserve"> make the process fully digital:</w:t>
      </w:r>
      <w:r w:rsidR="00F5472F" w:rsidRPr="000672BC">
        <w:rPr>
          <w:rFonts w:ascii="Trebuchet MS" w:hAnsi="Trebuchet MS"/>
        </w:rPr>
        <w:t xml:space="preserve"> completing the creating and registration of the power without any wet signatures. I am not convinced that this provides any benefit for the donor, and may increase the risk of their personal data being used without their authority to </w:t>
      </w:r>
      <w:r w:rsidR="000672BC" w:rsidRPr="000672BC">
        <w:rPr>
          <w:rFonts w:ascii="Trebuchet MS" w:hAnsi="Trebuchet MS"/>
        </w:rPr>
        <w:t>create a</w:t>
      </w:r>
      <w:r w:rsidR="00F5472F" w:rsidRPr="000672BC">
        <w:rPr>
          <w:rFonts w:ascii="Trebuchet MS" w:hAnsi="Trebuchet MS"/>
        </w:rPr>
        <w:t xml:space="preserve"> power</w:t>
      </w:r>
      <w:r w:rsidR="009364FF">
        <w:rPr>
          <w:rFonts w:ascii="Trebuchet MS" w:hAnsi="Trebuchet MS"/>
        </w:rPr>
        <w:t xml:space="preserve"> and</w:t>
      </w:r>
      <w:r w:rsidR="00F5472F" w:rsidRPr="000672BC">
        <w:rPr>
          <w:rFonts w:ascii="Trebuchet MS" w:hAnsi="Trebuchet MS"/>
        </w:rPr>
        <w:t xml:space="preserve"> without their</w:t>
      </w:r>
      <w:r w:rsidR="009F09C4">
        <w:rPr>
          <w:rFonts w:ascii="Trebuchet MS" w:hAnsi="Trebuchet MS"/>
        </w:rPr>
        <w:t xml:space="preserve"> knowledge</w:t>
      </w:r>
      <w:r w:rsidR="00F5472F" w:rsidRPr="000672BC">
        <w:rPr>
          <w:rFonts w:ascii="Trebuchet MS" w:hAnsi="Trebuchet MS"/>
        </w:rPr>
        <w:t>. Whist I appreciate this can happen now, the</w:t>
      </w:r>
      <w:r w:rsidR="009364FF">
        <w:rPr>
          <w:rFonts w:ascii="Trebuchet MS" w:hAnsi="Trebuchet MS"/>
        </w:rPr>
        <w:t xml:space="preserve"> current</w:t>
      </w:r>
      <w:r w:rsidR="00F5472F" w:rsidRPr="000672BC">
        <w:rPr>
          <w:rFonts w:ascii="Trebuchet MS" w:hAnsi="Trebuchet MS"/>
        </w:rPr>
        <w:t xml:space="preserve"> practical obstacles ar</w:t>
      </w:r>
      <w:r w:rsidR="009F09C4">
        <w:rPr>
          <w:rFonts w:ascii="Trebuchet MS" w:hAnsi="Trebuchet MS"/>
        </w:rPr>
        <w:t>e such that it</w:t>
      </w:r>
      <w:r w:rsidR="009364FF">
        <w:rPr>
          <w:rFonts w:ascii="Trebuchet MS" w:hAnsi="Trebuchet MS"/>
        </w:rPr>
        <w:t xml:space="preserve"> acts as a deterrent</w:t>
      </w:r>
      <w:r w:rsidR="00F5472F" w:rsidRPr="000672BC">
        <w:rPr>
          <w:rFonts w:ascii="Trebuchet MS" w:hAnsi="Trebuchet MS"/>
        </w:rPr>
        <w:t>.</w:t>
      </w:r>
    </w:p>
    <w:p w:rsidR="00DF7E75" w:rsidRPr="000672BC" w:rsidRDefault="00DF7E75">
      <w:pPr>
        <w:rPr>
          <w:rFonts w:ascii="Trebuchet MS" w:hAnsi="Trebuchet MS"/>
        </w:rPr>
      </w:pPr>
    </w:p>
    <w:p w:rsidR="0000647D" w:rsidRDefault="009F09C4">
      <w:pPr>
        <w:rPr>
          <w:rFonts w:ascii="Trebuchet MS" w:hAnsi="Trebuchet MS"/>
          <w:bCs/>
        </w:rPr>
      </w:pPr>
      <w:r>
        <w:rPr>
          <w:rFonts w:ascii="Trebuchet MS" w:hAnsi="Trebuchet MS"/>
        </w:rPr>
        <w:t xml:space="preserve">The OPG have redesigned their </w:t>
      </w:r>
      <w:r w:rsidR="00DF7E75" w:rsidRPr="000672BC">
        <w:rPr>
          <w:rFonts w:ascii="Trebuchet MS" w:hAnsi="Trebuchet MS"/>
        </w:rPr>
        <w:t>de</w:t>
      </w:r>
      <w:r>
        <w:rPr>
          <w:rFonts w:ascii="Trebuchet MS" w:hAnsi="Trebuchet MS"/>
        </w:rPr>
        <w:t xml:space="preserve">putyship supervision regime, </w:t>
      </w:r>
      <w:r w:rsidR="00C57388">
        <w:rPr>
          <w:rFonts w:ascii="Trebuchet MS" w:hAnsi="Trebuchet MS"/>
        </w:rPr>
        <w:t xml:space="preserve">utilising </w:t>
      </w:r>
      <w:r w:rsidR="00DF7E75" w:rsidRPr="000672BC">
        <w:rPr>
          <w:rFonts w:ascii="Trebuchet MS" w:hAnsi="Trebuchet MS"/>
        </w:rPr>
        <w:t xml:space="preserve">the </w:t>
      </w:r>
      <w:r w:rsidR="001E78B1">
        <w:rPr>
          <w:rFonts w:ascii="Trebuchet MS" w:hAnsi="Trebuchet MS"/>
        </w:rPr>
        <w:t>‘N</w:t>
      </w:r>
      <w:r w:rsidR="000672BC" w:rsidRPr="000672BC">
        <w:rPr>
          <w:rFonts w:ascii="Trebuchet MS" w:hAnsi="Trebuchet MS"/>
        </w:rPr>
        <w:t>udge</w:t>
      </w:r>
      <w:r w:rsidR="0000647D">
        <w:rPr>
          <w:rFonts w:ascii="Trebuchet MS" w:hAnsi="Trebuchet MS"/>
        </w:rPr>
        <w:t xml:space="preserve"> T</w:t>
      </w:r>
      <w:r w:rsidR="00DF7E75" w:rsidRPr="000672BC">
        <w:rPr>
          <w:rFonts w:ascii="Trebuchet MS" w:hAnsi="Trebuchet MS"/>
        </w:rPr>
        <w:t xml:space="preserve">heory’. </w:t>
      </w:r>
      <w:r w:rsidR="00C57388">
        <w:rPr>
          <w:rFonts w:ascii="Trebuchet MS" w:hAnsi="Trebuchet MS"/>
          <w:bCs/>
        </w:rPr>
        <w:t xml:space="preserve">Nudge </w:t>
      </w:r>
      <w:r w:rsidR="0000647D">
        <w:rPr>
          <w:rFonts w:ascii="Trebuchet MS" w:hAnsi="Trebuchet MS"/>
          <w:bCs/>
        </w:rPr>
        <w:t>T</w:t>
      </w:r>
      <w:r w:rsidR="00C57388" w:rsidRPr="00C57388">
        <w:rPr>
          <w:rFonts w:ascii="Trebuchet MS" w:hAnsi="Trebuchet MS"/>
          <w:bCs/>
        </w:rPr>
        <w:t xml:space="preserve">heory is usually credited to Richard Thaler, Professor of Behavioural Science and Economics at the University of Chicago Booth School of Business and Daniel Kahneman, an American psychologist. </w:t>
      </w:r>
      <w:r w:rsidR="0000647D" w:rsidRPr="0000647D">
        <w:rPr>
          <w:rFonts w:ascii="Trebuchet MS" w:hAnsi="Trebuchet MS"/>
          <w:bCs/>
        </w:rPr>
        <w:t>Nudge Theory argues that positive reinforcement and indirect suggestions to try to achieve non-forced compliance can influence the motives, incentives and decision making of groups and individuals alike, at least as effectively – if not more effectively- than direct instruction, legislation, or enforcement.</w:t>
      </w:r>
    </w:p>
    <w:p w:rsidR="00EE7AEB" w:rsidRDefault="00EE7AEB">
      <w:pPr>
        <w:rPr>
          <w:rFonts w:ascii="Trebuchet MS" w:hAnsi="Trebuchet MS"/>
          <w:bCs/>
        </w:rPr>
      </w:pPr>
      <w:bookmarkStart w:id="0" w:name="_GoBack"/>
      <w:bookmarkEnd w:id="0"/>
    </w:p>
    <w:p w:rsidR="00DF7E75" w:rsidRPr="000672BC" w:rsidRDefault="0000647D">
      <w:pPr>
        <w:rPr>
          <w:rFonts w:ascii="Trebuchet MS" w:hAnsi="Trebuchet MS"/>
        </w:rPr>
      </w:pPr>
      <w:r>
        <w:rPr>
          <w:rFonts w:ascii="Trebuchet MS" w:hAnsi="Trebuchet MS"/>
        </w:rPr>
        <w:t>In effect, most people are compliant</w:t>
      </w:r>
      <w:r w:rsidR="00DF7E75" w:rsidRPr="000672BC">
        <w:rPr>
          <w:rFonts w:ascii="Trebuchet MS" w:hAnsi="Trebuchet MS"/>
        </w:rPr>
        <w:t xml:space="preserve"> w</w:t>
      </w:r>
      <w:r>
        <w:rPr>
          <w:rFonts w:ascii="Trebuchet MS" w:hAnsi="Trebuchet MS"/>
        </w:rPr>
        <w:t>hen they are told the rules; s</w:t>
      </w:r>
      <w:r w:rsidR="00DF7E75" w:rsidRPr="000672BC">
        <w:rPr>
          <w:rFonts w:ascii="Trebuchet MS" w:hAnsi="Trebuchet MS"/>
        </w:rPr>
        <w:t>ome</w:t>
      </w:r>
      <w:r>
        <w:rPr>
          <w:rFonts w:ascii="Trebuchet MS" w:hAnsi="Trebuchet MS"/>
        </w:rPr>
        <w:t xml:space="preserve"> need to understand the reasons behind the rules, before they are compliant; and a small number will ignore the rules</w:t>
      </w:r>
      <w:r w:rsidR="001E78B1">
        <w:rPr>
          <w:rFonts w:ascii="Trebuchet MS" w:hAnsi="Trebuchet MS"/>
        </w:rPr>
        <w:t>,</w:t>
      </w:r>
      <w:r>
        <w:rPr>
          <w:rFonts w:ascii="Trebuchet MS" w:hAnsi="Trebuchet MS"/>
        </w:rPr>
        <w:t xml:space="preserve"> </w:t>
      </w:r>
      <w:r w:rsidRPr="000672BC">
        <w:rPr>
          <w:rFonts w:ascii="Trebuchet MS" w:hAnsi="Trebuchet MS"/>
        </w:rPr>
        <w:t>regard</w:t>
      </w:r>
      <w:r>
        <w:rPr>
          <w:rFonts w:ascii="Trebuchet MS" w:hAnsi="Trebuchet MS"/>
        </w:rPr>
        <w:t>less of</w:t>
      </w:r>
      <w:r w:rsidRPr="000672BC">
        <w:rPr>
          <w:rFonts w:ascii="Trebuchet MS" w:hAnsi="Trebuchet MS"/>
        </w:rPr>
        <w:t xml:space="preserve"> the consequences. </w:t>
      </w:r>
      <w:r w:rsidR="002376C5">
        <w:rPr>
          <w:rFonts w:ascii="Trebuchet MS" w:hAnsi="Trebuchet MS"/>
        </w:rPr>
        <w:t xml:space="preserve">If the Nudge Theory were </w:t>
      </w:r>
      <w:r w:rsidR="001E78B1">
        <w:rPr>
          <w:rFonts w:ascii="Trebuchet MS" w:hAnsi="Trebuchet MS"/>
        </w:rPr>
        <w:t>applied to lasting powers, nearly all</w:t>
      </w:r>
      <w:r w:rsidR="002376C5">
        <w:rPr>
          <w:rFonts w:ascii="Trebuchet MS" w:hAnsi="Trebuchet MS"/>
        </w:rPr>
        <w:t xml:space="preserve"> attorneys would </w:t>
      </w:r>
      <w:r w:rsidR="00E56CDF">
        <w:rPr>
          <w:rFonts w:ascii="Trebuchet MS" w:hAnsi="Trebuchet MS"/>
        </w:rPr>
        <w:t>make legally compliant decisions.</w:t>
      </w:r>
    </w:p>
    <w:p w:rsidR="00DF7E75" w:rsidRPr="000672BC" w:rsidRDefault="00DF7E75">
      <w:pPr>
        <w:rPr>
          <w:rFonts w:ascii="Trebuchet MS" w:hAnsi="Trebuchet MS"/>
        </w:rPr>
      </w:pPr>
    </w:p>
    <w:p w:rsidR="005C1C1C" w:rsidRPr="000672BC" w:rsidRDefault="005C1C1C">
      <w:pPr>
        <w:rPr>
          <w:rFonts w:ascii="Trebuchet MS" w:hAnsi="Trebuchet MS"/>
        </w:rPr>
      </w:pPr>
      <w:r w:rsidRPr="000672BC">
        <w:rPr>
          <w:rFonts w:ascii="Trebuchet MS" w:hAnsi="Trebuchet MS"/>
        </w:rPr>
        <w:t xml:space="preserve">It is noticeable that there is very little useful information </w:t>
      </w:r>
      <w:r w:rsidR="00737193">
        <w:rPr>
          <w:rFonts w:ascii="Trebuchet MS" w:hAnsi="Trebuchet MS"/>
        </w:rPr>
        <w:t>provided to</w:t>
      </w:r>
      <w:r w:rsidRPr="000672BC">
        <w:rPr>
          <w:rFonts w:ascii="Trebuchet MS" w:hAnsi="Trebuchet MS"/>
        </w:rPr>
        <w:t xml:space="preserve"> attorneys at the point o</w:t>
      </w:r>
      <w:r w:rsidR="00E56CDF">
        <w:rPr>
          <w:rFonts w:ascii="Trebuchet MS" w:hAnsi="Trebuchet MS"/>
        </w:rPr>
        <w:t xml:space="preserve">f creating the power. The </w:t>
      </w:r>
      <w:r w:rsidRPr="000672BC">
        <w:rPr>
          <w:rFonts w:ascii="Trebuchet MS" w:hAnsi="Trebuchet MS"/>
        </w:rPr>
        <w:t>prescribed form</w:t>
      </w:r>
      <w:r w:rsidR="00E56CDF">
        <w:rPr>
          <w:rFonts w:ascii="Trebuchet MS" w:hAnsi="Trebuchet MS"/>
        </w:rPr>
        <w:t>s make no</w:t>
      </w:r>
      <w:r w:rsidRPr="000672BC">
        <w:rPr>
          <w:rFonts w:ascii="Trebuchet MS" w:hAnsi="Trebuchet MS"/>
        </w:rPr>
        <w:t xml:space="preserve"> reference to the need to consult the donor</w:t>
      </w:r>
      <w:r w:rsidR="00E56CDF">
        <w:rPr>
          <w:rFonts w:ascii="Trebuchet MS" w:hAnsi="Trebuchet MS"/>
        </w:rPr>
        <w:t>, co- attorney and those interested in the donor’s welfare when making decisions;</w:t>
      </w:r>
      <w:r w:rsidRPr="000672BC">
        <w:rPr>
          <w:rFonts w:ascii="Trebuchet MS" w:hAnsi="Trebuchet MS"/>
        </w:rPr>
        <w:t xml:space="preserve"> </w:t>
      </w:r>
      <w:r w:rsidR="00737193">
        <w:rPr>
          <w:rFonts w:ascii="Trebuchet MS" w:hAnsi="Trebuchet MS"/>
        </w:rPr>
        <w:t>and for financial attorneys-</w:t>
      </w:r>
      <w:r w:rsidR="00737193" w:rsidRPr="000672BC">
        <w:rPr>
          <w:rFonts w:ascii="Trebuchet MS" w:hAnsi="Trebuchet MS"/>
        </w:rPr>
        <w:t xml:space="preserve"> </w:t>
      </w:r>
      <w:r w:rsidRPr="000672BC">
        <w:rPr>
          <w:rFonts w:ascii="Trebuchet MS" w:hAnsi="Trebuchet MS"/>
        </w:rPr>
        <w:t xml:space="preserve">the need to keep accounts and the limited power to make gifts. It simply refers </w:t>
      </w:r>
      <w:r w:rsidR="00E56CDF">
        <w:rPr>
          <w:rFonts w:ascii="Trebuchet MS" w:hAnsi="Trebuchet MS"/>
        </w:rPr>
        <w:t xml:space="preserve">the parties </w:t>
      </w:r>
      <w:r w:rsidRPr="000672BC">
        <w:rPr>
          <w:rFonts w:ascii="Trebuchet MS" w:hAnsi="Trebuchet MS"/>
        </w:rPr>
        <w:t xml:space="preserve">to the legislation and </w:t>
      </w:r>
      <w:r w:rsidR="00737193">
        <w:rPr>
          <w:rFonts w:ascii="Trebuchet MS" w:hAnsi="Trebuchet MS"/>
        </w:rPr>
        <w:t>its</w:t>
      </w:r>
      <w:r w:rsidR="00E56CDF">
        <w:rPr>
          <w:rFonts w:ascii="Trebuchet MS" w:hAnsi="Trebuchet MS"/>
        </w:rPr>
        <w:t xml:space="preserve"> </w:t>
      </w:r>
      <w:r w:rsidRPr="000672BC">
        <w:rPr>
          <w:rFonts w:ascii="Trebuchet MS" w:hAnsi="Trebuchet MS"/>
        </w:rPr>
        <w:t xml:space="preserve">Code. There is a high risk </w:t>
      </w:r>
      <w:r w:rsidR="00E56CDF">
        <w:rPr>
          <w:rFonts w:ascii="Trebuchet MS" w:hAnsi="Trebuchet MS"/>
        </w:rPr>
        <w:t>that</w:t>
      </w:r>
      <w:r w:rsidR="000672BC" w:rsidRPr="000672BC">
        <w:rPr>
          <w:rFonts w:ascii="Trebuchet MS" w:hAnsi="Trebuchet MS"/>
        </w:rPr>
        <w:t xml:space="preserve"> attorneys</w:t>
      </w:r>
      <w:r w:rsidR="00E56CDF">
        <w:rPr>
          <w:rFonts w:ascii="Trebuchet MS" w:hAnsi="Trebuchet MS"/>
        </w:rPr>
        <w:t xml:space="preserve"> will</w:t>
      </w:r>
      <w:r w:rsidRPr="000672BC">
        <w:rPr>
          <w:rFonts w:ascii="Trebuchet MS" w:hAnsi="Trebuchet MS"/>
        </w:rPr>
        <w:t xml:space="preserve"> </w:t>
      </w:r>
      <w:r w:rsidR="00E56CDF">
        <w:rPr>
          <w:rFonts w:ascii="Trebuchet MS" w:hAnsi="Trebuchet MS"/>
        </w:rPr>
        <w:t>exceed their authority and fail to follow the law</w:t>
      </w:r>
      <w:r w:rsidRPr="000672BC">
        <w:rPr>
          <w:rFonts w:ascii="Trebuchet MS" w:hAnsi="Trebuchet MS"/>
        </w:rPr>
        <w:t>.</w:t>
      </w:r>
    </w:p>
    <w:p w:rsidR="005C1C1C" w:rsidRPr="000672BC" w:rsidRDefault="005C1C1C">
      <w:pPr>
        <w:rPr>
          <w:rFonts w:ascii="Trebuchet MS" w:hAnsi="Trebuchet MS"/>
        </w:rPr>
      </w:pPr>
    </w:p>
    <w:p w:rsidR="00595191" w:rsidRDefault="00E56CDF">
      <w:pPr>
        <w:rPr>
          <w:rFonts w:ascii="Trebuchet MS" w:hAnsi="Trebuchet MS"/>
        </w:rPr>
      </w:pPr>
      <w:r>
        <w:rPr>
          <w:rFonts w:ascii="Trebuchet MS" w:hAnsi="Trebuchet MS"/>
        </w:rPr>
        <w:t>C</w:t>
      </w:r>
      <w:r w:rsidR="000672BC" w:rsidRPr="000672BC">
        <w:rPr>
          <w:rFonts w:ascii="Trebuchet MS" w:hAnsi="Trebuchet MS"/>
        </w:rPr>
        <w:t>ourt</w:t>
      </w:r>
      <w:r w:rsidR="00137A65">
        <w:rPr>
          <w:rFonts w:ascii="Trebuchet MS" w:hAnsi="Trebuchet MS"/>
        </w:rPr>
        <w:t xml:space="preserve"> of Protection cases</w:t>
      </w:r>
      <w:r>
        <w:rPr>
          <w:rFonts w:ascii="Trebuchet MS" w:hAnsi="Trebuchet MS"/>
        </w:rPr>
        <w:t xml:space="preserve"> </w:t>
      </w:r>
      <w:r w:rsidR="00B4244F">
        <w:rPr>
          <w:rFonts w:ascii="Trebuchet MS" w:hAnsi="Trebuchet MS"/>
        </w:rPr>
        <w:t>which involve</w:t>
      </w:r>
      <w:r w:rsidR="005C1C1C" w:rsidRPr="000672BC">
        <w:rPr>
          <w:rFonts w:ascii="Trebuchet MS" w:hAnsi="Trebuchet MS"/>
        </w:rPr>
        <w:t xml:space="preserve"> the r</w:t>
      </w:r>
      <w:r w:rsidR="00BB2BC2" w:rsidRPr="000672BC">
        <w:rPr>
          <w:rFonts w:ascii="Trebuchet MS" w:hAnsi="Trebuchet MS"/>
        </w:rPr>
        <w:t xml:space="preserve">emoval of </w:t>
      </w:r>
      <w:r w:rsidR="002E6377">
        <w:rPr>
          <w:rFonts w:ascii="Trebuchet MS" w:hAnsi="Trebuchet MS"/>
        </w:rPr>
        <w:t>an attorney</w:t>
      </w:r>
      <w:r w:rsidR="00595191">
        <w:rPr>
          <w:rFonts w:ascii="Trebuchet MS" w:hAnsi="Trebuchet MS"/>
        </w:rPr>
        <w:t xml:space="preserve"> because they have </w:t>
      </w:r>
      <w:r w:rsidR="00595191" w:rsidRPr="000672BC">
        <w:rPr>
          <w:rFonts w:ascii="Trebuchet MS" w:hAnsi="Trebuchet MS"/>
        </w:rPr>
        <w:t>unlawful</w:t>
      </w:r>
      <w:r w:rsidR="00595191">
        <w:rPr>
          <w:rFonts w:ascii="Trebuchet MS" w:hAnsi="Trebuchet MS"/>
        </w:rPr>
        <w:t>ly</w:t>
      </w:r>
      <w:r w:rsidR="00595191" w:rsidRPr="000672BC">
        <w:rPr>
          <w:rFonts w:ascii="Trebuchet MS" w:hAnsi="Trebuchet MS"/>
        </w:rPr>
        <w:t xml:space="preserve"> use</w:t>
      </w:r>
      <w:r w:rsidR="00595191">
        <w:rPr>
          <w:rFonts w:ascii="Trebuchet MS" w:hAnsi="Trebuchet MS"/>
        </w:rPr>
        <w:t xml:space="preserve">d </w:t>
      </w:r>
      <w:r w:rsidR="00595191" w:rsidRPr="000672BC">
        <w:rPr>
          <w:rFonts w:ascii="Trebuchet MS" w:hAnsi="Trebuchet MS"/>
        </w:rPr>
        <w:t>the donor’s money</w:t>
      </w:r>
      <w:r w:rsidR="00B4244F">
        <w:rPr>
          <w:rFonts w:ascii="Trebuchet MS" w:hAnsi="Trebuchet MS"/>
        </w:rPr>
        <w:t>, contain</w:t>
      </w:r>
      <w:r w:rsidR="00595191">
        <w:rPr>
          <w:rFonts w:ascii="Trebuchet MS" w:hAnsi="Trebuchet MS"/>
        </w:rPr>
        <w:t xml:space="preserve"> four common</w:t>
      </w:r>
      <w:r w:rsidR="00492E5F" w:rsidRPr="000672BC">
        <w:rPr>
          <w:rFonts w:ascii="Trebuchet MS" w:hAnsi="Trebuchet MS"/>
        </w:rPr>
        <w:t xml:space="preserve"> assertions made by</w:t>
      </w:r>
      <w:r w:rsidR="00595191">
        <w:rPr>
          <w:rFonts w:ascii="Trebuchet MS" w:hAnsi="Trebuchet MS"/>
        </w:rPr>
        <w:t xml:space="preserve"> </w:t>
      </w:r>
      <w:r w:rsidR="002E6377">
        <w:rPr>
          <w:rFonts w:ascii="Trebuchet MS" w:hAnsi="Trebuchet MS"/>
        </w:rPr>
        <w:t>the</w:t>
      </w:r>
      <w:r w:rsidR="00595191">
        <w:rPr>
          <w:rFonts w:ascii="Trebuchet MS" w:hAnsi="Trebuchet MS"/>
        </w:rPr>
        <w:t xml:space="preserve"> </w:t>
      </w:r>
      <w:r w:rsidR="002E6377">
        <w:rPr>
          <w:rFonts w:ascii="Trebuchet MS" w:hAnsi="Trebuchet MS"/>
        </w:rPr>
        <w:t>attorney</w:t>
      </w:r>
      <w:r w:rsidR="00492E5F" w:rsidRPr="000672BC">
        <w:rPr>
          <w:rFonts w:ascii="Trebuchet MS" w:hAnsi="Trebuchet MS"/>
        </w:rPr>
        <w:t>.</w:t>
      </w:r>
      <w:r w:rsidR="00F647A8" w:rsidRPr="000672BC">
        <w:rPr>
          <w:rFonts w:ascii="Trebuchet MS" w:hAnsi="Trebuchet MS"/>
        </w:rPr>
        <w:t xml:space="preserve"> </w:t>
      </w:r>
      <w:r w:rsidR="006F1578" w:rsidRPr="000672BC">
        <w:rPr>
          <w:rFonts w:ascii="Trebuchet MS" w:hAnsi="Trebuchet MS"/>
        </w:rPr>
        <w:t xml:space="preserve">In </w:t>
      </w:r>
      <w:r w:rsidR="00595191">
        <w:rPr>
          <w:rFonts w:ascii="Trebuchet MS" w:hAnsi="Trebuchet MS"/>
        </w:rPr>
        <w:t>many</w:t>
      </w:r>
      <w:r w:rsidR="00BB2BC2" w:rsidRPr="000672BC">
        <w:rPr>
          <w:rFonts w:ascii="Trebuchet MS" w:hAnsi="Trebuchet MS"/>
        </w:rPr>
        <w:t xml:space="preserve"> cases, the </w:t>
      </w:r>
      <w:r w:rsidR="000672BC" w:rsidRPr="000672BC">
        <w:rPr>
          <w:rFonts w:ascii="Trebuchet MS" w:hAnsi="Trebuchet MS"/>
        </w:rPr>
        <w:t>attorney is</w:t>
      </w:r>
      <w:r w:rsidR="006F1578" w:rsidRPr="000672BC">
        <w:rPr>
          <w:rFonts w:ascii="Trebuchet MS" w:hAnsi="Trebuchet MS"/>
        </w:rPr>
        <w:t xml:space="preserve"> convinced they were acting appropriately.</w:t>
      </w:r>
      <w:r w:rsidR="00F647A8" w:rsidRPr="000672BC">
        <w:rPr>
          <w:rFonts w:ascii="Trebuchet MS" w:hAnsi="Trebuchet MS"/>
        </w:rPr>
        <w:t xml:space="preserve"> </w:t>
      </w:r>
    </w:p>
    <w:p w:rsidR="00CB29AF" w:rsidRPr="000672BC" w:rsidRDefault="00CB29AF">
      <w:pPr>
        <w:rPr>
          <w:rFonts w:ascii="Trebuchet MS" w:hAnsi="Trebuchet MS"/>
        </w:rPr>
      </w:pPr>
    </w:p>
    <w:p w:rsidR="00903907" w:rsidRPr="000672BC" w:rsidRDefault="00F647A8">
      <w:pPr>
        <w:rPr>
          <w:rFonts w:ascii="Trebuchet MS" w:hAnsi="Trebuchet MS"/>
        </w:rPr>
      </w:pPr>
      <w:r w:rsidRPr="00595191">
        <w:rPr>
          <w:rFonts w:ascii="Trebuchet MS" w:hAnsi="Trebuchet MS"/>
          <w:b/>
        </w:rPr>
        <w:t>Assertion 1:</w:t>
      </w:r>
      <w:r w:rsidRPr="000672BC">
        <w:rPr>
          <w:rFonts w:ascii="Trebuchet MS" w:hAnsi="Trebuchet MS"/>
        </w:rPr>
        <w:t xml:space="preserve"> </w:t>
      </w:r>
      <w:r w:rsidR="00BC0027">
        <w:rPr>
          <w:rFonts w:ascii="Trebuchet MS" w:hAnsi="Trebuchet MS"/>
        </w:rPr>
        <w:t>‘</w:t>
      </w:r>
      <w:r w:rsidR="000672BC" w:rsidRPr="000672BC">
        <w:rPr>
          <w:rFonts w:ascii="Trebuchet MS" w:hAnsi="Trebuchet MS"/>
        </w:rPr>
        <w:t>Mum</w:t>
      </w:r>
      <w:r w:rsidR="002E6377">
        <w:rPr>
          <w:rFonts w:ascii="Trebuchet MS" w:hAnsi="Trebuchet MS"/>
        </w:rPr>
        <w:t xml:space="preserve"> had c</w:t>
      </w:r>
      <w:r w:rsidRPr="000672BC">
        <w:rPr>
          <w:rFonts w:ascii="Trebuchet MS" w:hAnsi="Trebuchet MS"/>
        </w:rPr>
        <w:t xml:space="preserve">apacity and said I could </w:t>
      </w:r>
      <w:r w:rsidR="000672BC" w:rsidRPr="000672BC">
        <w:rPr>
          <w:rFonts w:ascii="Trebuchet MS" w:hAnsi="Trebuchet MS"/>
        </w:rPr>
        <w:t>have the</w:t>
      </w:r>
      <w:r w:rsidR="00BC0027">
        <w:rPr>
          <w:rFonts w:ascii="Trebuchet MS" w:hAnsi="Trebuchet MS"/>
        </w:rPr>
        <w:t xml:space="preserve"> money’</w:t>
      </w:r>
      <w:r w:rsidRPr="000672BC">
        <w:rPr>
          <w:rFonts w:ascii="Trebuchet MS" w:hAnsi="Trebuchet MS"/>
        </w:rPr>
        <w:t>.</w:t>
      </w:r>
      <w:r w:rsidR="00AF55F9" w:rsidRPr="000672BC">
        <w:rPr>
          <w:rFonts w:ascii="Trebuchet MS" w:hAnsi="Trebuchet MS"/>
        </w:rPr>
        <w:t xml:space="preserve"> </w:t>
      </w:r>
    </w:p>
    <w:p w:rsidR="00903907" w:rsidRPr="000672BC" w:rsidRDefault="00903907">
      <w:pPr>
        <w:rPr>
          <w:rFonts w:ascii="Trebuchet MS" w:hAnsi="Trebuchet MS"/>
        </w:rPr>
      </w:pPr>
    </w:p>
    <w:p w:rsidR="00F07C74" w:rsidRPr="000672BC" w:rsidRDefault="00AF55F9">
      <w:pPr>
        <w:rPr>
          <w:rFonts w:ascii="Trebuchet MS" w:hAnsi="Trebuchet MS"/>
        </w:rPr>
      </w:pPr>
      <w:r w:rsidRPr="000672BC">
        <w:rPr>
          <w:rFonts w:ascii="Trebuchet MS" w:hAnsi="Trebuchet MS"/>
        </w:rPr>
        <w:t xml:space="preserve">Although capacity is to be presumed, it is rebuttable where there is evidence to the contrary. </w:t>
      </w:r>
      <w:r w:rsidR="00A53D80" w:rsidRPr="000672BC">
        <w:rPr>
          <w:rFonts w:ascii="Trebuchet MS" w:hAnsi="Trebuchet MS"/>
        </w:rPr>
        <w:t xml:space="preserve"> Capacity to make a gift is complex, as </w:t>
      </w:r>
      <w:r w:rsidR="00CB5D51" w:rsidRPr="000672BC">
        <w:rPr>
          <w:rFonts w:ascii="Trebuchet MS" w:hAnsi="Trebuchet MS"/>
        </w:rPr>
        <w:t xml:space="preserve">it varies depending on the size of the gift and how the gift leaves the donor financially. </w:t>
      </w:r>
      <w:r w:rsidR="004A4D61" w:rsidRPr="000672BC">
        <w:rPr>
          <w:rFonts w:ascii="Trebuchet MS" w:hAnsi="Trebuchet MS"/>
        </w:rPr>
        <w:t xml:space="preserve"> </w:t>
      </w:r>
      <w:r w:rsidR="00534D79" w:rsidRPr="000672BC">
        <w:rPr>
          <w:rFonts w:ascii="Trebuchet MS" w:hAnsi="Trebuchet MS"/>
        </w:rPr>
        <w:t>Ideally</w:t>
      </w:r>
      <w:r w:rsidR="002E6377">
        <w:rPr>
          <w:rFonts w:ascii="Trebuchet MS" w:hAnsi="Trebuchet MS"/>
        </w:rPr>
        <w:t>,</w:t>
      </w:r>
      <w:r w:rsidR="00534D79" w:rsidRPr="000672BC">
        <w:rPr>
          <w:rFonts w:ascii="Trebuchet MS" w:hAnsi="Trebuchet MS"/>
        </w:rPr>
        <w:t xml:space="preserve"> </w:t>
      </w:r>
      <w:r w:rsidR="002E6377">
        <w:rPr>
          <w:rFonts w:ascii="Trebuchet MS" w:hAnsi="Trebuchet MS"/>
        </w:rPr>
        <w:t>a</w:t>
      </w:r>
      <w:r w:rsidR="000672BC" w:rsidRPr="000672BC">
        <w:rPr>
          <w:rFonts w:ascii="Trebuchet MS" w:hAnsi="Trebuchet MS"/>
        </w:rPr>
        <w:t>ssessing capacity should</w:t>
      </w:r>
      <w:r w:rsidR="00534D79" w:rsidRPr="000672BC">
        <w:rPr>
          <w:rFonts w:ascii="Trebuchet MS" w:hAnsi="Trebuchet MS"/>
        </w:rPr>
        <w:t xml:space="preserve"> be a </w:t>
      </w:r>
      <w:r w:rsidR="002E6377" w:rsidRPr="000672BC">
        <w:rPr>
          <w:rFonts w:ascii="Trebuchet MS" w:hAnsi="Trebuchet MS"/>
        </w:rPr>
        <w:t xml:space="preserve">simple and </w:t>
      </w:r>
      <w:r w:rsidR="00534D79" w:rsidRPr="000672BC">
        <w:rPr>
          <w:rFonts w:ascii="Trebuchet MS" w:hAnsi="Trebuchet MS"/>
        </w:rPr>
        <w:t>straightforward</w:t>
      </w:r>
      <w:r w:rsidR="002E6377">
        <w:rPr>
          <w:rFonts w:ascii="Trebuchet MS" w:hAnsi="Trebuchet MS"/>
        </w:rPr>
        <w:t xml:space="preserve"> p</w:t>
      </w:r>
      <w:r w:rsidR="00534D79" w:rsidRPr="000672BC">
        <w:rPr>
          <w:rFonts w:ascii="Trebuchet MS" w:hAnsi="Trebuchet MS"/>
        </w:rPr>
        <w:t xml:space="preserve">rocess, but as court judgments demonstrate- they can be anything but. </w:t>
      </w:r>
      <w:r w:rsidR="002E6377">
        <w:rPr>
          <w:rFonts w:ascii="Trebuchet MS" w:hAnsi="Trebuchet MS"/>
        </w:rPr>
        <w:t>How likely is it that the attorney has the skills to make that judgment?</w:t>
      </w:r>
    </w:p>
    <w:p w:rsidR="00F07C74" w:rsidRPr="000672BC" w:rsidRDefault="00F07C74">
      <w:pPr>
        <w:rPr>
          <w:rFonts w:ascii="Trebuchet MS" w:hAnsi="Trebuchet MS"/>
        </w:rPr>
      </w:pPr>
    </w:p>
    <w:p w:rsidR="007E00A0" w:rsidRPr="000672BC" w:rsidRDefault="00CB5D51">
      <w:pPr>
        <w:rPr>
          <w:rFonts w:ascii="Trebuchet MS" w:hAnsi="Trebuchet MS"/>
        </w:rPr>
      </w:pPr>
      <w:r w:rsidRPr="000672BC">
        <w:rPr>
          <w:rFonts w:ascii="Trebuchet MS" w:hAnsi="Trebuchet MS"/>
        </w:rPr>
        <w:t xml:space="preserve">The </w:t>
      </w:r>
      <w:r w:rsidR="000672BC" w:rsidRPr="000672BC">
        <w:rPr>
          <w:rFonts w:ascii="Trebuchet MS" w:hAnsi="Trebuchet MS"/>
        </w:rPr>
        <w:t>limited power</w:t>
      </w:r>
      <w:r w:rsidR="002E6377">
        <w:rPr>
          <w:rFonts w:ascii="Trebuchet MS" w:hAnsi="Trebuchet MS"/>
        </w:rPr>
        <w:t xml:space="preserve"> to make gifts under section </w:t>
      </w:r>
      <w:r w:rsidRPr="000672BC">
        <w:rPr>
          <w:rFonts w:ascii="Trebuchet MS" w:hAnsi="Trebuchet MS"/>
        </w:rPr>
        <w:t xml:space="preserve">12 of the Mental </w:t>
      </w:r>
      <w:r w:rsidR="001802DD" w:rsidRPr="000672BC">
        <w:rPr>
          <w:rFonts w:ascii="Trebuchet MS" w:hAnsi="Trebuchet MS"/>
        </w:rPr>
        <w:t>Capacity</w:t>
      </w:r>
      <w:r w:rsidRPr="000672BC">
        <w:rPr>
          <w:rFonts w:ascii="Trebuchet MS" w:hAnsi="Trebuchet MS"/>
        </w:rPr>
        <w:t xml:space="preserve"> Act</w:t>
      </w:r>
      <w:r w:rsidR="00737193">
        <w:rPr>
          <w:rFonts w:ascii="Trebuchet MS" w:hAnsi="Trebuchet MS"/>
        </w:rPr>
        <w:t xml:space="preserve"> 2005</w:t>
      </w:r>
      <w:r w:rsidRPr="000672BC">
        <w:rPr>
          <w:rFonts w:ascii="Trebuchet MS" w:hAnsi="Trebuchet MS"/>
        </w:rPr>
        <w:t>, allow</w:t>
      </w:r>
      <w:r w:rsidR="002E6377">
        <w:rPr>
          <w:rFonts w:ascii="Trebuchet MS" w:hAnsi="Trebuchet MS"/>
        </w:rPr>
        <w:t>s</w:t>
      </w:r>
      <w:r w:rsidRPr="000672BC">
        <w:rPr>
          <w:rFonts w:ascii="Trebuchet MS" w:hAnsi="Trebuchet MS"/>
        </w:rPr>
        <w:t xml:space="preserve"> the attorney to make gifts to people associated with the donor </w:t>
      </w:r>
      <w:r w:rsidR="000672BC" w:rsidRPr="000672BC">
        <w:rPr>
          <w:rFonts w:ascii="Trebuchet MS" w:hAnsi="Trebuchet MS"/>
        </w:rPr>
        <w:t>(which</w:t>
      </w:r>
      <w:r w:rsidRPr="000672BC">
        <w:rPr>
          <w:rFonts w:ascii="Trebuchet MS" w:hAnsi="Trebuchet MS"/>
        </w:rPr>
        <w:t xml:space="preserve"> </w:t>
      </w:r>
      <w:r w:rsidR="001802DD" w:rsidRPr="000672BC">
        <w:rPr>
          <w:rFonts w:ascii="Trebuchet MS" w:hAnsi="Trebuchet MS"/>
        </w:rPr>
        <w:t>includes</w:t>
      </w:r>
      <w:r w:rsidRPr="000672BC">
        <w:rPr>
          <w:rFonts w:ascii="Trebuchet MS" w:hAnsi="Trebuchet MS"/>
        </w:rPr>
        <w:t xml:space="preserve"> </w:t>
      </w:r>
      <w:r w:rsidR="002E6377">
        <w:rPr>
          <w:rFonts w:ascii="Trebuchet MS" w:hAnsi="Trebuchet MS"/>
        </w:rPr>
        <w:t>h</w:t>
      </w:r>
      <w:r w:rsidR="001802DD" w:rsidRPr="000672BC">
        <w:rPr>
          <w:rFonts w:ascii="Trebuchet MS" w:hAnsi="Trebuchet MS"/>
        </w:rPr>
        <w:t>imself</w:t>
      </w:r>
      <w:r w:rsidRPr="000672BC">
        <w:rPr>
          <w:rFonts w:ascii="Trebuchet MS" w:hAnsi="Trebuchet MS"/>
        </w:rPr>
        <w:t>)</w:t>
      </w:r>
      <w:r w:rsidR="002E6377">
        <w:rPr>
          <w:rFonts w:ascii="Trebuchet MS" w:hAnsi="Trebuchet MS"/>
        </w:rPr>
        <w:t>,</w:t>
      </w:r>
      <w:r w:rsidRPr="000672BC">
        <w:rPr>
          <w:rFonts w:ascii="Trebuchet MS" w:hAnsi="Trebuchet MS"/>
        </w:rPr>
        <w:t xml:space="preserve"> on customary occasion so long </w:t>
      </w:r>
      <w:r w:rsidR="000672BC" w:rsidRPr="000672BC">
        <w:rPr>
          <w:rFonts w:ascii="Trebuchet MS" w:hAnsi="Trebuchet MS"/>
        </w:rPr>
        <w:t>as the</w:t>
      </w:r>
      <w:r w:rsidRPr="000672BC">
        <w:rPr>
          <w:rFonts w:ascii="Trebuchet MS" w:hAnsi="Trebuchet MS"/>
        </w:rPr>
        <w:t xml:space="preserve"> gift is reasonable </w:t>
      </w:r>
      <w:r w:rsidR="002E6377">
        <w:rPr>
          <w:rFonts w:ascii="Trebuchet MS" w:hAnsi="Trebuchet MS"/>
        </w:rPr>
        <w:t xml:space="preserve">both in relation to its size and the circumstances. </w:t>
      </w:r>
      <w:r w:rsidR="003A3EB5" w:rsidRPr="000672BC">
        <w:rPr>
          <w:rFonts w:ascii="Trebuchet MS" w:hAnsi="Trebuchet MS"/>
        </w:rPr>
        <w:t xml:space="preserve">The attorney </w:t>
      </w:r>
      <w:r w:rsidR="002E6377">
        <w:rPr>
          <w:rFonts w:ascii="Trebuchet MS" w:hAnsi="Trebuchet MS"/>
        </w:rPr>
        <w:t xml:space="preserve">can </w:t>
      </w:r>
      <w:r w:rsidR="003A3EB5" w:rsidRPr="000672BC">
        <w:rPr>
          <w:rFonts w:ascii="Trebuchet MS" w:hAnsi="Trebuchet MS"/>
        </w:rPr>
        <w:t xml:space="preserve">make gifts where the donor lacks mental capacity, or if it </w:t>
      </w:r>
      <w:r w:rsidR="003B5BD6" w:rsidRPr="000672BC">
        <w:rPr>
          <w:rFonts w:ascii="Trebuchet MS" w:hAnsi="Trebuchet MS"/>
        </w:rPr>
        <w:t xml:space="preserve">is </w:t>
      </w:r>
      <w:r w:rsidR="000672BC" w:rsidRPr="000672BC">
        <w:rPr>
          <w:rFonts w:ascii="Trebuchet MS" w:hAnsi="Trebuchet MS"/>
        </w:rPr>
        <w:t>unrestricted,</w:t>
      </w:r>
      <w:r w:rsidR="003A3EB5" w:rsidRPr="000672BC">
        <w:rPr>
          <w:rFonts w:ascii="Trebuchet MS" w:hAnsi="Trebuchet MS"/>
        </w:rPr>
        <w:t xml:space="preserve"> when the donor has mental capacity. </w:t>
      </w:r>
      <w:r w:rsidR="002E6377">
        <w:rPr>
          <w:rFonts w:ascii="Trebuchet MS" w:hAnsi="Trebuchet MS"/>
        </w:rPr>
        <w:t>Indeed, the donor may have wanted to make a</w:t>
      </w:r>
      <w:r w:rsidR="003B5BD6" w:rsidRPr="000672BC">
        <w:rPr>
          <w:rFonts w:ascii="Trebuchet MS" w:hAnsi="Trebuchet MS"/>
        </w:rPr>
        <w:t xml:space="preserve"> gift</w:t>
      </w:r>
      <w:r w:rsidR="002E6377">
        <w:rPr>
          <w:rFonts w:ascii="Trebuchet MS" w:hAnsi="Trebuchet MS"/>
        </w:rPr>
        <w:t xml:space="preserve"> </w:t>
      </w:r>
      <w:r w:rsidR="00C3766A" w:rsidRPr="000672BC">
        <w:rPr>
          <w:rFonts w:ascii="Trebuchet MS" w:hAnsi="Trebuchet MS"/>
        </w:rPr>
        <w:t>be</w:t>
      </w:r>
      <w:r w:rsidR="002E6377">
        <w:rPr>
          <w:rFonts w:ascii="Trebuchet MS" w:hAnsi="Trebuchet MS"/>
        </w:rPr>
        <w:t xml:space="preserve">yond the sum </w:t>
      </w:r>
      <w:r w:rsidR="007F1C1E" w:rsidRPr="000672BC">
        <w:rPr>
          <w:rFonts w:ascii="Trebuchet MS" w:hAnsi="Trebuchet MS"/>
        </w:rPr>
        <w:t>allowed under s</w:t>
      </w:r>
      <w:r w:rsidR="002E6377">
        <w:rPr>
          <w:rFonts w:ascii="Trebuchet MS" w:hAnsi="Trebuchet MS"/>
        </w:rPr>
        <w:t xml:space="preserve">ection </w:t>
      </w:r>
      <w:r w:rsidR="007F1C1E" w:rsidRPr="000672BC">
        <w:rPr>
          <w:rFonts w:ascii="Trebuchet MS" w:hAnsi="Trebuchet MS"/>
        </w:rPr>
        <w:t>12. The attorney</w:t>
      </w:r>
      <w:r w:rsidR="001E50F9" w:rsidRPr="000672BC">
        <w:rPr>
          <w:rFonts w:ascii="Trebuchet MS" w:hAnsi="Trebuchet MS"/>
        </w:rPr>
        <w:t xml:space="preserve"> cannot seek the court’s appr</w:t>
      </w:r>
      <w:r w:rsidR="002E6377">
        <w:rPr>
          <w:rFonts w:ascii="Trebuchet MS" w:hAnsi="Trebuchet MS"/>
        </w:rPr>
        <w:t>oval to the gift, as the court lacks jurisdiction if the donor possesses</w:t>
      </w:r>
      <w:r w:rsidR="001E50F9" w:rsidRPr="000672BC">
        <w:rPr>
          <w:rFonts w:ascii="Trebuchet MS" w:hAnsi="Trebuchet MS"/>
        </w:rPr>
        <w:t xml:space="preserve"> mental capacity. </w:t>
      </w:r>
      <w:r w:rsidR="002E6377">
        <w:rPr>
          <w:rFonts w:ascii="Trebuchet MS" w:hAnsi="Trebuchet MS"/>
        </w:rPr>
        <w:t xml:space="preserve">Meaning, </w:t>
      </w:r>
      <w:r w:rsidR="007873B5" w:rsidRPr="000672BC">
        <w:rPr>
          <w:rFonts w:ascii="Trebuchet MS" w:hAnsi="Trebuchet MS"/>
        </w:rPr>
        <w:t xml:space="preserve">the donor </w:t>
      </w:r>
      <w:r w:rsidR="002E6377">
        <w:rPr>
          <w:rFonts w:ascii="Trebuchet MS" w:hAnsi="Trebuchet MS"/>
        </w:rPr>
        <w:t xml:space="preserve">is </w:t>
      </w:r>
      <w:r w:rsidR="007873B5" w:rsidRPr="000672BC">
        <w:rPr>
          <w:rFonts w:ascii="Trebuchet MS" w:hAnsi="Trebuchet MS"/>
        </w:rPr>
        <w:t>denied the</w:t>
      </w:r>
      <w:r w:rsidR="002E6377">
        <w:rPr>
          <w:rFonts w:ascii="Trebuchet MS" w:hAnsi="Trebuchet MS"/>
        </w:rPr>
        <w:t xml:space="preserve"> ability to make the</w:t>
      </w:r>
      <w:r w:rsidR="004A4D61" w:rsidRPr="000672BC">
        <w:rPr>
          <w:rFonts w:ascii="Trebuchet MS" w:hAnsi="Trebuchet MS"/>
        </w:rPr>
        <w:t xml:space="preserve"> gift, through the </w:t>
      </w:r>
      <w:r w:rsidR="002E6377">
        <w:rPr>
          <w:rFonts w:ascii="Trebuchet MS" w:hAnsi="Trebuchet MS"/>
        </w:rPr>
        <w:t xml:space="preserve">vehicle of a </w:t>
      </w:r>
      <w:r w:rsidR="004A4D61" w:rsidRPr="000672BC">
        <w:rPr>
          <w:rFonts w:ascii="Trebuchet MS" w:hAnsi="Trebuchet MS"/>
        </w:rPr>
        <w:t xml:space="preserve">lasting power. </w:t>
      </w:r>
      <w:r w:rsidR="006B4C6C" w:rsidRPr="000672BC">
        <w:rPr>
          <w:rFonts w:ascii="Trebuchet MS" w:hAnsi="Trebuchet MS"/>
        </w:rPr>
        <w:t xml:space="preserve">The </w:t>
      </w:r>
      <w:r w:rsidR="000672BC" w:rsidRPr="000672BC">
        <w:rPr>
          <w:rFonts w:ascii="Trebuchet MS" w:hAnsi="Trebuchet MS"/>
        </w:rPr>
        <w:t>nuance of</w:t>
      </w:r>
      <w:r w:rsidR="00737193">
        <w:rPr>
          <w:rFonts w:ascii="Trebuchet MS" w:hAnsi="Trebuchet MS"/>
        </w:rPr>
        <w:t xml:space="preserve"> this point tests</w:t>
      </w:r>
      <w:r w:rsidR="00104EF7" w:rsidRPr="000672BC">
        <w:rPr>
          <w:rFonts w:ascii="Trebuchet MS" w:hAnsi="Trebuchet MS"/>
        </w:rPr>
        <w:t xml:space="preserve"> specialist professionals – what chance has the lay attorney?</w:t>
      </w:r>
    </w:p>
    <w:p w:rsidR="00104EF7" w:rsidRPr="000672BC" w:rsidRDefault="00104EF7">
      <w:pPr>
        <w:rPr>
          <w:rFonts w:ascii="Trebuchet MS" w:hAnsi="Trebuchet MS"/>
        </w:rPr>
      </w:pPr>
    </w:p>
    <w:p w:rsidR="00104EF7" w:rsidRPr="000672BC" w:rsidRDefault="00104EF7">
      <w:pPr>
        <w:rPr>
          <w:rFonts w:ascii="Trebuchet MS" w:hAnsi="Trebuchet MS"/>
        </w:rPr>
      </w:pPr>
      <w:r w:rsidRPr="00595191">
        <w:rPr>
          <w:rFonts w:ascii="Trebuchet MS" w:hAnsi="Trebuchet MS"/>
          <w:b/>
        </w:rPr>
        <w:t>Assertion 2:</w:t>
      </w:r>
      <w:r w:rsidRPr="000672BC">
        <w:rPr>
          <w:rFonts w:ascii="Trebuchet MS" w:hAnsi="Trebuchet MS"/>
        </w:rPr>
        <w:t xml:space="preserve"> </w:t>
      </w:r>
      <w:r w:rsidR="00BC0027">
        <w:rPr>
          <w:rFonts w:ascii="Trebuchet MS" w:hAnsi="Trebuchet MS"/>
        </w:rPr>
        <w:t>‘</w:t>
      </w:r>
      <w:r w:rsidR="000672BC" w:rsidRPr="000672BC">
        <w:rPr>
          <w:rFonts w:ascii="Trebuchet MS" w:hAnsi="Trebuchet MS"/>
        </w:rPr>
        <w:t>Mum</w:t>
      </w:r>
      <w:r w:rsidRPr="000672BC">
        <w:rPr>
          <w:rFonts w:ascii="Trebuchet MS" w:hAnsi="Trebuchet MS"/>
        </w:rPr>
        <w:t xml:space="preserve"> would have wanted me to have this money</w:t>
      </w:r>
      <w:r w:rsidR="002E6377">
        <w:rPr>
          <w:rFonts w:ascii="Trebuchet MS" w:hAnsi="Trebuchet MS"/>
        </w:rPr>
        <w:t>,</w:t>
      </w:r>
      <w:r w:rsidR="00BC0027">
        <w:rPr>
          <w:rFonts w:ascii="Trebuchet MS" w:hAnsi="Trebuchet MS"/>
        </w:rPr>
        <w:t xml:space="preserve"> if she had mental capacity’.</w:t>
      </w:r>
    </w:p>
    <w:p w:rsidR="00104EF7" w:rsidRPr="000672BC" w:rsidRDefault="00104EF7">
      <w:pPr>
        <w:rPr>
          <w:rFonts w:ascii="Trebuchet MS" w:hAnsi="Trebuchet MS"/>
        </w:rPr>
      </w:pPr>
    </w:p>
    <w:p w:rsidR="002E6377" w:rsidRDefault="00104EF7">
      <w:pPr>
        <w:rPr>
          <w:rFonts w:ascii="Trebuchet MS" w:hAnsi="Trebuchet MS"/>
        </w:rPr>
      </w:pPr>
      <w:r w:rsidRPr="000672BC">
        <w:rPr>
          <w:rFonts w:ascii="Trebuchet MS" w:hAnsi="Trebuchet MS"/>
        </w:rPr>
        <w:t>Families work in their own way and it ma</w:t>
      </w:r>
      <w:r w:rsidR="002E6377">
        <w:rPr>
          <w:rFonts w:ascii="Trebuchet MS" w:hAnsi="Trebuchet MS"/>
        </w:rPr>
        <w:t>y very well be the case that this</w:t>
      </w:r>
      <w:r w:rsidRPr="000672BC">
        <w:rPr>
          <w:rFonts w:ascii="Trebuchet MS" w:hAnsi="Trebuchet MS"/>
        </w:rPr>
        <w:t xml:space="preserve"> assertion is the truth. </w:t>
      </w:r>
      <w:r w:rsidR="002833C5" w:rsidRPr="000672BC">
        <w:rPr>
          <w:rFonts w:ascii="Trebuchet MS" w:hAnsi="Trebuchet MS"/>
        </w:rPr>
        <w:t xml:space="preserve">There is </w:t>
      </w:r>
      <w:r w:rsidR="000672BC" w:rsidRPr="000672BC">
        <w:rPr>
          <w:rFonts w:ascii="Trebuchet MS" w:hAnsi="Trebuchet MS"/>
        </w:rPr>
        <w:t>nothing in</w:t>
      </w:r>
      <w:r w:rsidR="009B6F97" w:rsidRPr="000672BC">
        <w:rPr>
          <w:rFonts w:ascii="Trebuchet MS" w:hAnsi="Trebuchet MS"/>
        </w:rPr>
        <w:t xml:space="preserve"> the 2015 prescribed </w:t>
      </w:r>
      <w:r w:rsidR="002833C5" w:rsidRPr="000672BC">
        <w:rPr>
          <w:rFonts w:ascii="Trebuchet MS" w:hAnsi="Trebuchet MS"/>
        </w:rPr>
        <w:t>form</w:t>
      </w:r>
      <w:r w:rsidR="002E6377">
        <w:rPr>
          <w:rFonts w:ascii="Trebuchet MS" w:hAnsi="Trebuchet MS"/>
        </w:rPr>
        <w:t>s which draw</w:t>
      </w:r>
      <w:r w:rsidR="002833C5" w:rsidRPr="000672BC">
        <w:rPr>
          <w:rFonts w:ascii="Trebuchet MS" w:hAnsi="Trebuchet MS"/>
        </w:rPr>
        <w:t xml:space="preserve"> to the attention of the attorney the limited powers</w:t>
      </w:r>
      <w:r w:rsidR="002E6377">
        <w:rPr>
          <w:rFonts w:ascii="Trebuchet MS" w:hAnsi="Trebuchet MS"/>
        </w:rPr>
        <w:t xml:space="preserve"> to make gifts.</w:t>
      </w:r>
      <w:r w:rsidR="002833C5" w:rsidRPr="000672BC">
        <w:rPr>
          <w:rFonts w:ascii="Trebuchet MS" w:hAnsi="Trebuchet MS"/>
        </w:rPr>
        <w:t xml:space="preserve"> The OPG have in recent years published specific guidance, but this must be drawn to the attorney’s attent</w:t>
      </w:r>
      <w:r w:rsidR="002E6377">
        <w:rPr>
          <w:rFonts w:ascii="Trebuchet MS" w:hAnsi="Trebuchet MS"/>
        </w:rPr>
        <w:t>ion, by some mechanism, and before they make any gifts.</w:t>
      </w:r>
      <w:r w:rsidR="00C366B7" w:rsidRPr="000672BC">
        <w:rPr>
          <w:rFonts w:ascii="Trebuchet MS" w:hAnsi="Trebuchet MS"/>
        </w:rPr>
        <w:t xml:space="preserve"> </w:t>
      </w:r>
    </w:p>
    <w:p w:rsidR="002E6377" w:rsidRDefault="002E6377">
      <w:pPr>
        <w:rPr>
          <w:rFonts w:ascii="Trebuchet MS" w:hAnsi="Trebuchet MS"/>
        </w:rPr>
      </w:pPr>
    </w:p>
    <w:p w:rsidR="003D3C66" w:rsidRPr="000672BC" w:rsidRDefault="002E6377">
      <w:pPr>
        <w:rPr>
          <w:rFonts w:ascii="Trebuchet MS" w:hAnsi="Trebuchet MS"/>
        </w:rPr>
      </w:pPr>
      <w:r>
        <w:rPr>
          <w:rFonts w:ascii="Trebuchet MS" w:hAnsi="Trebuchet MS"/>
        </w:rPr>
        <w:t>A best interest decision requires the attorney to take into account the donor’s views, wishes and beliefs. If they were unaware of their limited power, it’s easy to see an attorney concluding that making the gift, is a best interest decision</w:t>
      </w:r>
      <w:r w:rsidR="00EA03C3">
        <w:rPr>
          <w:rFonts w:ascii="Trebuchet MS" w:hAnsi="Trebuchet MS"/>
        </w:rPr>
        <w:t xml:space="preserve"> because they believe</w:t>
      </w:r>
      <w:r w:rsidR="002F7E6C">
        <w:rPr>
          <w:rFonts w:ascii="Trebuchet MS" w:hAnsi="Trebuchet MS"/>
        </w:rPr>
        <w:t xml:space="preserve"> that’s what the donor would have wanted.</w:t>
      </w:r>
    </w:p>
    <w:p w:rsidR="00BC4896" w:rsidRPr="000672BC" w:rsidRDefault="00BC4896">
      <w:pPr>
        <w:rPr>
          <w:rFonts w:ascii="Trebuchet MS" w:hAnsi="Trebuchet MS"/>
        </w:rPr>
      </w:pPr>
    </w:p>
    <w:p w:rsidR="00BC4896" w:rsidRDefault="00BC4896">
      <w:pPr>
        <w:rPr>
          <w:rFonts w:ascii="Trebuchet MS" w:hAnsi="Trebuchet MS"/>
        </w:rPr>
      </w:pPr>
      <w:r w:rsidRPr="00595191">
        <w:rPr>
          <w:rFonts w:ascii="Trebuchet MS" w:hAnsi="Trebuchet MS"/>
          <w:b/>
        </w:rPr>
        <w:t>Assertion 3:</w:t>
      </w:r>
      <w:r w:rsidR="00BC0027">
        <w:rPr>
          <w:rFonts w:ascii="Trebuchet MS" w:hAnsi="Trebuchet MS"/>
        </w:rPr>
        <w:t xml:space="preserve"> ‘</w:t>
      </w:r>
      <w:r w:rsidR="002F7E6C">
        <w:rPr>
          <w:rFonts w:ascii="Trebuchet MS" w:hAnsi="Trebuchet MS"/>
        </w:rPr>
        <w:t>I</w:t>
      </w:r>
      <w:r w:rsidR="00BC0027">
        <w:rPr>
          <w:rFonts w:ascii="Trebuchet MS" w:hAnsi="Trebuchet MS"/>
        </w:rPr>
        <w:t>t will all be mine eventually’.</w:t>
      </w:r>
    </w:p>
    <w:p w:rsidR="00595191" w:rsidRPr="000672BC" w:rsidRDefault="00595191">
      <w:pPr>
        <w:rPr>
          <w:rFonts w:ascii="Trebuchet MS" w:hAnsi="Trebuchet MS"/>
        </w:rPr>
      </w:pPr>
    </w:p>
    <w:p w:rsidR="00BC4896" w:rsidRPr="000672BC" w:rsidRDefault="002F7E6C">
      <w:pPr>
        <w:rPr>
          <w:rFonts w:ascii="Trebuchet MS" w:hAnsi="Trebuchet MS"/>
        </w:rPr>
      </w:pPr>
      <w:r>
        <w:rPr>
          <w:rFonts w:ascii="Trebuchet MS" w:hAnsi="Trebuchet MS"/>
        </w:rPr>
        <w:t>This is particularly likely,</w:t>
      </w:r>
      <w:r w:rsidR="00723999" w:rsidRPr="000672BC">
        <w:rPr>
          <w:rFonts w:ascii="Trebuchet MS" w:hAnsi="Trebuchet MS"/>
        </w:rPr>
        <w:t xml:space="preserve"> where the attorney is the only child of the donor and</w:t>
      </w:r>
      <w:r w:rsidR="00F523D3">
        <w:rPr>
          <w:rFonts w:ascii="Trebuchet MS" w:hAnsi="Trebuchet MS"/>
        </w:rPr>
        <w:t xml:space="preserve"> the only residuary beneficiary and may be linked to assertion 2 above.</w:t>
      </w:r>
      <w:r w:rsidR="00723999" w:rsidRPr="000672BC">
        <w:rPr>
          <w:rFonts w:ascii="Trebuchet MS" w:hAnsi="Trebuchet MS"/>
        </w:rPr>
        <w:t xml:space="preserve"> </w:t>
      </w:r>
      <w:r>
        <w:rPr>
          <w:rFonts w:ascii="Trebuchet MS" w:hAnsi="Trebuchet MS"/>
        </w:rPr>
        <w:t>T</w:t>
      </w:r>
      <w:r w:rsidR="00F523D3">
        <w:rPr>
          <w:rFonts w:ascii="Trebuchet MS" w:hAnsi="Trebuchet MS"/>
        </w:rPr>
        <w:t>he attorney</w:t>
      </w:r>
      <w:r w:rsidR="00F779CE" w:rsidRPr="000672BC">
        <w:rPr>
          <w:rFonts w:ascii="Trebuchet MS" w:hAnsi="Trebuchet MS"/>
        </w:rPr>
        <w:t xml:space="preserve"> see</w:t>
      </w:r>
      <w:r w:rsidR="00F523D3">
        <w:rPr>
          <w:rFonts w:ascii="Trebuchet MS" w:hAnsi="Trebuchet MS"/>
        </w:rPr>
        <w:t>s</w:t>
      </w:r>
      <w:r w:rsidR="00F779CE" w:rsidRPr="000672BC">
        <w:rPr>
          <w:rFonts w:ascii="Trebuchet MS" w:hAnsi="Trebuchet MS"/>
        </w:rPr>
        <w:t xml:space="preserve"> the use of the donor’s funds as an advance o</w:t>
      </w:r>
      <w:r w:rsidR="00F523D3">
        <w:rPr>
          <w:rFonts w:ascii="Trebuchet MS" w:hAnsi="Trebuchet MS"/>
        </w:rPr>
        <w:t>n their eventual inheritance, and where</w:t>
      </w:r>
      <w:r w:rsidR="00F779CE" w:rsidRPr="000672BC">
        <w:rPr>
          <w:rFonts w:ascii="Trebuchet MS" w:hAnsi="Trebuchet MS"/>
        </w:rPr>
        <w:t xml:space="preserve"> </w:t>
      </w:r>
      <w:r w:rsidR="000672BC" w:rsidRPr="000672BC">
        <w:rPr>
          <w:rFonts w:ascii="Trebuchet MS" w:hAnsi="Trebuchet MS"/>
        </w:rPr>
        <w:t>they have</w:t>
      </w:r>
      <w:r w:rsidR="00F523D3">
        <w:rPr>
          <w:rFonts w:ascii="Trebuchet MS" w:hAnsi="Trebuchet MS"/>
        </w:rPr>
        <w:t xml:space="preserve"> pressing needs, do not consider it wrong.</w:t>
      </w:r>
    </w:p>
    <w:p w:rsidR="00F779CE" w:rsidRPr="000672BC" w:rsidRDefault="00F779CE">
      <w:pPr>
        <w:rPr>
          <w:rFonts w:ascii="Trebuchet MS" w:hAnsi="Trebuchet MS"/>
        </w:rPr>
      </w:pPr>
    </w:p>
    <w:p w:rsidR="00F779CE" w:rsidRDefault="00F779CE">
      <w:pPr>
        <w:rPr>
          <w:rFonts w:ascii="Trebuchet MS" w:hAnsi="Trebuchet MS"/>
        </w:rPr>
      </w:pPr>
      <w:r w:rsidRPr="00595191">
        <w:rPr>
          <w:rFonts w:ascii="Trebuchet MS" w:hAnsi="Trebuchet MS"/>
          <w:b/>
        </w:rPr>
        <w:t>Assertion 4:</w:t>
      </w:r>
      <w:r w:rsidRPr="000672BC">
        <w:rPr>
          <w:rFonts w:ascii="Trebuchet MS" w:hAnsi="Trebuchet MS"/>
        </w:rPr>
        <w:t xml:space="preserve"> </w:t>
      </w:r>
      <w:r w:rsidR="00BC0027">
        <w:rPr>
          <w:rFonts w:ascii="Trebuchet MS" w:hAnsi="Trebuchet MS"/>
        </w:rPr>
        <w:t>‘</w:t>
      </w:r>
      <w:r w:rsidR="000672BC" w:rsidRPr="000672BC">
        <w:rPr>
          <w:rFonts w:ascii="Trebuchet MS" w:hAnsi="Trebuchet MS"/>
        </w:rPr>
        <w:t>I</w:t>
      </w:r>
      <w:r w:rsidRPr="000672BC">
        <w:rPr>
          <w:rFonts w:ascii="Trebuchet MS" w:hAnsi="Trebuchet MS"/>
        </w:rPr>
        <w:t xml:space="preserve"> deserve thi</w:t>
      </w:r>
      <w:r w:rsidR="00BC0027">
        <w:rPr>
          <w:rFonts w:ascii="Trebuchet MS" w:hAnsi="Trebuchet MS"/>
        </w:rPr>
        <w:t>s for the sacrifice I am making’.</w:t>
      </w:r>
    </w:p>
    <w:p w:rsidR="00595191" w:rsidRPr="000672BC" w:rsidRDefault="00595191">
      <w:pPr>
        <w:rPr>
          <w:rFonts w:ascii="Trebuchet MS" w:hAnsi="Trebuchet MS"/>
        </w:rPr>
      </w:pPr>
    </w:p>
    <w:p w:rsidR="00F779CE" w:rsidRDefault="00F779CE">
      <w:pPr>
        <w:rPr>
          <w:rFonts w:ascii="Trebuchet MS" w:hAnsi="Trebuchet MS"/>
        </w:rPr>
      </w:pPr>
      <w:r w:rsidRPr="000672BC">
        <w:rPr>
          <w:rFonts w:ascii="Trebuchet MS" w:hAnsi="Trebuchet MS"/>
        </w:rPr>
        <w:t xml:space="preserve">This assertion can arise where there is </w:t>
      </w:r>
      <w:r w:rsidR="00F523D3">
        <w:rPr>
          <w:rFonts w:ascii="Trebuchet MS" w:hAnsi="Trebuchet MS"/>
        </w:rPr>
        <w:t>a primary attorney making most, i</w:t>
      </w:r>
      <w:r w:rsidRPr="000672BC">
        <w:rPr>
          <w:rFonts w:ascii="Trebuchet MS" w:hAnsi="Trebuchet MS"/>
        </w:rPr>
        <w:t xml:space="preserve">f not all </w:t>
      </w:r>
      <w:r w:rsidR="00F523D3">
        <w:rPr>
          <w:rFonts w:ascii="Trebuchet MS" w:hAnsi="Trebuchet MS"/>
        </w:rPr>
        <w:t>decisions.</w:t>
      </w:r>
      <w:r w:rsidRPr="000672BC">
        <w:rPr>
          <w:rFonts w:ascii="Trebuchet MS" w:hAnsi="Trebuchet MS"/>
        </w:rPr>
        <w:t xml:space="preserve"> </w:t>
      </w:r>
      <w:r w:rsidR="00F523D3">
        <w:rPr>
          <w:rFonts w:ascii="Trebuchet MS" w:hAnsi="Trebuchet MS"/>
        </w:rPr>
        <w:t xml:space="preserve">They can </w:t>
      </w:r>
      <w:r w:rsidRPr="000672BC">
        <w:rPr>
          <w:rFonts w:ascii="Trebuchet MS" w:hAnsi="Trebuchet MS"/>
        </w:rPr>
        <w:t xml:space="preserve">become resentful for the time and effort it takes to manage the donor’s affairs, </w:t>
      </w:r>
      <w:r w:rsidR="00F523D3">
        <w:rPr>
          <w:rFonts w:ascii="Trebuchet MS" w:hAnsi="Trebuchet MS"/>
        </w:rPr>
        <w:t xml:space="preserve">especially </w:t>
      </w:r>
      <w:r w:rsidRPr="000672BC">
        <w:rPr>
          <w:rFonts w:ascii="Trebuchet MS" w:hAnsi="Trebuchet MS"/>
        </w:rPr>
        <w:t xml:space="preserve">where other people </w:t>
      </w:r>
      <w:r w:rsidR="00F523D3">
        <w:rPr>
          <w:rFonts w:ascii="Trebuchet MS" w:hAnsi="Trebuchet MS"/>
        </w:rPr>
        <w:t xml:space="preserve">will </w:t>
      </w:r>
      <w:r w:rsidR="00F523D3" w:rsidRPr="000672BC">
        <w:rPr>
          <w:rFonts w:ascii="Trebuchet MS" w:hAnsi="Trebuchet MS"/>
        </w:rPr>
        <w:t xml:space="preserve">eventually </w:t>
      </w:r>
      <w:r w:rsidR="00F523D3">
        <w:rPr>
          <w:rFonts w:ascii="Trebuchet MS" w:hAnsi="Trebuchet MS"/>
        </w:rPr>
        <w:t>inherit to</w:t>
      </w:r>
      <w:r w:rsidRPr="000672BC">
        <w:rPr>
          <w:rFonts w:ascii="Trebuchet MS" w:hAnsi="Trebuchet MS"/>
        </w:rPr>
        <w:t xml:space="preserve"> the same extent as they do from the donor’s estate.</w:t>
      </w:r>
      <w:r w:rsidR="00F523D3">
        <w:rPr>
          <w:rFonts w:ascii="Trebuchet MS" w:hAnsi="Trebuchet MS"/>
        </w:rPr>
        <w:t xml:space="preserve"> The attorney ‘restores the equity’ by utilising the donor’s funds for their own benefit.</w:t>
      </w:r>
    </w:p>
    <w:p w:rsidR="00F523D3" w:rsidRPr="000672BC" w:rsidRDefault="00F523D3">
      <w:pPr>
        <w:rPr>
          <w:rFonts w:ascii="Trebuchet MS" w:hAnsi="Trebuchet MS"/>
        </w:rPr>
      </w:pPr>
    </w:p>
    <w:p w:rsidR="0036072A" w:rsidRDefault="001E049A">
      <w:pPr>
        <w:rPr>
          <w:rFonts w:ascii="Trebuchet MS" w:hAnsi="Trebuchet MS"/>
        </w:rPr>
      </w:pPr>
      <w:r>
        <w:rPr>
          <w:rFonts w:ascii="Trebuchet MS" w:hAnsi="Trebuchet MS"/>
        </w:rPr>
        <w:t>I believ</w:t>
      </w:r>
      <w:r w:rsidR="0036072A">
        <w:rPr>
          <w:rFonts w:ascii="Trebuchet MS" w:hAnsi="Trebuchet MS"/>
        </w:rPr>
        <w:t>e</w:t>
      </w:r>
      <w:r>
        <w:rPr>
          <w:rFonts w:ascii="Trebuchet MS" w:hAnsi="Trebuchet MS"/>
        </w:rPr>
        <w:t xml:space="preserve"> it is possible to </w:t>
      </w:r>
      <w:r w:rsidR="00ED19A0">
        <w:rPr>
          <w:rFonts w:ascii="Trebuchet MS" w:hAnsi="Trebuchet MS"/>
        </w:rPr>
        <w:t xml:space="preserve">have the equivalent </w:t>
      </w:r>
      <w:r w:rsidR="0036072A">
        <w:rPr>
          <w:rFonts w:ascii="Trebuchet MS" w:hAnsi="Trebuchet MS"/>
        </w:rPr>
        <w:t xml:space="preserve">benefits of a deputyship by including appropriate conditions in the power, and by providing </w:t>
      </w:r>
      <w:r w:rsidR="00F666B4">
        <w:rPr>
          <w:rFonts w:ascii="Trebuchet MS" w:hAnsi="Trebuchet MS"/>
        </w:rPr>
        <w:t xml:space="preserve">robust </w:t>
      </w:r>
      <w:r w:rsidR="00675507" w:rsidRPr="000672BC">
        <w:rPr>
          <w:rFonts w:ascii="Trebuchet MS" w:hAnsi="Trebuchet MS"/>
        </w:rPr>
        <w:t>support and information to the attorney</w:t>
      </w:r>
      <w:r w:rsidR="0036072A">
        <w:rPr>
          <w:rFonts w:ascii="Trebuchet MS" w:hAnsi="Trebuchet MS"/>
        </w:rPr>
        <w:t>.</w:t>
      </w:r>
      <w:r w:rsidR="00ED19A0">
        <w:rPr>
          <w:rFonts w:ascii="Trebuchet MS" w:hAnsi="Trebuchet MS"/>
        </w:rPr>
        <w:t xml:space="preserve"> F</w:t>
      </w:r>
      <w:r w:rsidR="0036072A">
        <w:rPr>
          <w:rFonts w:ascii="Trebuchet MS" w:hAnsi="Trebuchet MS"/>
        </w:rPr>
        <w:t>or example:</w:t>
      </w:r>
    </w:p>
    <w:p w:rsidR="0036072A" w:rsidRDefault="0036072A">
      <w:pPr>
        <w:rPr>
          <w:rFonts w:ascii="Trebuchet MS" w:hAnsi="Trebuchet MS"/>
        </w:rPr>
      </w:pPr>
    </w:p>
    <w:p w:rsidR="0036072A" w:rsidRDefault="0036072A" w:rsidP="0036072A">
      <w:pPr>
        <w:pStyle w:val="ListParagraph"/>
        <w:numPr>
          <w:ilvl w:val="0"/>
          <w:numId w:val="1"/>
        </w:numPr>
        <w:rPr>
          <w:rFonts w:ascii="Trebuchet MS" w:hAnsi="Trebuchet MS"/>
        </w:rPr>
      </w:pPr>
      <w:r>
        <w:rPr>
          <w:rFonts w:ascii="Trebuchet MS" w:hAnsi="Trebuchet MS"/>
        </w:rPr>
        <w:t>i</w:t>
      </w:r>
      <w:r w:rsidR="00580B97">
        <w:rPr>
          <w:rFonts w:ascii="Trebuchet MS" w:hAnsi="Trebuchet MS"/>
        </w:rPr>
        <w:t>ncluding</w:t>
      </w:r>
      <w:r>
        <w:rPr>
          <w:rFonts w:ascii="Trebuchet MS" w:hAnsi="Trebuchet MS"/>
        </w:rPr>
        <w:t xml:space="preserve"> a</w:t>
      </w:r>
      <w:r w:rsidRPr="0036072A">
        <w:rPr>
          <w:rFonts w:ascii="Trebuchet MS" w:hAnsi="Trebuchet MS"/>
        </w:rPr>
        <w:t xml:space="preserve"> </w:t>
      </w:r>
      <w:r w:rsidR="00BC0027">
        <w:rPr>
          <w:rFonts w:ascii="Trebuchet MS" w:hAnsi="Trebuchet MS"/>
        </w:rPr>
        <w:t>supervision clause</w:t>
      </w:r>
      <w:r>
        <w:rPr>
          <w:rFonts w:ascii="Trebuchet MS" w:hAnsi="Trebuchet MS"/>
        </w:rPr>
        <w:t>, such as requiring</w:t>
      </w:r>
      <w:r w:rsidRPr="0036072A">
        <w:rPr>
          <w:rFonts w:ascii="Trebuchet MS" w:hAnsi="Trebuchet MS"/>
        </w:rPr>
        <w:t xml:space="preserve"> </w:t>
      </w:r>
      <w:r>
        <w:rPr>
          <w:rFonts w:ascii="Trebuchet MS" w:hAnsi="Trebuchet MS"/>
        </w:rPr>
        <w:t>the attorney</w:t>
      </w:r>
      <w:r w:rsidRPr="0036072A">
        <w:rPr>
          <w:rFonts w:ascii="Trebuchet MS" w:hAnsi="Trebuchet MS"/>
        </w:rPr>
        <w:t xml:space="preserve"> </w:t>
      </w:r>
      <w:r>
        <w:rPr>
          <w:rFonts w:ascii="Trebuchet MS" w:hAnsi="Trebuchet MS"/>
        </w:rPr>
        <w:t xml:space="preserve">to </w:t>
      </w:r>
      <w:r w:rsidRPr="0036072A">
        <w:rPr>
          <w:rFonts w:ascii="Trebuchet MS" w:hAnsi="Trebuchet MS"/>
        </w:rPr>
        <w:t>provide copies of financial statements to a non-attorney.</w:t>
      </w:r>
    </w:p>
    <w:p w:rsidR="0036072A" w:rsidRPr="0036072A" w:rsidRDefault="00F666B4" w:rsidP="0036072A">
      <w:pPr>
        <w:pStyle w:val="ListParagraph"/>
        <w:numPr>
          <w:ilvl w:val="0"/>
          <w:numId w:val="1"/>
        </w:numPr>
        <w:rPr>
          <w:rFonts w:ascii="Trebuchet MS" w:hAnsi="Trebuchet MS"/>
        </w:rPr>
      </w:pPr>
      <w:r>
        <w:rPr>
          <w:rFonts w:ascii="Trebuchet MS" w:hAnsi="Trebuchet MS"/>
        </w:rPr>
        <w:t>e</w:t>
      </w:r>
      <w:r w:rsidR="00580B97">
        <w:rPr>
          <w:rFonts w:ascii="Trebuchet MS" w:hAnsi="Trebuchet MS"/>
        </w:rPr>
        <w:t>xpressly providing</w:t>
      </w:r>
      <w:r w:rsidR="0036072A">
        <w:rPr>
          <w:rFonts w:ascii="Trebuchet MS" w:hAnsi="Trebuchet MS"/>
        </w:rPr>
        <w:t xml:space="preserve"> for accounts to be produced.</w:t>
      </w:r>
    </w:p>
    <w:p w:rsidR="00580B97" w:rsidRDefault="00F666B4" w:rsidP="0036072A">
      <w:pPr>
        <w:pStyle w:val="ListParagraph"/>
        <w:numPr>
          <w:ilvl w:val="0"/>
          <w:numId w:val="1"/>
        </w:numPr>
        <w:rPr>
          <w:rFonts w:ascii="Trebuchet MS" w:hAnsi="Trebuchet MS"/>
        </w:rPr>
      </w:pPr>
      <w:r>
        <w:rPr>
          <w:rFonts w:ascii="Trebuchet MS" w:hAnsi="Trebuchet MS"/>
        </w:rPr>
        <w:t>e</w:t>
      </w:r>
      <w:r w:rsidR="00580B97">
        <w:rPr>
          <w:rFonts w:ascii="Trebuchet MS" w:hAnsi="Trebuchet MS"/>
        </w:rPr>
        <w:t>xpressly requiring the attorney</w:t>
      </w:r>
      <w:r w:rsidR="00BC0027">
        <w:rPr>
          <w:rFonts w:ascii="Trebuchet MS" w:hAnsi="Trebuchet MS"/>
        </w:rPr>
        <w:t xml:space="preserve"> to</w:t>
      </w:r>
      <w:r w:rsidR="00580B97">
        <w:rPr>
          <w:rFonts w:ascii="Trebuchet MS" w:hAnsi="Trebuchet MS"/>
        </w:rPr>
        <w:t xml:space="preserve"> consult with the donor, co- attorneys and </w:t>
      </w:r>
      <w:r w:rsidR="00BC0027">
        <w:rPr>
          <w:rFonts w:ascii="Trebuchet MS" w:hAnsi="Trebuchet MS"/>
        </w:rPr>
        <w:t>other</w:t>
      </w:r>
      <w:r w:rsidR="00580B97">
        <w:rPr>
          <w:rFonts w:ascii="Trebuchet MS" w:hAnsi="Trebuchet MS"/>
        </w:rPr>
        <w:t xml:space="preserve"> named</w:t>
      </w:r>
      <w:r w:rsidR="00BC0027">
        <w:rPr>
          <w:rFonts w:ascii="Trebuchet MS" w:hAnsi="Trebuchet MS"/>
        </w:rPr>
        <w:t xml:space="preserve"> individuals</w:t>
      </w:r>
      <w:r w:rsidR="00580B97">
        <w:rPr>
          <w:rFonts w:ascii="Trebuchet MS" w:hAnsi="Trebuchet MS"/>
        </w:rPr>
        <w:t xml:space="preserve">. </w:t>
      </w:r>
    </w:p>
    <w:p w:rsidR="0036072A" w:rsidRPr="0036072A" w:rsidRDefault="00F666B4" w:rsidP="0036072A">
      <w:pPr>
        <w:pStyle w:val="ListParagraph"/>
        <w:numPr>
          <w:ilvl w:val="0"/>
          <w:numId w:val="1"/>
        </w:numPr>
        <w:rPr>
          <w:rFonts w:ascii="Trebuchet MS" w:hAnsi="Trebuchet MS"/>
        </w:rPr>
      </w:pPr>
      <w:r>
        <w:rPr>
          <w:rFonts w:ascii="Trebuchet MS" w:hAnsi="Trebuchet MS"/>
        </w:rPr>
        <w:t>a</w:t>
      </w:r>
      <w:r w:rsidR="00580B97">
        <w:rPr>
          <w:rFonts w:ascii="Trebuchet MS" w:hAnsi="Trebuchet MS"/>
        </w:rPr>
        <w:t>rranging</w:t>
      </w:r>
      <w:r w:rsidR="00675507" w:rsidRPr="0036072A">
        <w:rPr>
          <w:rFonts w:ascii="Trebuchet MS" w:hAnsi="Trebuchet MS"/>
        </w:rPr>
        <w:t xml:space="preserve"> for financial stateme</w:t>
      </w:r>
      <w:r w:rsidR="00580B97">
        <w:rPr>
          <w:rFonts w:ascii="Trebuchet MS" w:hAnsi="Trebuchet MS"/>
        </w:rPr>
        <w:t>nts to be sent to the less active or dormant attorney.</w:t>
      </w:r>
    </w:p>
    <w:p w:rsidR="0036072A" w:rsidRDefault="00F666B4" w:rsidP="0036072A">
      <w:pPr>
        <w:pStyle w:val="ListParagraph"/>
        <w:numPr>
          <w:ilvl w:val="0"/>
          <w:numId w:val="1"/>
        </w:numPr>
        <w:rPr>
          <w:rFonts w:ascii="Trebuchet MS" w:hAnsi="Trebuchet MS"/>
        </w:rPr>
      </w:pPr>
      <w:r>
        <w:rPr>
          <w:rFonts w:ascii="Trebuchet MS" w:hAnsi="Trebuchet MS"/>
        </w:rPr>
        <w:t>p</w:t>
      </w:r>
      <w:r w:rsidR="00BC0027">
        <w:rPr>
          <w:rFonts w:ascii="Trebuchet MS" w:hAnsi="Trebuchet MS"/>
        </w:rPr>
        <w:t>roviding</w:t>
      </w:r>
      <w:r w:rsidR="004E6AFC" w:rsidRPr="0036072A">
        <w:rPr>
          <w:rFonts w:ascii="Trebuchet MS" w:hAnsi="Trebuchet MS"/>
        </w:rPr>
        <w:t xml:space="preserve"> information to the attorney about how they work with the dono</w:t>
      </w:r>
      <w:r w:rsidR="00BC0027">
        <w:rPr>
          <w:rFonts w:ascii="Trebuchet MS" w:hAnsi="Trebuchet MS"/>
        </w:rPr>
        <w:t>r to support decision mak</w:t>
      </w:r>
      <w:r>
        <w:rPr>
          <w:rFonts w:ascii="Trebuchet MS" w:hAnsi="Trebuchet MS"/>
        </w:rPr>
        <w:t>ing and</w:t>
      </w:r>
      <w:r w:rsidR="004E6AFC" w:rsidRPr="0036072A">
        <w:rPr>
          <w:rFonts w:ascii="Trebuchet MS" w:hAnsi="Trebuchet MS"/>
        </w:rPr>
        <w:t xml:space="preserve"> work</w:t>
      </w:r>
      <w:r w:rsidR="00BC0027">
        <w:rPr>
          <w:rFonts w:ascii="Trebuchet MS" w:hAnsi="Trebuchet MS"/>
        </w:rPr>
        <w:t>ing</w:t>
      </w:r>
      <w:r w:rsidR="004E6AFC" w:rsidRPr="0036072A">
        <w:rPr>
          <w:rFonts w:ascii="Trebuchet MS" w:hAnsi="Trebuchet MS"/>
        </w:rPr>
        <w:t xml:space="preserve"> with their co attorney in partnership to make good decisions</w:t>
      </w:r>
      <w:r>
        <w:rPr>
          <w:rFonts w:ascii="Trebuchet MS" w:hAnsi="Trebuchet MS"/>
        </w:rPr>
        <w:t>.</w:t>
      </w:r>
      <w:r w:rsidR="004E6AFC" w:rsidRPr="0036072A">
        <w:rPr>
          <w:rFonts w:ascii="Trebuchet MS" w:hAnsi="Trebuchet MS"/>
        </w:rPr>
        <w:t xml:space="preserve"> </w:t>
      </w:r>
    </w:p>
    <w:p w:rsidR="0036072A" w:rsidRDefault="00F666B4" w:rsidP="0036072A">
      <w:pPr>
        <w:pStyle w:val="ListParagraph"/>
        <w:numPr>
          <w:ilvl w:val="0"/>
          <w:numId w:val="1"/>
        </w:numPr>
        <w:rPr>
          <w:rFonts w:ascii="Trebuchet MS" w:hAnsi="Trebuchet MS"/>
        </w:rPr>
      </w:pPr>
      <w:r>
        <w:rPr>
          <w:rFonts w:ascii="Trebuchet MS" w:hAnsi="Trebuchet MS"/>
        </w:rPr>
        <w:t>e</w:t>
      </w:r>
      <w:r w:rsidR="004E6AFC" w:rsidRPr="0036072A">
        <w:rPr>
          <w:rFonts w:ascii="Trebuchet MS" w:hAnsi="Trebuchet MS"/>
        </w:rPr>
        <w:t>xplain</w:t>
      </w:r>
      <w:r w:rsidR="00BC0027">
        <w:rPr>
          <w:rFonts w:ascii="Trebuchet MS" w:hAnsi="Trebuchet MS"/>
        </w:rPr>
        <w:t>ing</w:t>
      </w:r>
      <w:r w:rsidR="004E6AFC" w:rsidRPr="0036072A">
        <w:rPr>
          <w:rFonts w:ascii="Trebuchet MS" w:hAnsi="Trebuchet MS"/>
        </w:rPr>
        <w:t xml:space="preserve"> the consequence of poor </w:t>
      </w:r>
      <w:r w:rsidR="000672BC" w:rsidRPr="0036072A">
        <w:rPr>
          <w:rFonts w:ascii="Trebuchet MS" w:hAnsi="Trebuchet MS"/>
        </w:rPr>
        <w:t>decisions</w:t>
      </w:r>
      <w:r>
        <w:rPr>
          <w:rFonts w:ascii="Trebuchet MS" w:hAnsi="Trebuchet MS"/>
        </w:rPr>
        <w:t xml:space="preserve">, such as the risk of </w:t>
      </w:r>
      <w:r w:rsidR="00BC0027">
        <w:rPr>
          <w:rFonts w:ascii="Trebuchet MS" w:hAnsi="Trebuchet MS"/>
        </w:rPr>
        <w:t xml:space="preserve">their </w:t>
      </w:r>
      <w:r>
        <w:rPr>
          <w:rFonts w:ascii="Trebuchet MS" w:hAnsi="Trebuchet MS"/>
        </w:rPr>
        <w:t>removal and publicity in the media.</w:t>
      </w:r>
    </w:p>
    <w:p w:rsidR="0036072A" w:rsidRDefault="00F666B4" w:rsidP="0036072A">
      <w:pPr>
        <w:pStyle w:val="ListParagraph"/>
        <w:numPr>
          <w:ilvl w:val="0"/>
          <w:numId w:val="1"/>
        </w:numPr>
        <w:rPr>
          <w:rFonts w:ascii="Trebuchet MS" w:hAnsi="Trebuchet MS"/>
        </w:rPr>
      </w:pPr>
      <w:r>
        <w:rPr>
          <w:rFonts w:ascii="Trebuchet MS" w:hAnsi="Trebuchet MS"/>
        </w:rPr>
        <w:t>identify</w:t>
      </w:r>
      <w:r w:rsidR="00BC0027">
        <w:rPr>
          <w:rFonts w:ascii="Trebuchet MS" w:hAnsi="Trebuchet MS"/>
        </w:rPr>
        <w:t>ing</w:t>
      </w:r>
      <w:r w:rsidR="0081002E" w:rsidRPr="0036072A">
        <w:rPr>
          <w:rFonts w:ascii="Trebuchet MS" w:hAnsi="Trebuchet MS"/>
        </w:rPr>
        <w:t xml:space="preserve"> events</w:t>
      </w:r>
      <w:r>
        <w:rPr>
          <w:rFonts w:ascii="Trebuchet MS" w:hAnsi="Trebuchet MS"/>
        </w:rPr>
        <w:t>, which trigger the need to get expert advice</w:t>
      </w:r>
      <w:r w:rsidR="005D3405">
        <w:rPr>
          <w:rFonts w:ascii="Trebuchet MS" w:hAnsi="Trebuchet MS"/>
        </w:rPr>
        <w:t>.</w:t>
      </w:r>
      <w:r w:rsidR="0081002E" w:rsidRPr="0036072A">
        <w:rPr>
          <w:rFonts w:ascii="Trebuchet MS" w:hAnsi="Trebuchet MS"/>
        </w:rPr>
        <w:t xml:space="preserve"> </w:t>
      </w:r>
    </w:p>
    <w:p w:rsidR="0036072A" w:rsidRDefault="00F666B4" w:rsidP="0036072A">
      <w:pPr>
        <w:pStyle w:val="ListParagraph"/>
        <w:numPr>
          <w:ilvl w:val="0"/>
          <w:numId w:val="1"/>
        </w:numPr>
        <w:rPr>
          <w:rFonts w:ascii="Trebuchet MS" w:hAnsi="Trebuchet MS"/>
        </w:rPr>
      </w:pPr>
      <w:r>
        <w:rPr>
          <w:rFonts w:ascii="Trebuchet MS" w:hAnsi="Trebuchet MS"/>
        </w:rPr>
        <w:t>n</w:t>
      </w:r>
      <w:r w:rsidR="0036072A" w:rsidRPr="0036072A">
        <w:rPr>
          <w:rFonts w:ascii="Trebuchet MS" w:hAnsi="Trebuchet MS"/>
        </w:rPr>
        <w:t>otify</w:t>
      </w:r>
      <w:r>
        <w:rPr>
          <w:rFonts w:ascii="Trebuchet MS" w:hAnsi="Trebuchet MS"/>
        </w:rPr>
        <w:t>ing</w:t>
      </w:r>
      <w:r w:rsidR="0036072A" w:rsidRPr="0036072A">
        <w:rPr>
          <w:rFonts w:ascii="Trebuchet MS" w:hAnsi="Trebuchet MS"/>
        </w:rPr>
        <w:t xml:space="preserve"> interested people</w:t>
      </w:r>
      <w:r>
        <w:rPr>
          <w:rFonts w:ascii="Trebuchet MS" w:hAnsi="Trebuchet MS"/>
        </w:rPr>
        <w:t xml:space="preserve"> after the registration of the</w:t>
      </w:r>
      <w:r w:rsidR="0036072A" w:rsidRPr="0036072A">
        <w:rPr>
          <w:rFonts w:ascii="Trebuchet MS" w:hAnsi="Trebuchet MS"/>
        </w:rPr>
        <w:t xml:space="preserve"> power </w:t>
      </w:r>
      <w:r>
        <w:rPr>
          <w:rFonts w:ascii="Trebuchet MS" w:hAnsi="Trebuchet MS"/>
        </w:rPr>
        <w:t>with details of how to raise any</w:t>
      </w:r>
      <w:r w:rsidR="0036072A" w:rsidRPr="0036072A">
        <w:rPr>
          <w:rFonts w:ascii="Trebuchet MS" w:hAnsi="Trebuchet MS"/>
        </w:rPr>
        <w:t xml:space="preserve"> concern</w:t>
      </w:r>
      <w:r w:rsidR="005D3405">
        <w:rPr>
          <w:rFonts w:ascii="Trebuchet MS" w:hAnsi="Trebuchet MS"/>
        </w:rPr>
        <w:t xml:space="preserve"> they might have</w:t>
      </w:r>
      <w:r w:rsidR="0036072A" w:rsidRPr="0036072A">
        <w:rPr>
          <w:rFonts w:ascii="Trebuchet MS" w:hAnsi="Trebuchet MS"/>
        </w:rPr>
        <w:t xml:space="preserve"> with the OPG</w:t>
      </w:r>
      <w:r>
        <w:rPr>
          <w:rFonts w:ascii="Trebuchet MS" w:hAnsi="Trebuchet MS"/>
        </w:rPr>
        <w:t>.</w:t>
      </w:r>
    </w:p>
    <w:p w:rsidR="0081002E" w:rsidRPr="0036072A" w:rsidRDefault="0081002E" w:rsidP="00F666B4">
      <w:pPr>
        <w:pStyle w:val="ListParagraph"/>
        <w:ind w:left="1080"/>
        <w:rPr>
          <w:rFonts w:ascii="Trebuchet MS" w:hAnsi="Trebuchet MS"/>
        </w:rPr>
      </w:pPr>
    </w:p>
    <w:p w:rsidR="004E6AFC" w:rsidRPr="000672BC" w:rsidRDefault="00BC0027">
      <w:pPr>
        <w:rPr>
          <w:rFonts w:ascii="Trebuchet MS" w:hAnsi="Trebuchet MS"/>
        </w:rPr>
      </w:pPr>
      <w:r>
        <w:rPr>
          <w:rFonts w:ascii="Trebuchet MS" w:hAnsi="Trebuchet MS"/>
        </w:rPr>
        <w:t>Although</w:t>
      </w:r>
      <w:r w:rsidR="00F666B4" w:rsidRPr="00F666B4">
        <w:rPr>
          <w:rFonts w:ascii="Trebuchet MS" w:hAnsi="Trebuchet MS"/>
        </w:rPr>
        <w:t xml:space="preserve"> there is no alternative to the </w:t>
      </w:r>
      <w:r w:rsidR="00BA3F38">
        <w:rPr>
          <w:rFonts w:ascii="Trebuchet MS" w:hAnsi="Trebuchet MS"/>
        </w:rPr>
        <w:t xml:space="preserve">advantage of the </w:t>
      </w:r>
      <w:r w:rsidR="00F666B4" w:rsidRPr="00F666B4">
        <w:rPr>
          <w:rFonts w:ascii="Trebuchet MS" w:hAnsi="Trebuchet MS"/>
        </w:rPr>
        <w:t xml:space="preserve">security bond </w:t>
      </w:r>
      <w:r>
        <w:rPr>
          <w:rFonts w:ascii="Trebuchet MS" w:hAnsi="Trebuchet MS"/>
        </w:rPr>
        <w:t>under the deputyship regime,</w:t>
      </w:r>
      <w:r w:rsidR="00F666B4" w:rsidRPr="00F666B4">
        <w:rPr>
          <w:rFonts w:ascii="Trebuchet MS" w:hAnsi="Trebuchet MS"/>
        </w:rPr>
        <w:t xml:space="preserve"> if the risk of things going wrong </w:t>
      </w:r>
      <w:r>
        <w:rPr>
          <w:rFonts w:ascii="Trebuchet MS" w:hAnsi="Trebuchet MS"/>
        </w:rPr>
        <w:t xml:space="preserve">under the LPA </w:t>
      </w:r>
      <w:r w:rsidR="00121A03">
        <w:rPr>
          <w:rFonts w:ascii="Trebuchet MS" w:hAnsi="Trebuchet MS"/>
        </w:rPr>
        <w:t>is</w:t>
      </w:r>
      <w:r w:rsidR="00F666B4" w:rsidRPr="00F666B4">
        <w:rPr>
          <w:rFonts w:ascii="Trebuchet MS" w:hAnsi="Trebuchet MS"/>
        </w:rPr>
        <w:t xml:space="preserve"> reduced, the</w:t>
      </w:r>
      <w:r w:rsidR="005B1EBE">
        <w:rPr>
          <w:rFonts w:ascii="Trebuchet MS" w:hAnsi="Trebuchet MS"/>
        </w:rPr>
        <w:t xml:space="preserve"> </w:t>
      </w:r>
      <w:r w:rsidR="0067788E">
        <w:rPr>
          <w:rFonts w:ascii="Trebuchet MS" w:hAnsi="Trebuchet MS"/>
        </w:rPr>
        <w:t>benefi</w:t>
      </w:r>
      <w:r w:rsidR="00011087">
        <w:rPr>
          <w:rFonts w:ascii="Trebuchet MS" w:hAnsi="Trebuchet MS"/>
        </w:rPr>
        <w:t>t the deputyship security bond</w:t>
      </w:r>
      <w:r w:rsidR="0067788E">
        <w:rPr>
          <w:rFonts w:ascii="Trebuchet MS" w:hAnsi="Trebuchet MS"/>
        </w:rPr>
        <w:t xml:space="preserve"> over attorneyship </w:t>
      </w:r>
      <w:r w:rsidR="00F666B4" w:rsidRPr="00F666B4">
        <w:rPr>
          <w:rFonts w:ascii="Trebuchet MS" w:hAnsi="Trebuchet MS"/>
        </w:rPr>
        <w:t xml:space="preserve">is also reduced.  </w:t>
      </w:r>
    </w:p>
    <w:p w:rsidR="00F666B4" w:rsidRDefault="00F666B4">
      <w:pPr>
        <w:rPr>
          <w:rFonts w:ascii="Trebuchet MS" w:hAnsi="Trebuchet MS"/>
        </w:rPr>
      </w:pPr>
    </w:p>
    <w:p w:rsidR="001605DA" w:rsidRDefault="001605DA" w:rsidP="001605DA">
      <w:pPr>
        <w:rPr>
          <w:rFonts w:ascii="Trebuchet MS" w:hAnsi="Trebuchet MS"/>
        </w:rPr>
      </w:pPr>
      <w:r>
        <w:rPr>
          <w:rFonts w:ascii="Trebuchet MS" w:hAnsi="Trebuchet MS"/>
        </w:rPr>
        <w:t>I am a</w:t>
      </w:r>
      <w:r w:rsidR="00F60863">
        <w:rPr>
          <w:rFonts w:ascii="Trebuchet MS" w:hAnsi="Trebuchet MS"/>
        </w:rPr>
        <w:t xml:space="preserve"> fan of the health and welfare LPA</w:t>
      </w:r>
      <w:r>
        <w:rPr>
          <w:rFonts w:ascii="Trebuchet MS" w:hAnsi="Trebuchet MS"/>
        </w:rPr>
        <w:t xml:space="preserve">. Medical professionals are not always fully aware of the complex health issues with which the patient lives. </w:t>
      </w:r>
      <w:r w:rsidR="00BF32F3">
        <w:rPr>
          <w:rFonts w:ascii="Trebuchet MS" w:hAnsi="Trebuchet MS"/>
        </w:rPr>
        <w:t>Whilst t</w:t>
      </w:r>
      <w:r w:rsidRPr="000672BC">
        <w:rPr>
          <w:rFonts w:ascii="Trebuchet MS" w:hAnsi="Trebuchet MS"/>
        </w:rPr>
        <w:t xml:space="preserve">he attorney </w:t>
      </w:r>
      <w:r>
        <w:rPr>
          <w:rFonts w:ascii="Trebuchet MS" w:hAnsi="Trebuchet MS"/>
        </w:rPr>
        <w:t xml:space="preserve">does not have any power to </w:t>
      </w:r>
      <w:r w:rsidRPr="000672BC">
        <w:rPr>
          <w:rFonts w:ascii="Trebuchet MS" w:hAnsi="Trebuchet MS"/>
        </w:rPr>
        <w:t xml:space="preserve">force </w:t>
      </w:r>
      <w:r>
        <w:rPr>
          <w:rFonts w:ascii="Trebuchet MS" w:hAnsi="Trebuchet MS"/>
        </w:rPr>
        <w:t>a health professional</w:t>
      </w:r>
      <w:r w:rsidR="00BF32F3">
        <w:rPr>
          <w:rFonts w:ascii="Trebuchet MS" w:hAnsi="Trebuchet MS"/>
        </w:rPr>
        <w:t xml:space="preserve"> to provide treatment, the LPA</w:t>
      </w:r>
      <w:r w:rsidRPr="000672BC">
        <w:rPr>
          <w:rFonts w:ascii="Trebuchet MS" w:hAnsi="Trebuchet MS"/>
        </w:rPr>
        <w:t xml:space="preserve"> gives the attorney standing to be consulted and if </w:t>
      </w:r>
      <w:r>
        <w:rPr>
          <w:rFonts w:ascii="Trebuchet MS" w:hAnsi="Trebuchet MS"/>
        </w:rPr>
        <w:t xml:space="preserve">considered appropriate, the </w:t>
      </w:r>
      <w:r w:rsidR="00BF32F3">
        <w:rPr>
          <w:rFonts w:ascii="Trebuchet MS" w:hAnsi="Trebuchet MS"/>
        </w:rPr>
        <w:t xml:space="preserve">power to </w:t>
      </w:r>
      <w:r w:rsidRPr="000672BC">
        <w:rPr>
          <w:rFonts w:ascii="Trebuchet MS" w:hAnsi="Trebuchet MS"/>
        </w:rPr>
        <w:t>refuse consent to treatment</w:t>
      </w:r>
      <w:r>
        <w:rPr>
          <w:rFonts w:ascii="Trebuchet MS" w:hAnsi="Trebuchet MS"/>
        </w:rPr>
        <w:t>.</w:t>
      </w:r>
      <w:r w:rsidRPr="000672BC">
        <w:rPr>
          <w:rFonts w:ascii="Trebuchet MS" w:hAnsi="Trebuchet MS"/>
        </w:rPr>
        <w:t xml:space="preserve"> </w:t>
      </w:r>
    </w:p>
    <w:p w:rsidR="001605DA" w:rsidRDefault="001605DA">
      <w:pPr>
        <w:rPr>
          <w:rFonts w:ascii="Trebuchet MS" w:hAnsi="Trebuchet MS"/>
        </w:rPr>
      </w:pPr>
    </w:p>
    <w:p w:rsidR="008C4415" w:rsidRDefault="001605DA">
      <w:pPr>
        <w:rPr>
          <w:rFonts w:ascii="Trebuchet MS" w:hAnsi="Trebuchet MS"/>
        </w:rPr>
      </w:pPr>
      <w:r>
        <w:rPr>
          <w:rFonts w:ascii="Trebuchet MS" w:hAnsi="Trebuchet MS"/>
        </w:rPr>
        <w:t>I h</w:t>
      </w:r>
      <w:r w:rsidR="009D441B">
        <w:rPr>
          <w:rFonts w:ascii="Trebuchet MS" w:hAnsi="Trebuchet MS"/>
        </w:rPr>
        <w:t>ave been a welfare attorney for both</w:t>
      </w:r>
      <w:r>
        <w:rPr>
          <w:rFonts w:ascii="Trebuchet MS" w:hAnsi="Trebuchet MS"/>
        </w:rPr>
        <w:t xml:space="preserve"> my parents, which </w:t>
      </w:r>
      <w:r w:rsidR="009D441B">
        <w:rPr>
          <w:rFonts w:ascii="Trebuchet MS" w:hAnsi="Trebuchet MS"/>
        </w:rPr>
        <w:t>allowed me to ensure they</w:t>
      </w:r>
      <w:r>
        <w:rPr>
          <w:rFonts w:ascii="Trebuchet MS" w:hAnsi="Trebuchet MS"/>
        </w:rPr>
        <w:t xml:space="preserve"> continued to live and die in their home.</w:t>
      </w:r>
      <w:r w:rsidR="00F60863">
        <w:rPr>
          <w:rFonts w:ascii="Trebuchet MS" w:hAnsi="Trebuchet MS"/>
        </w:rPr>
        <w:t xml:space="preserve"> </w:t>
      </w:r>
      <w:r w:rsidR="00A626C2" w:rsidRPr="000672BC">
        <w:rPr>
          <w:rFonts w:ascii="Trebuchet MS" w:hAnsi="Trebuchet MS"/>
        </w:rPr>
        <w:t xml:space="preserve">I refused consent to my late father being given CPR, when he went into cardiac and respiratory failure. My father had </w:t>
      </w:r>
      <w:r>
        <w:rPr>
          <w:rFonts w:ascii="Trebuchet MS" w:hAnsi="Trebuchet MS"/>
        </w:rPr>
        <w:t xml:space="preserve">severe </w:t>
      </w:r>
      <w:r w:rsidR="00A626C2" w:rsidRPr="000672BC">
        <w:rPr>
          <w:rFonts w:ascii="Trebuchet MS" w:hAnsi="Trebuchet MS"/>
        </w:rPr>
        <w:t xml:space="preserve">dementia, various cancers and </w:t>
      </w:r>
      <w:r w:rsidR="00E80514">
        <w:rPr>
          <w:rFonts w:ascii="Trebuchet MS" w:hAnsi="Trebuchet MS"/>
        </w:rPr>
        <w:t>was extremely</w:t>
      </w:r>
      <w:r w:rsidR="00A626C2" w:rsidRPr="000672BC">
        <w:rPr>
          <w:rFonts w:ascii="Trebuchet MS" w:hAnsi="Trebuchet MS"/>
        </w:rPr>
        <w:t xml:space="preserve"> frail. CRP was unlikely to be successful and would </w:t>
      </w:r>
      <w:r w:rsidR="008C4415">
        <w:rPr>
          <w:rFonts w:ascii="Trebuchet MS" w:hAnsi="Trebuchet MS"/>
        </w:rPr>
        <w:t xml:space="preserve">have </w:t>
      </w:r>
      <w:r w:rsidR="00A626C2" w:rsidRPr="000672BC">
        <w:rPr>
          <w:rFonts w:ascii="Trebuchet MS" w:hAnsi="Trebuchet MS"/>
        </w:rPr>
        <w:t>involve</w:t>
      </w:r>
      <w:r w:rsidR="008C4415">
        <w:rPr>
          <w:rFonts w:ascii="Trebuchet MS" w:hAnsi="Trebuchet MS"/>
        </w:rPr>
        <w:t>d significant</w:t>
      </w:r>
      <w:r>
        <w:rPr>
          <w:rFonts w:ascii="Trebuchet MS" w:hAnsi="Trebuchet MS"/>
        </w:rPr>
        <w:t xml:space="preserve"> pain and injury to him, followed by an admission to hospital, where he was likely to die</w:t>
      </w:r>
      <w:r w:rsidR="008C4415">
        <w:rPr>
          <w:rFonts w:ascii="Trebuchet MS" w:hAnsi="Trebuchet MS"/>
        </w:rPr>
        <w:t>. When the paramedics arrived at his home,</w:t>
      </w:r>
      <w:r w:rsidR="00A626C2" w:rsidRPr="000672BC">
        <w:rPr>
          <w:rFonts w:ascii="Trebuchet MS" w:hAnsi="Trebuchet MS"/>
        </w:rPr>
        <w:t xml:space="preserve"> I </w:t>
      </w:r>
      <w:r>
        <w:rPr>
          <w:rFonts w:ascii="Trebuchet MS" w:hAnsi="Trebuchet MS"/>
        </w:rPr>
        <w:t>refused consent for them to perform CPR so</w:t>
      </w:r>
      <w:r w:rsidR="00A626C2" w:rsidRPr="000672BC">
        <w:rPr>
          <w:rFonts w:ascii="Trebuchet MS" w:hAnsi="Trebuchet MS"/>
        </w:rPr>
        <w:t xml:space="preserve"> he </w:t>
      </w:r>
      <w:r w:rsidR="000672BC" w:rsidRPr="000672BC">
        <w:rPr>
          <w:rFonts w:ascii="Trebuchet MS" w:hAnsi="Trebuchet MS"/>
        </w:rPr>
        <w:t>could</w:t>
      </w:r>
      <w:r w:rsidR="00A626C2" w:rsidRPr="000672BC">
        <w:rPr>
          <w:rFonts w:ascii="Trebuchet MS" w:hAnsi="Trebuchet MS"/>
        </w:rPr>
        <w:t xml:space="preserve"> die in the comfort of his own bed, in his own home surrounded by his family. </w:t>
      </w:r>
    </w:p>
    <w:p w:rsidR="00BF32F3" w:rsidRDefault="00BF32F3">
      <w:pPr>
        <w:rPr>
          <w:rFonts w:ascii="Trebuchet MS" w:hAnsi="Trebuchet MS"/>
        </w:rPr>
      </w:pPr>
    </w:p>
    <w:p w:rsidR="00676619" w:rsidRDefault="005D3405">
      <w:pPr>
        <w:rPr>
          <w:rFonts w:ascii="Trebuchet MS" w:hAnsi="Trebuchet MS"/>
        </w:rPr>
      </w:pPr>
      <w:r>
        <w:rPr>
          <w:rFonts w:ascii="Trebuchet MS" w:hAnsi="Trebuchet MS"/>
        </w:rPr>
        <w:t>The success of decision making under an LPA, relies on the donor making a good choice of attorney and the attorney knowing how to correctly go about the business of making decisions. Advisers must</w:t>
      </w:r>
      <w:r w:rsidR="00676619" w:rsidRPr="000672BC">
        <w:rPr>
          <w:rFonts w:ascii="Trebuchet MS" w:hAnsi="Trebuchet MS"/>
        </w:rPr>
        <w:t xml:space="preserve"> consider </w:t>
      </w:r>
      <w:r w:rsidR="00764172">
        <w:rPr>
          <w:rFonts w:ascii="Trebuchet MS" w:hAnsi="Trebuchet MS"/>
        </w:rPr>
        <w:t>their advice in</w:t>
      </w:r>
      <w:r w:rsidR="00DB3A05">
        <w:rPr>
          <w:rFonts w:ascii="Trebuchet MS" w:hAnsi="Trebuchet MS"/>
        </w:rPr>
        <w:t xml:space="preserve"> </w:t>
      </w:r>
      <w:r>
        <w:rPr>
          <w:rFonts w:ascii="Trebuchet MS" w:hAnsi="Trebuchet MS"/>
        </w:rPr>
        <w:t xml:space="preserve">the </w:t>
      </w:r>
      <w:r w:rsidR="00DB3A05">
        <w:rPr>
          <w:rFonts w:ascii="Trebuchet MS" w:hAnsi="Trebuchet MS"/>
        </w:rPr>
        <w:t>contex</w:t>
      </w:r>
      <w:r w:rsidR="00676619" w:rsidRPr="000672BC">
        <w:rPr>
          <w:rFonts w:ascii="Trebuchet MS" w:hAnsi="Trebuchet MS"/>
        </w:rPr>
        <w:t>t</w:t>
      </w:r>
      <w:r w:rsidR="00764172">
        <w:rPr>
          <w:rFonts w:ascii="Trebuchet MS" w:hAnsi="Trebuchet MS"/>
        </w:rPr>
        <w:t xml:space="preserve"> of the donor’s circumstances,</w:t>
      </w:r>
      <w:r>
        <w:rPr>
          <w:rFonts w:ascii="Trebuchet MS" w:hAnsi="Trebuchet MS"/>
        </w:rPr>
        <w:t xml:space="preserve"> drafting the instrument and providing advice and support which will </w:t>
      </w:r>
      <w:r w:rsidR="00764172">
        <w:rPr>
          <w:rFonts w:ascii="Trebuchet MS" w:hAnsi="Trebuchet MS"/>
        </w:rPr>
        <w:t xml:space="preserve">keep the attorney on the straight and narrow. </w:t>
      </w:r>
      <w:r w:rsidR="00ED19A0">
        <w:rPr>
          <w:rFonts w:ascii="Trebuchet MS" w:hAnsi="Trebuchet MS"/>
        </w:rPr>
        <w:t>I hope the updated edition of this book will help professionals achieve this.</w:t>
      </w:r>
    </w:p>
    <w:p w:rsidR="00590F18" w:rsidRDefault="00590F18">
      <w:pPr>
        <w:rPr>
          <w:rFonts w:ascii="Trebuchet MS" w:hAnsi="Trebuchet MS"/>
        </w:rPr>
      </w:pPr>
    </w:p>
    <w:p w:rsidR="00590F18" w:rsidRDefault="00590F18">
      <w:pPr>
        <w:rPr>
          <w:rFonts w:ascii="Trebuchet MS" w:hAnsi="Trebuchet MS"/>
        </w:rPr>
      </w:pPr>
    </w:p>
    <w:p w:rsidR="00DB3A05" w:rsidRPr="000672BC" w:rsidRDefault="00DB3A05">
      <w:pPr>
        <w:rPr>
          <w:rFonts w:ascii="Trebuchet MS" w:hAnsi="Trebuchet MS"/>
        </w:rPr>
      </w:pPr>
      <w:r>
        <w:rPr>
          <w:rFonts w:ascii="Trebuchet MS" w:hAnsi="Trebuchet MS"/>
        </w:rPr>
        <w:t>CAROLINE BIELANSKA</w:t>
      </w:r>
    </w:p>
    <w:p w:rsidR="003D3C66" w:rsidRDefault="003D3C66"/>
    <w:p w:rsidR="003D3C66" w:rsidRDefault="003D3C66"/>
    <w:p w:rsidR="003D3C66" w:rsidRDefault="003D3C66"/>
    <w:p w:rsidR="007E00A0" w:rsidRDefault="007E00A0"/>
    <w:p w:rsidR="00857480" w:rsidRDefault="00857480"/>
    <w:p w:rsidR="00857480" w:rsidRDefault="00857480"/>
    <w:sectPr w:rsidR="00857480" w:rsidSect="00590F1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B5CE6"/>
    <w:multiLevelType w:val="hybridMultilevel"/>
    <w:tmpl w:val="E722BF84"/>
    <w:lvl w:ilvl="0" w:tplc="80FE3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1C"/>
    <w:rsid w:val="00000B85"/>
    <w:rsid w:val="0000647D"/>
    <w:rsid w:val="00011087"/>
    <w:rsid w:val="00031A08"/>
    <w:rsid w:val="00036294"/>
    <w:rsid w:val="000672BC"/>
    <w:rsid w:val="0009121F"/>
    <w:rsid w:val="0009136C"/>
    <w:rsid w:val="000C1147"/>
    <w:rsid w:val="000E65AF"/>
    <w:rsid w:val="00101086"/>
    <w:rsid w:val="00104EF7"/>
    <w:rsid w:val="00111CE0"/>
    <w:rsid w:val="00121A03"/>
    <w:rsid w:val="00135D4B"/>
    <w:rsid w:val="001368B9"/>
    <w:rsid w:val="00137A65"/>
    <w:rsid w:val="001605DA"/>
    <w:rsid w:val="00165A8D"/>
    <w:rsid w:val="001802DD"/>
    <w:rsid w:val="00182770"/>
    <w:rsid w:val="00191FD1"/>
    <w:rsid w:val="001B08B1"/>
    <w:rsid w:val="001D10AC"/>
    <w:rsid w:val="001D38D5"/>
    <w:rsid w:val="001E049A"/>
    <w:rsid w:val="001E2ECD"/>
    <w:rsid w:val="001E50F9"/>
    <w:rsid w:val="001E78B1"/>
    <w:rsid w:val="00227FF9"/>
    <w:rsid w:val="002376C5"/>
    <w:rsid w:val="00242507"/>
    <w:rsid w:val="002833C5"/>
    <w:rsid w:val="00286F52"/>
    <w:rsid w:val="002C77D8"/>
    <w:rsid w:val="002E6377"/>
    <w:rsid w:val="002F7E6C"/>
    <w:rsid w:val="003268E3"/>
    <w:rsid w:val="00334117"/>
    <w:rsid w:val="0036072A"/>
    <w:rsid w:val="003609EF"/>
    <w:rsid w:val="00393B4B"/>
    <w:rsid w:val="003A3EB5"/>
    <w:rsid w:val="003B5BD6"/>
    <w:rsid w:val="003C0D96"/>
    <w:rsid w:val="003C4EA3"/>
    <w:rsid w:val="003D3C66"/>
    <w:rsid w:val="003E22F2"/>
    <w:rsid w:val="00460937"/>
    <w:rsid w:val="00461590"/>
    <w:rsid w:val="004750A2"/>
    <w:rsid w:val="00492E5F"/>
    <w:rsid w:val="004A4D61"/>
    <w:rsid w:val="004A6457"/>
    <w:rsid w:val="004C3441"/>
    <w:rsid w:val="004E6AFC"/>
    <w:rsid w:val="00521F8B"/>
    <w:rsid w:val="00534D79"/>
    <w:rsid w:val="00580B97"/>
    <w:rsid w:val="00590F18"/>
    <w:rsid w:val="00595045"/>
    <w:rsid w:val="00595191"/>
    <w:rsid w:val="005B0629"/>
    <w:rsid w:val="005B1EBE"/>
    <w:rsid w:val="005C1C1C"/>
    <w:rsid w:val="005D3405"/>
    <w:rsid w:val="006378D0"/>
    <w:rsid w:val="00675507"/>
    <w:rsid w:val="00676619"/>
    <w:rsid w:val="0067788E"/>
    <w:rsid w:val="006955A1"/>
    <w:rsid w:val="00695A2E"/>
    <w:rsid w:val="006B413F"/>
    <w:rsid w:val="006B4C6C"/>
    <w:rsid w:val="006F1578"/>
    <w:rsid w:val="00705D5B"/>
    <w:rsid w:val="0070727B"/>
    <w:rsid w:val="00723999"/>
    <w:rsid w:val="00732541"/>
    <w:rsid w:val="00737193"/>
    <w:rsid w:val="00737FE1"/>
    <w:rsid w:val="00757C11"/>
    <w:rsid w:val="00764172"/>
    <w:rsid w:val="007873B5"/>
    <w:rsid w:val="007E00A0"/>
    <w:rsid w:val="007E1CDB"/>
    <w:rsid w:val="007F1C1E"/>
    <w:rsid w:val="0081002E"/>
    <w:rsid w:val="00813DF3"/>
    <w:rsid w:val="0083603E"/>
    <w:rsid w:val="00857480"/>
    <w:rsid w:val="00865B11"/>
    <w:rsid w:val="008A3F51"/>
    <w:rsid w:val="008C4415"/>
    <w:rsid w:val="008D3A03"/>
    <w:rsid w:val="008D6045"/>
    <w:rsid w:val="008E0A8E"/>
    <w:rsid w:val="00903907"/>
    <w:rsid w:val="009364FF"/>
    <w:rsid w:val="0097415C"/>
    <w:rsid w:val="00995E7E"/>
    <w:rsid w:val="009A7442"/>
    <w:rsid w:val="009B6F97"/>
    <w:rsid w:val="009D441B"/>
    <w:rsid w:val="009F09C4"/>
    <w:rsid w:val="00A14AFF"/>
    <w:rsid w:val="00A43B47"/>
    <w:rsid w:val="00A53D80"/>
    <w:rsid w:val="00A626C2"/>
    <w:rsid w:val="00A7390C"/>
    <w:rsid w:val="00A75BC7"/>
    <w:rsid w:val="00A808E8"/>
    <w:rsid w:val="00A834CC"/>
    <w:rsid w:val="00A939E4"/>
    <w:rsid w:val="00AF55F9"/>
    <w:rsid w:val="00B4244F"/>
    <w:rsid w:val="00B678B1"/>
    <w:rsid w:val="00B87F1B"/>
    <w:rsid w:val="00B91C71"/>
    <w:rsid w:val="00BA3F38"/>
    <w:rsid w:val="00BB2BC2"/>
    <w:rsid w:val="00BC0027"/>
    <w:rsid w:val="00BC4896"/>
    <w:rsid w:val="00BF32F3"/>
    <w:rsid w:val="00C366B7"/>
    <w:rsid w:val="00C3766A"/>
    <w:rsid w:val="00C37F6E"/>
    <w:rsid w:val="00C57388"/>
    <w:rsid w:val="00CA1FDB"/>
    <w:rsid w:val="00CB29AF"/>
    <w:rsid w:val="00CB5D51"/>
    <w:rsid w:val="00D36DF9"/>
    <w:rsid w:val="00D82995"/>
    <w:rsid w:val="00DB3A05"/>
    <w:rsid w:val="00DF7E75"/>
    <w:rsid w:val="00E33452"/>
    <w:rsid w:val="00E53764"/>
    <w:rsid w:val="00E56CDF"/>
    <w:rsid w:val="00E80514"/>
    <w:rsid w:val="00EA03C3"/>
    <w:rsid w:val="00EC4F1C"/>
    <w:rsid w:val="00ED19A0"/>
    <w:rsid w:val="00ED3AA1"/>
    <w:rsid w:val="00EE7850"/>
    <w:rsid w:val="00EE7AEB"/>
    <w:rsid w:val="00F07C74"/>
    <w:rsid w:val="00F523D3"/>
    <w:rsid w:val="00F5472F"/>
    <w:rsid w:val="00F60863"/>
    <w:rsid w:val="00F647A8"/>
    <w:rsid w:val="00F666B4"/>
    <w:rsid w:val="00F779CE"/>
    <w:rsid w:val="00F9265B"/>
    <w:rsid w:val="00FB6845"/>
    <w:rsid w:val="00FD5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C9AE"/>
  <w15:chartTrackingRefBased/>
  <w15:docId w15:val="{089C90CE-7679-D347-840C-BECD6AF1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2A"/>
    <w:pPr>
      <w:ind w:left="720"/>
      <w:contextualSpacing/>
    </w:pPr>
  </w:style>
  <w:style w:type="paragraph" w:styleId="BalloonText">
    <w:name w:val="Balloon Text"/>
    <w:basedOn w:val="Normal"/>
    <w:link w:val="BalloonTextChar"/>
    <w:uiPriority w:val="99"/>
    <w:semiHidden/>
    <w:unhideWhenUsed/>
    <w:rsid w:val="008A3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Gurpreet Sidhu</cp:lastModifiedBy>
  <cp:revision>59</cp:revision>
  <cp:lastPrinted>2017-06-15T18:48:00Z</cp:lastPrinted>
  <dcterms:created xsi:type="dcterms:W3CDTF">2017-06-15T16:21:00Z</dcterms:created>
  <dcterms:modified xsi:type="dcterms:W3CDTF">2017-08-16T10:22:00Z</dcterms:modified>
</cp:coreProperties>
</file>