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F95A" w14:textId="77777777" w:rsidR="007D4FB4" w:rsidRDefault="007D4FB4" w:rsidP="007D4FB4">
      <w:pPr>
        <w:pStyle w:val="Titre1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Introduction</w:t>
      </w:r>
    </w:p>
    <w:p w14:paraId="1EF8AEFD" w14:textId="77777777" w:rsidR="007D4FB4" w:rsidRDefault="007D4FB4" w:rsidP="007D4FB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L’ONG </w:t>
      </w:r>
      <w:r w:rsidRPr="007D4FB4">
        <w:rPr>
          <w:rFonts w:ascii="Arial Narrow" w:hAnsi="Arial Narrow"/>
          <w:sz w:val="24"/>
          <w:szCs w:val="24"/>
        </w:rPr>
        <w:t xml:space="preserve">GVD – </w:t>
      </w:r>
      <w:r>
        <w:rPr>
          <w:rFonts w:ascii="Arial Narrow" w:hAnsi="Arial Narrow"/>
          <w:sz w:val="24"/>
          <w:szCs w:val="24"/>
        </w:rPr>
        <w:t>Niger</w:t>
      </w:r>
      <w:r w:rsidRPr="007D4FB4">
        <w:rPr>
          <w:rFonts w:ascii="Arial Narrow" w:hAnsi="Arial Narrow"/>
          <w:sz w:val="24"/>
          <w:szCs w:val="24"/>
        </w:rPr>
        <w:t xml:space="preserve"> offre une variété d’activités </w:t>
      </w:r>
      <w:r>
        <w:rPr>
          <w:rFonts w:ascii="Arial Narrow" w:hAnsi="Arial Narrow"/>
          <w:sz w:val="24"/>
          <w:szCs w:val="24"/>
        </w:rPr>
        <w:t xml:space="preserve">d’EDEN (éducation environnementale) </w:t>
      </w:r>
      <w:r w:rsidRPr="007D4FB4">
        <w:rPr>
          <w:rFonts w:ascii="Arial Narrow" w:hAnsi="Arial Narrow"/>
          <w:sz w:val="24"/>
          <w:szCs w:val="24"/>
        </w:rPr>
        <w:t xml:space="preserve">adaptées aux besoins et aux intérêts des élèves et des enseignants du primaire et du secondaire. </w:t>
      </w:r>
      <w:r w:rsidR="00EB3160">
        <w:rPr>
          <w:rFonts w:ascii="Arial Narrow" w:hAnsi="Arial Narrow"/>
          <w:sz w:val="24"/>
          <w:szCs w:val="24"/>
        </w:rPr>
        <w:t xml:space="preserve">Son programme EDEN </w:t>
      </w:r>
      <w:r w:rsidRPr="007D4FB4">
        <w:rPr>
          <w:rFonts w:ascii="Arial Narrow" w:hAnsi="Arial Narrow"/>
          <w:sz w:val="24"/>
          <w:szCs w:val="24"/>
        </w:rPr>
        <w:t xml:space="preserve">est disponible </w:t>
      </w:r>
      <w:r>
        <w:rPr>
          <w:rFonts w:ascii="Arial Narrow" w:hAnsi="Arial Narrow"/>
          <w:sz w:val="24"/>
          <w:szCs w:val="24"/>
        </w:rPr>
        <w:t>sur son siteweb (</w:t>
      </w:r>
      <w:hyperlink r:id="rId7" w:history="1">
        <w:r w:rsidRPr="008E74BB">
          <w:rPr>
            <w:rStyle w:val="Lienhypertexte"/>
            <w:rFonts w:ascii="Arial Narrow" w:hAnsi="Arial Narrow"/>
            <w:sz w:val="24"/>
            <w:szCs w:val="24"/>
          </w:rPr>
          <w:t>www.gvdsa.com</w:t>
        </w:r>
      </w:hyperlink>
      <w:r>
        <w:rPr>
          <w:rFonts w:ascii="Arial Narrow" w:hAnsi="Arial Narrow"/>
          <w:sz w:val="24"/>
          <w:szCs w:val="24"/>
        </w:rPr>
        <w:t xml:space="preserve">) et s’adresse </w:t>
      </w:r>
      <w:r w:rsidRPr="007D4FB4">
        <w:rPr>
          <w:rFonts w:ascii="Arial Narrow" w:hAnsi="Arial Narrow"/>
          <w:sz w:val="24"/>
          <w:szCs w:val="24"/>
        </w:rPr>
        <w:t xml:space="preserve">aux écoles et aux groupes communautaires de tous les centres urbains et ruraux. </w:t>
      </w:r>
    </w:p>
    <w:p w14:paraId="455DE9B7" w14:textId="77777777" w:rsidR="007D4FB4" w:rsidRPr="007D4FB4" w:rsidRDefault="007D4FB4" w:rsidP="007D4FB4">
      <w:pPr>
        <w:jc w:val="both"/>
        <w:rPr>
          <w:rFonts w:ascii="Arial Narrow" w:hAnsi="Arial Narrow"/>
          <w:sz w:val="24"/>
          <w:szCs w:val="24"/>
        </w:rPr>
      </w:pPr>
      <w:r w:rsidRPr="007D4FB4">
        <w:rPr>
          <w:rFonts w:ascii="Arial Narrow" w:hAnsi="Arial Narrow"/>
          <w:sz w:val="24"/>
          <w:szCs w:val="24"/>
        </w:rPr>
        <w:t>Par le jeu, l’expérimentation et la création, les jeunes et autres groupes cibles sont appelés à développer leurs compétence</w:t>
      </w:r>
      <w:r w:rsidR="00EB3160">
        <w:rPr>
          <w:rFonts w:ascii="Arial Narrow" w:hAnsi="Arial Narrow"/>
          <w:sz w:val="24"/>
          <w:szCs w:val="24"/>
        </w:rPr>
        <w:t>s</w:t>
      </w:r>
      <w:r w:rsidRPr="007D4FB4">
        <w:rPr>
          <w:rFonts w:ascii="Arial Narrow" w:hAnsi="Arial Narrow"/>
          <w:sz w:val="24"/>
          <w:szCs w:val="24"/>
        </w:rPr>
        <w:t xml:space="preserve">, par le travail d’équipe, à résoudre les problèmes environnementaux et à les appliquer à l’échelle expérimentale. Ainsi, </w:t>
      </w:r>
      <w:r w:rsidR="00873426">
        <w:rPr>
          <w:rFonts w:ascii="Arial Narrow" w:hAnsi="Arial Narrow"/>
          <w:sz w:val="24"/>
          <w:szCs w:val="24"/>
        </w:rPr>
        <w:t>GVD a</w:t>
      </w:r>
      <w:r w:rsidRPr="007D4FB4">
        <w:rPr>
          <w:rFonts w:ascii="Arial Narrow" w:hAnsi="Arial Narrow"/>
          <w:sz w:val="24"/>
          <w:szCs w:val="24"/>
        </w:rPr>
        <w:t xml:space="preserve"> conçu</w:t>
      </w:r>
      <w:r w:rsidR="00873426">
        <w:rPr>
          <w:rFonts w:ascii="Arial Narrow" w:hAnsi="Arial Narrow"/>
          <w:sz w:val="24"/>
          <w:szCs w:val="24"/>
        </w:rPr>
        <w:t>, développé et mis en pratique</w:t>
      </w:r>
      <w:r w:rsidRPr="007D4FB4">
        <w:rPr>
          <w:rFonts w:ascii="Arial Narrow" w:hAnsi="Arial Narrow"/>
          <w:sz w:val="24"/>
          <w:szCs w:val="24"/>
        </w:rPr>
        <w:t xml:space="preserve"> des activités adaptées aux âges et aux intérêts de</w:t>
      </w:r>
      <w:r w:rsidR="00873426">
        <w:rPr>
          <w:rFonts w:ascii="Arial Narrow" w:hAnsi="Arial Narrow"/>
          <w:sz w:val="24"/>
          <w:szCs w:val="24"/>
        </w:rPr>
        <w:t>s communautés</w:t>
      </w:r>
      <w:r w:rsidRPr="007D4FB4">
        <w:rPr>
          <w:rFonts w:ascii="Arial Narrow" w:hAnsi="Arial Narrow"/>
          <w:sz w:val="24"/>
          <w:szCs w:val="24"/>
        </w:rPr>
        <w:t xml:space="preserve"> dans divers domaines, que </w:t>
      </w:r>
      <w:r w:rsidR="00873426">
        <w:rPr>
          <w:rFonts w:ascii="Arial Narrow" w:hAnsi="Arial Narrow"/>
          <w:sz w:val="24"/>
          <w:szCs w:val="24"/>
        </w:rPr>
        <w:t>sont entre autres,</w:t>
      </w:r>
      <w:r w:rsidRPr="007D4FB4">
        <w:rPr>
          <w:rFonts w:ascii="Arial Narrow" w:hAnsi="Arial Narrow"/>
          <w:sz w:val="24"/>
          <w:szCs w:val="24"/>
        </w:rPr>
        <w:t xml:space="preserve"> l’eau, </w:t>
      </w:r>
      <w:r w:rsidR="00EB3160">
        <w:rPr>
          <w:rFonts w:ascii="Arial Narrow" w:hAnsi="Arial Narrow"/>
          <w:sz w:val="24"/>
          <w:szCs w:val="24"/>
        </w:rPr>
        <w:t xml:space="preserve">les </w:t>
      </w:r>
      <w:r w:rsidRPr="007D4FB4">
        <w:rPr>
          <w:rFonts w:ascii="Arial Narrow" w:hAnsi="Arial Narrow"/>
          <w:sz w:val="24"/>
          <w:szCs w:val="24"/>
        </w:rPr>
        <w:t>déchets</w:t>
      </w:r>
      <w:r w:rsidR="00873426">
        <w:rPr>
          <w:rFonts w:ascii="Arial Narrow" w:hAnsi="Arial Narrow"/>
          <w:sz w:val="24"/>
          <w:szCs w:val="24"/>
        </w:rPr>
        <w:t>, l’</w:t>
      </w:r>
      <w:r w:rsidRPr="007D4FB4">
        <w:rPr>
          <w:rFonts w:ascii="Arial Narrow" w:hAnsi="Arial Narrow"/>
          <w:sz w:val="24"/>
          <w:szCs w:val="24"/>
        </w:rPr>
        <w:t>écologie, la biodiversité</w:t>
      </w:r>
      <w:r w:rsidR="00873426">
        <w:rPr>
          <w:rFonts w:ascii="Arial Narrow" w:hAnsi="Arial Narrow"/>
          <w:sz w:val="24"/>
          <w:szCs w:val="24"/>
        </w:rPr>
        <w:t>,</w:t>
      </w:r>
      <w:r w:rsidRPr="007D4FB4">
        <w:rPr>
          <w:rFonts w:ascii="Arial Narrow" w:hAnsi="Arial Narrow"/>
          <w:sz w:val="24"/>
          <w:szCs w:val="24"/>
        </w:rPr>
        <w:t xml:space="preserve"> les changements climatiques</w:t>
      </w:r>
      <w:r w:rsidR="00873426">
        <w:rPr>
          <w:rFonts w:ascii="Arial Narrow" w:hAnsi="Arial Narrow"/>
          <w:sz w:val="24"/>
          <w:szCs w:val="24"/>
        </w:rPr>
        <w:t>, le développement durable.</w:t>
      </w:r>
    </w:p>
    <w:p w14:paraId="3EDBE819" w14:textId="666E8E7F" w:rsidR="00BF006B" w:rsidRDefault="00520950" w:rsidP="007D4FB4">
      <w:pPr>
        <w:pStyle w:val="Titre1"/>
        <w:rPr>
          <w:rFonts w:ascii="Arial Narrow" w:hAnsi="Arial Narrow"/>
          <w:color w:val="auto"/>
          <w:sz w:val="24"/>
          <w:szCs w:val="24"/>
        </w:rPr>
      </w:pPr>
      <w:r w:rsidRPr="007D4FB4">
        <w:rPr>
          <w:rFonts w:ascii="Arial Narrow" w:hAnsi="Arial Narrow"/>
          <w:color w:val="auto"/>
          <w:sz w:val="24"/>
          <w:szCs w:val="24"/>
        </w:rPr>
        <w:t>Plan d’activité d’éducation environnementale</w:t>
      </w:r>
      <w:r w:rsidR="00DA77EB" w:rsidRPr="007D4FB4">
        <w:rPr>
          <w:rFonts w:ascii="Arial Narrow" w:hAnsi="Arial Narrow"/>
          <w:color w:val="auto"/>
          <w:sz w:val="24"/>
          <w:szCs w:val="24"/>
        </w:rPr>
        <w:t xml:space="preserve"> (EDEN)</w:t>
      </w:r>
    </w:p>
    <w:p w14:paraId="1563E006" w14:textId="77777777" w:rsidR="007D4FB4" w:rsidRDefault="007D4FB4" w:rsidP="007D4F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Nous proposons </w:t>
      </w:r>
      <w:r w:rsidR="00EB3160">
        <w:rPr>
          <w:rFonts w:ascii="Arial Narrow" w:hAnsi="Arial Narrow"/>
          <w:sz w:val="24"/>
          <w:szCs w:val="24"/>
        </w:rPr>
        <w:t xml:space="preserve">la </w:t>
      </w:r>
      <w:r>
        <w:rPr>
          <w:rFonts w:ascii="Arial Narrow" w:hAnsi="Arial Narrow"/>
          <w:sz w:val="24"/>
          <w:szCs w:val="24"/>
        </w:rPr>
        <w:t>mise en œuvre d’</w:t>
      </w:r>
      <w:r w:rsidRPr="007D4FB4">
        <w:rPr>
          <w:rFonts w:ascii="Arial Narrow" w:hAnsi="Arial Narrow"/>
          <w:sz w:val="24"/>
          <w:szCs w:val="24"/>
        </w:rPr>
        <w:t xml:space="preserve">un ensemble d’activités sur cinq </w:t>
      </w:r>
      <w:r>
        <w:rPr>
          <w:rFonts w:ascii="Arial Narrow" w:hAnsi="Arial Narrow"/>
          <w:sz w:val="24"/>
          <w:szCs w:val="24"/>
        </w:rPr>
        <w:t>phases</w:t>
      </w:r>
      <w:r w:rsidR="00EB3160">
        <w:rPr>
          <w:rFonts w:ascii="Arial Narrow" w:hAnsi="Arial Narrow"/>
          <w:sz w:val="24"/>
          <w:szCs w:val="24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517"/>
        <w:gridCol w:w="1391"/>
        <w:gridCol w:w="2622"/>
      </w:tblGrid>
      <w:tr w:rsidR="007D4FB4" w14:paraId="6B9D5C9C" w14:textId="77777777" w:rsidTr="00C87418">
        <w:trPr>
          <w:jc w:val="center"/>
        </w:trPr>
        <w:tc>
          <w:tcPr>
            <w:tcW w:w="817" w:type="dxa"/>
            <w:vAlign w:val="center"/>
          </w:tcPr>
          <w:p w14:paraId="339610F6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Phase</w:t>
            </w:r>
          </w:p>
        </w:tc>
        <w:tc>
          <w:tcPr>
            <w:tcW w:w="3517" w:type="dxa"/>
            <w:vAlign w:val="center"/>
          </w:tcPr>
          <w:p w14:paraId="1F156B7C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Identité</w:t>
            </w:r>
          </w:p>
        </w:tc>
        <w:tc>
          <w:tcPr>
            <w:tcW w:w="1391" w:type="dxa"/>
            <w:vAlign w:val="center"/>
          </w:tcPr>
          <w:p w14:paraId="13C93DC8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Durée (jours)</w:t>
            </w:r>
          </w:p>
        </w:tc>
        <w:tc>
          <w:tcPr>
            <w:tcW w:w="2622" w:type="dxa"/>
            <w:vAlign w:val="center"/>
          </w:tcPr>
          <w:p w14:paraId="2A53CAF2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Acteurs</w:t>
            </w:r>
          </w:p>
        </w:tc>
      </w:tr>
      <w:tr w:rsidR="007D4FB4" w14:paraId="5E1EB3C3" w14:textId="77777777" w:rsidTr="00C87418">
        <w:trPr>
          <w:jc w:val="center"/>
        </w:trPr>
        <w:tc>
          <w:tcPr>
            <w:tcW w:w="817" w:type="dxa"/>
            <w:vAlign w:val="center"/>
          </w:tcPr>
          <w:p w14:paraId="0EF6BD71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14:paraId="2ACE59C4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 w:rsidRPr="00DA77EB">
              <w:rPr>
                <w:rFonts w:ascii="Arial Narrow" w:hAnsi="Arial Narrow"/>
                <w:sz w:val="24"/>
                <w:szCs w:val="24"/>
              </w:rPr>
              <w:t>Collecte d’information</w:t>
            </w:r>
          </w:p>
        </w:tc>
        <w:tc>
          <w:tcPr>
            <w:tcW w:w="1391" w:type="dxa"/>
            <w:vAlign w:val="center"/>
          </w:tcPr>
          <w:p w14:paraId="49567325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148C1C19" w14:textId="77777777" w:rsidR="007D4FB4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CES (admin et enseignants</w:t>
            </w:r>
          </w:p>
        </w:tc>
      </w:tr>
      <w:tr w:rsidR="00C87418" w14:paraId="1963B9EB" w14:textId="77777777" w:rsidTr="00C87418">
        <w:trPr>
          <w:jc w:val="center"/>
        </w:trPr>
        <w:tc>
          <w:tcPr>
            <w:tcW w:w="817" w:type="dxa"/>
            <w:vAlign w:val="center"/>
          </w:tcPr>
          <w:p w14:paraId="5AE32105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center"/>
          </w:tcPr>
          <w:p w14:paraId="5676AD35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Déclenchement </w:t>
            </w:r>
          </w:p>
        </w:tc>
        <w:tc>
          <w:tcPr>
            <w:tcW w:w="1391" w:type="dxa"/>
            <w:vMerge w:val="restart"/>
            <w:vAlign w:val="center"/>
          </w:tcPr>
          <w:p w14:paraId="21DFB5C7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1 - 2</w:t>
            </w:r>
          </w:p>
        </w:tc>
        <w:tc>
          <w:tcPr>
            <w:tcW w:w="2622" w:type="dxa"/>
            <w:vAlign w:val="center"/>
          </w:tcPr>
          <w:p w14:paraId="1E4D5FDF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GVD</w:t>
            </w:r>
          </w:p>
        </w:tc>
      </w:tr>
      <w:tr w:rsidR="00C87418" w14:paraId="3B5F753A" w14:textId="77777777" w:rsidTr="00C87418">
        <w:trPr>
          <w:jc w:val="center"/>
        </w:trPr>
        <w:tc>
          <w:tcPr>
            <w:tcW w:w="817" w:type="dxa"/>
            <w:vAlign w:val="center"/>
          </w:tcPr>
          <w:p w14:paraId="21E01FED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center"/>
          </w:tcPr>
          <w:p w14:paraId="2E357960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 w:rsidRPr="00DA77EB">
              <w:rPr>
                <w:rFonts w:ascii="Arial Narrow" w:hAnsi="Arial Narrow"/>
                <w:sz w:val="24"/>
                <w:szCs w:val="24"/>
              </w:rPr>
              <w:t>Présélection du public à former</w:t>
            </w:r>
          </w:p>
        </w:tc>
        <w:tc>
          <w:tcPr>
            <w:tcW w:w="1391" w:type="dxa"/>
            <w:vMerge/>
            <w:vAlign w:val="center"/>
          </w:tcPr>
          <w:p w14:paraId="547E2D24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0796B30C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GVD, CES, autres</w:t>
            </w:r>
          </w:p>
        </w:tc>
      </w:tr>
      <w:tr w:rsidR="00C87418" w14:paraId="0165861D" w14:textId="77777777" w:rsidTr="00C87418">
        <w:trPr>
          <w:jc w:val="center"/>
        </w:trPr>
        <w:tc>
          <w:tcPr>
            <w:tcW w:w="817" w:type="dxa"/>
            <w:vAlign w:val="center"/>
          </w:tcPr>
          <w:p w14:paraId="58210FCE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center"/>
          </w:tcPr>
          <w:p w14:paraId="07683498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DA77EB">
              <w:rPr>
                <w:rFonts w:ascii="Arial Narrow" w:hAnsi="Arial Narrow"/>
                <w:sz w:val="24"/>
                <w:szCs w:val="24"/>
              </w:rPr>
              <w:t>odèle d’EDEN à mettre en pratique</w:t>
            </w:r>
          </w:p>
        </w:tc>
        <w:tc>
          <w:tcPr>
            <w:tcW w:w="1391" w:type="dxa"/>
            <w:vMerge/>
            <w:vAlign w:val="center"/>
          </w:tcPr>
          <w:p w14:paraId="43B66E21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14:paraId="48ABC9B2" w14:textId="77777777" w:rsidR="00C87418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GVD</w:t>
            </w:r>
          </w:p>
        </w:tc>
      </w:tr>
      <w:tr w:rsidR="007D4FB4" w14:paraId="0FF5F452" w14:textId="77777777" w:rsidTr="00C87418">
        <w:trPr>
          <w:jc w:val="center"/>
        </w:trPr>
        <w:tc>
          <w:tcPr>
            <w:tcW w:w="817" w:type="dxa"/>
            <w:vAlign w:val="center"/>
          </w:tcPr>
          <w:p w14:paraId="2ED6AED9" w14:textId="77777777" w:rsidR="007D4FB4" w:rsidRDefault="007D4FB4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17" w:type="dxa"/>
            <w:vAlign w:val="center"/>
          </w:tcPr>
          <w:p w14:paraId="7CFE8A07" w14:textId="77777777" w:rsidR="007D4FB4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Formation et apprentissage </w:t>
            </w:r>
            <w:r w:rsidRPr="00F7102C">
              <w:rPr>
                <w:rFonts w:ascii="Arial Narrow" w:hAnsi="Arial Narrow" w:cstheme="majorBidi"/>
                <w:sz w:val="24"/>
                <w:szCs w:val="24"/>
              </w:rPr>
              <w:t>d’EDEN</w:t>
            </w:r>
          </w:p>
        </w:tc>
        <w:tc>
          <w:tcPr>
            <w:tcW w:w="1391" w:type="dxa"/>
            <w:vAlign w:val="center"/>
          </w:tcPr>
          <w:p w14:paraId="4C023A06" w14:textId="77777777" w:rsidR="007D4FB4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4 - 8</w:t>
            </w:r>
          </w:p>
        </w:tc>
        <w:tc>
          <w:tcPr>
            <w:tcW w:w="2622" w:type="dxa"/>
            <w:vAlign w:val="center"/>
          </w:tcPr>
          <w:p w14:paraId="0C78C3A3" w14:textId="77777777" w:rsidR="007D4FB4" w:rsidRDefault="00C87418" w:rsidP="00C874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GVD, groupe retenu</w:t>
            </w:r>
          </w:p>
        </w:tc>
      </w:tr>
    </w:tbl>
    <w:p w14:paraId="69AAB8CA" w14:textId="77777777" w:rsidR="00C87418" w:rsidRDefault="00C87418" w:rsidP="007D4FB4">
      <w:pPr>
        <w:rPr>
          <w:rFonts w:ascii="Arial Narrow" w:hAnsi="Arial Narrow"/>
          <w:sz w:val="24"/>
          <w:szCs w:val="24"/>
        </w:rPr>
      </w:pPr>
    </w:p>
    <w:p w14:paraId="558016C4" w14:textId="77777777" w:rsidR="007D4FB4" w:rsidRPr="007D4FB4" w:rsidRDefault="00C87418" w:rsidP="007D4F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Ci-dessous, le détail concernant la mise en œuvre de chaque phase. </w:t>
      </w:r>
    </w:p>
    <w:p w14:paraId="2DF640EF" w14:textId="77777777" w:rsidR="00520950" w:rsidRPr="00B570EF" w:rsidRDefault="00520950" w:rsidP="00B570EF">
      <w:pPr>
        <w:pStyle w:val="Titre2"/>
        <w:rPr>
          <w:rFonts w:ascii="Arial Narrow" w:hAnsi="Arial Narrow"/>
          <w:color w:val="auto"/>
          <w:sz w:val="24"/>
        </w:rPr>
      </w:pPr>
      <w:r w:rsidRPr="00B570EF">
        <w:rPr>
          <w:rFonts w:ascii="Arial Narrow" w:hAnsi="Arial Narrow"/>
          <w:color w:val="auto"/>
          <w:sz w:val="24"/>
        </w:rPr>
        <w:t xml:space="preserve">Phase 1 : </w:t>
      </w:r>
      <w:r w:rsidR="00DA77EB" w:rsidRPr="00B570EF">
        <w:rPr>
          <w:rFonts w:ascii="Arial Narrow" w:hAnsi="Arial Narrow"/>
          <w:color w:val="auto"/>
          <w:sz w:val="24"/>
        </w:rPr>
        <w:t>C</w:t>
      </w:r>
      <w:r w:rsidRPr="00B570EF">
        <w:rPr>
          <w:rFonts w:ascii="Arial Narrow" w:hAnsi="Arial Narrow"/>
          <w:color w:val="auto"/>
          <w:sz w:val="24"/>
        </w:rPr>
        <w:t>ollecte d’information</w:t>
      </w:r>
    </w:p>
    <w:tbl>
      <w:tblPr>
        <w:tblStyle w:val="Grilledutableau"/>
        <w:tblpPr w:leftFromText="141" w:rightFromText="141" w:vertAnchor="text" w:horzAnchor="margin" w:tblpX="392" w:tblpY="981"/>
        <w:tblW w:w="8330" w:type="dxa"/>
        <w:tblLook w:val="04A0" w:firstRow="1" w:lastRow="0" w:firstColumn="1" w:lastColumn="0" w:noHBand="0" w:noVBand="1"/>
      </w:tblPr>
      <w:tblGrid>
        <w:gridCol w:w="4253"/>
        <w:gridCol w:w="4077"/>
      </w:tblGrid>
      <w:tr w:rsidR="00271802" w14:paraId="2C674195" w14:textId="77777777" w:rsidTr="00075AFD">
        <w:trPr>
          <w:trHeight w:val="417"/>
        </w:trPr>
        <w:tc>
          <w:tcPr>
            <w:tcW w:w="4253" w:type="dxa"/>
            <w:shd w:val="clear" w:color="auto" w:fill="F2F2F2" w:themeFill="background1" w:themeFillShade="F2"/>
          </w:tcPr>
          <w:p w14:paraId="5B25E198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Etablissement</w:t>
            </w:r>
          </w:p>
        </w:tc>
        <w:tc>
          <w:tcPr>
            <w:tcW w:w="4077" w:type="dxa"/>
          </w:tcPr>
          <w:p w14:paraId="574C7D14" w14:textId="5C077B46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  <w:tr w:rsidR="00271802" w14:paraId="09016CB6" w14:textId="77777777" w:rsidTr="00075AFD">
        <w:trPr>
          <w:trHeight w:val="424"/>
        </w:trPr>
        <w:tc>
          <w:tcPr>
            <w:tcW w:w="4253" w:type="dxa"/>
            <w:shd w:val="clear" w:color="auto" w:fill="F2F2F2" w:themeFill="background1" w:themeFillShade="F2"/>
          </w:tcPr>
          <w:p w14:paraId="104BB864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Niveau (Primaire, CEG, Lycée)</w:t>
            </w:r>
          </w:p>
        </w:tc>
        <w:tc>
          <w:tcPr>
            <w:tcW w:w="4077" w:type="dxa"/>
          </w:tcPr>
          <w:p w14:paraId="43ED7DD7" w14:textId="26111A6D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  <w:tr w:rsidR="00271802" w14:paraId="66142BCD" w14:textId="77777777" w:rsidTr="00075AFD">
        <w:trPr>
          <w:trHeight w:val="416"/>
        </w:trPr>
        <w:tc>
          <w:tcPr>
            <w:tcW w:w="4253" w:type="dxa"/>
            <w:shd w:val="clear" w:color="auto" w:fill="F2F2F2" w:themeFill="background1" w:themeFillShade="F2"/>
          </w:tcPr>
          <w:p w14:paraId="16B44029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Classe d’âge</w:t>
            </w:r>
          </w:p>
        </w:tc>
        <w:tc>
          <w:tcPr>
            <w:tcW w:w="4077" w:type="dxa"/>
          </w:tcPr>
          <w:p w14:paraId="1C0E27A8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  <w:tr w:rsidR="00271802" w14:paraId="1F300C89" w14:textId="77777777" w:rsidTr="00075AFD">
        <w:trPr>
          <w:trHeight w:val="422"/>
        </w:trPr>
        <w:tc>
          <w:tcPr>
            <w:tcW w:w="4253" w:type="dxa"/>
            <w:shd w:val="clear" w:color="auto" w:fill="F2F2F2" w:themeFill="background1" w:themeFillShade="F2"/>
          </w:tcPr>
          <w:p w14:paraId="2EE13429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d’élèves</w:t>
            </w:r>
          </w:p>
        </w:tc>
        <w:tc>
          <w:tcPr>
            <w:tcW w:w="4077" w:type="dxa"/>
          </w:tcPr>
          <w:p w14:paraId="109AD6D3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  <w:tr w:rsidR="00271802" w14:paraId="379B4A83" w14:textId="77777777" w:rsidTr="00075AFD">
        <w:trPr>
          <w:trHeight w:val="422"/>
        </w:trPr>
        <w:tc>
          <w:tcPr>
            <w:tcW w:w="4253" w:type="dxa"/>
            <w:shd w:val="clear" w:color="auto" w:fill="F2F2F2" w:themeFill="background1" w:themeFillShade="F2"/>
          </w:tcPr>
          <w:p w14:paraId="115D99DF" w14:textId="77777777" w:rsidR="00271802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 séances EDEN sollicitée</w:t>
            </w:r>
          </w:p>
        </w:tc>
        <w:tc>
          <w:tcPr>
            <w:tcW w:w="4077" w:type="dxa"/>
          </w:tcPr>
          <w:p w14:paraId="4EE4B908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  <w:tr w:rsidR="00271802" w14:paraId="5DE0640E" w14:textId="77777777" w:rsidTr="00075AFD">
        <w:trPr>
          <w:trHeight w:val="422"/>
        </w:trPr>
        <w:tc>
          <w:tcPr>
            <w:tcW w:w="4253" w:type="dxa"/>
            <w:shd w:val="clear" w:color="auto" w:fill="F2F2F2" w:themeFill="background1" w:themeFillShade="F2"/>
          </w:tcPr>
          <w:p w14:paraId="5B865EED" w14:textId="77777777" w:rsidR="00271802" w:rsidRDefault="00271802" w:rsidP="00075A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Langue de mise en pratique EDEN</w:t>
            </w:r>
          </w:p>
        </w:tc>
        <w:tc>
          <w:tcPr>
            <w:tcW w:w="4077" w:type="dxa"/>
          </w:tcPr>
          <w:p w14:paraId="4CF4940C" w14:textId="77777777" w:rsidR="00271802" w:rsidRPr="00945F63" w:rsidRDefault="00271802" w:rsidP="00075AF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6B42CF" w14:textId="77777777" w:rsidR="00520950" w:rsidRDefault="00DA77EB" w:rsidP="00520950">
      <w:pPr>
        <w:rPr>
          <w:rFonts w:ascii="Arial Narrow" w:hAnsi="Arial Narrow"/>
          <w:sz w:val="24"/>
          <w:szCs w:val="24"/>
        </w:rPr>
      </w:pPr>
      <w:r w:rsidRPr="00DA77EB">
        <w:rPr>
          <w:rFonts w:ascii="Arial Narrow" w:hAnsi="Arial Narrow"/>
          <w:sz w:val="24"/>
          <w:szCs w:val="24"/>
        </w:rPr>
        <w:t>Une fiche d’information sera renseignée avec les cadres de l’école France-amitié. La fiche ci-jointe, donne des informations physiques sur l’école et le modèle d’EDEN à mettre en pratique.</w:t>
      </w:r>
    </w:p>
    <w:p w14:paraId="21EEAAE2" w14:textId="77777777" w:rsidR="00271802" w:rsidRDefault="00075AFD" w:rsidP="005209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rencontre avec l’administration et le corps d’enseignants permettra de dégager :</w:t>
      </w:r>
    </w:p>
    <w:p w14:paraId="5C1E75F8" w14:textId="77777777" w:rsidR="00075AFD" w:rsidRDefault="00075AFD" w:rsidP="00075AFD">
      <w:pPr>
        <w:pStyle w:val="Paragraphedelist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thèmes captifs d’attention des élèves</w:t>
      </w:r>
    </w:p>
    <w:p w14:paraId="17A08B14" w14:textId="77777777" w:rsidR="00075AFD" w:rsidRDefault="00075AFD" w:rsidP="00075AFD">
      <w:pPr>
        <w:pStyle w:val="Paragraphedelist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La forme d’audience publique convenante</w:t>
      </w:r>
    </w:p>
    <w:p w14:paraId="05044BE5" w14:textId="77777777" w:rsidR="00075AFD" w:rsidRDefault="00075AFD" w:rsidP="00075AFD">
      <w:pPr>
        <w:pStyle w:val="Paragraphedelist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modèle de présélection des élèves ambassadeurs d’EDEN de l’établissement</w:t>
      </w:r>
    </w:p>
    <w:p w14:paraId="10E04A90" w14:textId="77777777" w:rsidR="00075AFD" w:rsidRPr="00075AFD" w:rsidRDefault="00075AFD" w:rsidP="00075AFD">
      <w:pPr>
        <w:pStyle w:val="Paragraphedelist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type et la liste d’enseignants à former</w:t>
      </w:r>
    </w:p>
    <w:p w14:paraId="07993CE6" w14:textId="77777777" w:rsidR="00520950" w:rsidRPr="00B570EF" w:rsidRDefault="00520950" w:rsidP="00B570EF">
      <w:pPr>
        <w:pStyle w:val="Titre2"/>
        <w:rPr>
          <w:rFonts w:ascii="Arial Narrow" w:hAnsi="Arial Narrow"/>
          <w:color w:val="auto"/>
          <w:sz w:val="24"/>
        </w:rPr>
      </w:pPr>
      <w:r w:rsidRPr="00B570EF">
        <w:rPr>
          <w:rFonts w:ascii="Arial Narrow" w:hAnsi="Arial Narrow"/>
          <w:color w:val="auto"/>
          <w:sz w:val="24"/>
        </w:rPr>
        <w:t>Phase 2 : le Déclenchement :</w:t>
      </w:r>
    </w:p>
    <w:p w14:paraId="1CC1FB14" w14:textId="77777777" w:rsidR="00271802" w:rsidRPr="00271802" w:rsidRDefault="00520950" w:rsidP="00271802">
      <w:pPr>
        <w:rPr>
          <w:rFonts w:ascii="Arial Narrow" w:hAnsi="Arial Narrow"/>
          <w:sz w:val="24"/>
          <w:szCs w:val="24"/>
        </w:rPr>
      </w:pPr>
      <w:r w:rsidRPr="00DA77EB">
        <w:rPr>
          <w:rFonts w:ascii="Arial Narrow" w:hAnsi="Arial Narrow"/>
          <w:sz w:val="24"/>
          <w:szCs w:val="24"/>
        </w:rPr>
        <w:t>Audience publique en pleine école pour soulever la question d’insalubrité et toutes les formes de risques liés à un manque d’actions</w:t>
      </w:r>
      <w:r w:rsidR="00DA77EB" w:rsidRPr="00DA77EB">
        <w:rPr>
          <w:rFonts w:ascii="Arial Narrow" w:hAnsi="Arial Narrow"/>
          <w:sz w:val="24"/>
          <w:szCs w:val="24"/>
        </w:rPr>
        <w:t>.</w:t>
      </w:r>
      <w:r w:rsidR="00271802">
        <w:rPr>
          <w:rFonts w:ascii="Arial Narrow" w:hAnsi="Arial Narrow"/>
          <w:sz w:val="24"/>
          <w:szCs w:val="24"/>
        </w:rPr>
        <w:t xml:space="preserve"> L’audience peut être organisée en journée/nuitée, sur l’espace EPS ou sur la grande cour et soutenue par des projections audio-visuelles.</w:t>
      </w:r>
    </w:p>
    <w:p w14:paraId="58C9F898" w14:textId="77777777" w:rsidR="00520950" w:rsidRPr="00B570EF" w:rsidRDefault="00520950" w:rsidP="00B570EF">
      <w:pPr>
        <w:pStyle w:val="Titre2"/>
        <w:rPr>
          <w:rFonts w:ascii="Arial Narrow" w:hAnsi="Arial Narrow"/>
          <w:color w:val="auto"/>
          <w:sz w:val="24"/>
        </w:rPr>
      </w:pPr>
      <w:r w:rsidRPr="00B570EF">
        <w:rPr>
          <w:rFonts w:ascii="Arial Narrow" w:hAnsi="Arial Narrow"/>
          <w:color w:val="auto"/>
          <w:sz w:val="24"/>
        </w:rPr>
        <w:t xml:space="preserve">Phase 3 : </w:t>
      </w:r>
      <w:r w:rsidR="00DA77EB" w:rsidRPr="00B570EF">
        <w:rPr>
          <w:rFonts w:ascii="Arial Narrow" w:hAnsi="Arial Narrow"/>
          <w:color w:val="auto"/>
          <w:sz w:val="24"/>
        </w:rPr>
        <w:t>P</w:t>
      </w:r>
      <w:r w:rsidRPr="00B570EF">
        <w:rPr>
          <w:rFonts w:ascii="Arial Narrow" w:hAnsi="Arial Narrow"/>
          <w:color w:val="auto"/>
          <w:sz w:val="24"/>
        </w:rPr>
        <w:t>résélection du public à former</w:t>
      </w:r>
    </w:p>
    <w:p w14:paraId="5752C040" w14:textId="77777777" w:rsidR="00520950" w:rsidRDefault="00520950">
      <w:pPr>
        <w:rPr>
          <w:rFonts w:ascii="Arial Narrow" w:hAnsi="Arial Narrow"/>
          <w:sz w:val="24"/>
          <w:szCs w:val="24"/>
        </w:rPr>
      </w:pPr>
      <w:r w:rsidRPr="00DA77EB">
        <w:rPr>
          <w:rFonts w:ascii="Arial Narrow" w:hAnsi="Arial Narrow"/>
          <w:sz w:val="24"/>
          <w:szCs w:val="24"/>
        </w:rPr>
        <w:t>Pendant l’audience publique, commencera l’identification des acteurs à former</w:t>
      </w:r>
      <w:r w:rsidR="00DA77EB" w:rsidRPr="00DA77EB">
        <w:rPr>
          <w:rFonts w:ascii="Arial Narrow" w:hAnsi="Arial Narrow"/>
          <w:sz w:val="24"/>
          <w:szCs w:val="24"/>
        </w:rPr>
        <w:t>.</w:t>
      </w:r>
      <w:r w:rsidRPr="00DA77EB">
        <w:rPr>
          <w:rFonts w:ascii="Arial Narrow" w:hAnsi="Arial Narrow"/>
          <w:sz w:val="24"/>
          <w:szCs w:val="24"/>
        </w:rPr>
        <w:t xml:space="preserve"> </w:t>
      </w:r>
    </w:p>
    <w:p w14:paraId="1CA639B5" w14:textId="77777777" w:rsidR="00DA77EB" w:rsidRPr="00B570EF" w:rsidRDefault="00DA77EB" w:rsidP="00B570EF">
      <w:pPr>
        <w:pStyle w:val="Titre2"/>
        <w:rPr>
          <w:rFonts w:ascii="Arial Narrow" w:hAnsi="Arial Narrow"/>
          <w:color w:val="auto"/>
          <w:sz w:val="24"/>
        </w:rPr>
      </w:pPr>
      <w:r w:rsidRPr="00B570EF">
        <w:rPr>
          <w:rFonts w:ascii="Arial Narrow" w:hAnsi="Arial Narrow"/>
          <w:color w:val="auto"/>
          <w:sz w:val="24"/>
        </w:rPr>
        <w:t>Phase 4 : modèle d’EDEN à mettre en pratique</w:t>
      </w:r>
    </w:p>
    <w:p w14:paraId="3000A228" w14:textId="77777777" w:rsidR="00DA77EB" w:rsidRDefault="0027180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Trois modèles d’EDEN sont disponibles et proposés. </w:t>
      </w:r>
      <w:r w:rsidR="00A7607A">
        <w:rPr>
          <w:rFonts w:ascii="Arial Narrow" w:hAnsi="Arial Narrow"/>
          <w:sz w:val="24"/>
          <w:szCs w:val="24"/>
        </w:rPr>
        <w:t>Ce sont :</w:t>
      </w:r>
    </w:p>
    <w:p w14:paraId="2359A45C" w14:textId="77777777" w:rsidR="00DA77EB" w:rsidRDefault="00271802" w:rsidP="00DA77E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</w:t>
      </w:r>
      <w:r w:rsidR="00DA77E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r w:rsidR="00DA77EB">
        <w:rPr>
          <w:rFonts w:ascii="Arial" w:hAnsi="Arial" w:cs="Arial"/>
          <w:szCs w:val="24"/>
        </w:rPr>
        <w:t xml:space="preserve"> 1 : </w:t>
      </w:r>
      <w:r w:rsidR="00DA77EB" w:rsidRPr="00945F63">
        <w:rPr>
          <w:rFonts w:ascii="Arial" w:hAnsi="Arial" w:cs="Arial"/>
          <w:szCs w:val="24"/>
        </w:rPr>
        <w:t>Ensemble de cours, de discussions et des travaux pratiques sur des thèmes environnementaux de choix, appuyés par la distribution de petits manuels ERE aux élèves</w:t>
      </w:r>
      <w:r w:rsidR="002D39E1">
        <w:rPr>
          <w:rFonts w:ascii="Arial" w:hAnsi="Arial" w:cs="Arial"/>
          <w:szCs w:val="24"/>
        </w:rPr>
        <w:t>. Deux types de service sont proposés :</w:t>
      </w:r>
    </w:p>
    <w:p w14:paraId="4103305E" w14:textId="77777777" w:rsidR="002D39E1" w:rsidRDefault="002D39E1" w:rsidP="002D39E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Séance continue de deux heures, ou</w:t>
      </w:r>
    </w:p>
    <w:p w14:paraId="326362E9" w14:textId="77777777" w:rsidR="002D39E1" w:rsidRDefault="002D39E1" w:rsidP="002D39E1">
      <w:pPr>
        <w:pStyle w:val="Paragraphedeliste"/>
        <w:numPr>
          <w:ilvl w:val="1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Séance interrompue de 4heures répartie comme suit : </w:t>
      </w:r>
      <w:r w:rsidRPr="00945F63">
        <w:rPr>
          <w:rFonts w:ascii="Arial" w:hAnsi="Arial" w:cs="Arial"/>
          <w:szCs w:val="24"/>
        </w:rPr>
        <w:t>1h30 de</w:t>
      </w:r>
      <w:r>
        <w:rPr>
          <w:rFonts w:ascii="Arial" w:hAnsi="Arial" w:cs="Arial"/>
          <w:szCs w:val="24"/>
        </w:rPr>
        <w:t xml:space="preserve"> cours, deux fois 55 mn</w:t>
      </w:r>
      <w:r w:rsidRPr="00945F63">
        <w:rPr>
          <w:rFonts w:ascii="Arial" w:hAnsi="Arial" w:cs="Arial"/>
          <w:szCs w:val="24"/>
        </w:rPr>
        <w:t xml:space="preserve"> de travaux dirigés et 40 minutes de</w:t>
      </w:r>
      <w:r>
        <w:rPr>
          <w:rFonts w:ascii="Arial" w:hAnsi="Arial" w:cs="Arial"/>
          <w:szCs w:val="24"/>
        </w:rPr>
        <w:t xml:space="preserve"> cours</w:t>
      </w:r>
    </w:p>
    <w:p w14:paraId="29D6598A" w14:textId="77777777" w:rsidR="00DA77EB" w:rsidRPr="00E14809" w:rsidRDefault="00DA77EB" w:rsidP="00DA77EB">
      <w:pPr>
        <w:spacing w:after="0"/>
        <w:ind w:left="502"/>
        <w:jc w:val="both"/>
        <w:rPr>
          <w:rFonts w:ascii="Arial" w:hAnsi="Arial" w:cs="Arial"/>
          <w:sz w:val="12"/>
          <w:szCs w:val="12"/>
        </w:rPr>
      </w:pPr>
    </w:p>
    <w:p w14:paraId="1F35D542" w14:textId="77777777" w:rsidR="00DA77EB" w:rsidRDefault="00271802" w:rsidP="00DA77EB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</w:t>
      </w:r>
      <w:r w:rsidR="00DA77E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r w:rsidR="00DA77EB">
        <w:rPr>
          <w:rFonts w:ascii="Arial" w:hAnsi="Arial" w:cs="Arial"/>
          <w:szCs w:val="24"/>
        </w:rPr>
        <w:t xml:space="preserve"> 2 : </w:t>
      </w:r>
      <w:r w:rsidR="00DA77EB" w:rsidRPr="00945F63">
        <w:rPr>
          <w:rFonts w:ascii="Arial" w:hAnsi="Arial" w:cs="Arial"/>
          <w:szCs w:val="24"/>
        </w:rPr>
        <w:t xml:space="preserve">Ensemble de cours, de discussions et des travaux pratiques </w:t>
      </w:r>
      <w:r w:rsidR="00DA77EB">
        <w:rPr>
          <w:rFonts w:ascii="Arial" w:hAnsi="Arial" w:cs="Arial"/>
          <w:szCs w:val="24"/>
        </w:rPr>
        <w:t>d’</w:t>
      </w:r>
      <w:r w:rsidR="00DA77EB" w:rsidRPr="00945F63">
        <w:rPr>
          <w:rFonts w:ascii="Arial" w:hAnsi="Arial" w:cs="Arial"/>
          <w:szCs w:val="24"/>
        </w:rPr>
        <w:t>identifi</w:t>
      </w:r>
      <w:r w:rsidR="00DA77EB">
        <w:rPr>
          <w:rFonts w:ascii="Arial" w:hAnsi="Arial" w:cs="Arial"/>
          <w:szCs w:val="24"/>
        </w:rPr>
        <w:t>cation</w:t>
      </w:r>
      <w:r w:rsidR="00DA77EB" w:rsidRPr="00945F63">
        <w:rPr>
          <w:rFonts w:ascii="Arial" w:hAnsi="Arial" w:cs="Arial"/>
          <w:szCs w:val="24"/>
        </w:rPr>
        <w:t xml:space="preserve"> </w:t>
      </w:r>
      <w:r w:rsidR="00DA77EB">
        <w:rPr>
          <w:rFonts w:ascii="Arial" w:hAnsi="Arial" w:cs="Arial"/>
          <w:szCs w:val="24"/>
        </w:rPr>
        <w:t>d</w:t>
      </w:r>
      <w:r w:rsidR="00DA77EB" w:rsidRPr="00945F63">
        <w:rPr>
          <w:rFonts w:ascii="Arial" w:hAnsi="Arial" w:cs="Arial"/>
          <w:szCs w:val="24"/>
        </w:rPr>
        <w:t xml:space="preserve">es aspects environnementaux et socioéconomiques, </w:t>
      </w:r>
      <w:r w:rsidR="00DA77EB">
        <w:rPr>
          <w:rFonts w:ascii="Arial" w:hAnsi="Arial" w:cs="Arial"/>
          <w:szCs w:val="24"/>
        </w:rPr>
        <w:t xml:space="preserve">d’exercice de cartographie urbaine, </w:t>
      </w:r>
      <w:r w:rsidR="00DA77EB" w:rsidRPr="00945F63">
        <w:rPr>
          <w:rFonts w:ascii="Arial" w:hAnsi="Arial" w:cs="Arial"/>
          <w:szCs w:val="24"/>
        </w:rPr>
        <w:t>appuyés par la distribution de petits manuels ERE aux élèves</w:t>
      </w:r>
      <w:r>
        <w:rPr>
          <w:rFonts w:ascii="Arial" w:hAnsi="Arial" w:cs="Arial"/>
          <w:szCs w:val="24"/>
        </w:rPr>
        <w:t>. Une séance est mise en pratique sur une durée de sept (7) heures répartie comme suit : 2h de cours, 2h de terrain</w:t>
      </w:r>
      <w:r w:rsidRPr="00945F6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2h d’</w:t>
      </w:r>
      <w:r w:rsidRPr="00945F63">
        <w:rPr>
          <w:rFonts w:ascii="Arial" w:hAnsi="Arial" w:cs="Arial"/>
          <w:szCs w:val="24"/>
        </w:rPr>
        <w:t xml:space="preserve">atelier -débat, </w:t>
      </w:r>
      <w:r>
        <w:rPr>
          <w:rFonts w:ascii="Arial" w:hAnsi="Arial" w:cs="Arial"/>
          <w:szCs w:val="24"/>
        </w:rPr>
        <w:t>et d’1h de cours</w:t>
      </w:r>
    </w:p>
    <w:p w14:paraId="6F42FB72" w14:textId="77777777" w:rsidR="00DA77EB" w:rsidRPr="00E14809" w:rsidRDefault="00DA77EB" w:rsidP="00DA77EB">
      <w:pPr>
        <w:pStyle w:val="Paragraphedeliste"/>
        <w:rPr>
          <w:rFonts w:ascii="Arial" w:hAnsi="Arial" w:cs="Arial"/>
          <w:sz w:val="12"/>
          <w:szCs w:val="12"/>
        </w:rPr>
      </w:pPr>
    </w:p>
    <w:p w14:paraId="77B546A3" w14:textId="77777777" w:rsidR="00DA77EB" w:rsidRDefault="00271802" w:rsidP="00DA77E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</w:t>
      </w:r>
      <w:r w:rsidR="00DA77E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r w:rsidR="00DA77E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 (</w:t>
      </w:r>
      <w:r w:rsidR="00DA77EB">
        <w:rPr>
          <w:rFonts w:ascii="Arial" w:hAnsi="Arial" w:cs="Arial"/>
          <w:szCs w:val="24"/>
        </w:rPr>
        <w:t>à la carte</w:t>
      </w:r>
      <w:r>
        <w:rPr>
          <w:rFonts w:ascii="Arial" w:hAnsi="Arial" w:cs="Arial"/>
          <w:szCs w:val="24"/>
        </w:rPr>
        <w:t>)</w:t>
      </w:r>
      <w:r w:rsidR="00DA77EB">
        <w:rPr>
          <w:rFonts w:ascii="Arial" w:hAnsi="Arial" w:cs="Arial"/>
          <w:szCs w:val="24"/>
        </w:rPr>
        <w:t> :</w:t>
      </w:r>
      <w:r w:rsidR="00A7607A">
        <w:rPr>
          <w:rFonts w:ascii="Arial" w:hAnsi="Arial" w:cs="Arial"/>
          <w:szCs w:val="24"/>
        </w:rPr>
        <w:t xml:space="preserve"> l’école définit</w:t>
      </w:r>
      <w:r w:rsidR="00DA77EB">
        <w:rPr>
          <w:rFonts w:ascii="Arial" w:hAnsi="Arial" w:cs="Arial"/>
          <w:szCs w:val="24"/>
        </w:rPr>
        <w:t xml:space="preserve"> ses besoins et </w:t>
      </w:r>
      <w:r w:rsidR="00A7607A">
        <w:rPr>
          <w:rFonts w:ascii="Arial" w:hAnsi="Arial" w:cs="Arial"/>
          <w:szCs w:val="24"/>
        </w:rPr>
        <w:t>GVD</w:t>
      </w:r>
      <w:r w:rsidR="00DA77EB">
        <w:rPr>
          <w:rFonts w:ascii="Arial" w:hAnsi="Arial" w:cs="Arial"/>
          <w:szCs w:val="24"/>
        </w:rPr>
        <w:t xml:space="preserve"> développe le thème approprié ainsi que les conditions d’organisation</w:t>
      </w:r>
    </w:p>
    <w:p w14:paraId="0063CFBC" w14:textId="77777777" w:rsidR="00075AFD" w:rsidRPr="00075AFD" w:rsidRDefault="00075AFD" w:rsidP="00075AFD">
      <w:pPr>
        <w:pStyle w:val="Paragraphedeliste"/>
        <w:rPr>
          <w:rFonts w:ascii="Arial" w:hAnsi="Arial" w:cs="Arial"/>
          <w:szCs w:val="24"/>
        </w:rPr>
      </w:pPr>
    </w:p>
    <w:p w14:paraId="1024FDCC" w14:textId="77777777" w:rsidR="00075AFD" w:rsidRPr="002E3403" w:rsidRDefault="00F7102C" w:rsidP="002E3403">
      <w:pPr>
        <w:pStyle w:val="Titre2"/>
        <w:rPr>
          <w:rFonts w:ascii="Arial Narrow" w:hAnsi="Arial Narrow"/>
          <w:color w:val="auto"/>
          <w:sz w:val="24"/>
        </w:rPr>
      </w:pPr>
      <w:r w:rsidRPr="002E3403">
        <w:rPr>
          <w:rFonts w:ascii="Arial Narrow" w:hAnsi="Arial Narrow"/>
          <w:color w:val="auto"/>
          <w:sz w:val="24"/>
        </w:rPr>
        <w:t xml:space="preserve">Phase 5 : formation et apprentissage </w:t>
      </w:r>
      <w:r w:rsidR="00075AFD" w:rsidRPr="002E3403">
        <w:rPr>
          <w:rFonts w:ascii="Arial Narrow" w:hAnsi="Arial Narrow"/>
          <w:color w:val="auto"/>
          <w:sz w:val="24"/>
        </w:rPr>
        <w:t>d’EDEN</w:t>
      </w:r>
    </w:p>
    <w:p w14:paraId="76292BD0" w14:textId="77777777" w:rsidR="00F7102C" w:rsidRDefault="00075AFD" w:rsidP="00075AF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projet retient le thème lié à l’insalubrité et à la gestion de déchets. </w:t>
      </w:r>
      <w:r w:rsidR="00F7102C">
        <w:rPr>
          <w:rFonts w:ascii="Arial" w:hAnsi="Arial" w:cs="Arial"/>
          <w:szCs w:val="24"/>
        </w:rPr>
        <w:t>L’ONG a déjà conçu et mis en pratique deux approches d’EDEN qui couvrent cette thématique. Ce sont :</w:t>
      </w:r>
    </w:p>
    <w:p w14:paraId="2482B552" w14:textId="77777777" w:rsidR="00F7102C" w:rsidRPr="00F7102C" w:rsidRDefault="00F7102C" w:rsidP="00F7102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F7102C">
        <w:rPr>
          <w:rFonts w:ascii="Arial" w:hAnsi="Arial" w:cs="Arial"/>
          <w:szCs w:val="24"/>
        </w:rPr>
        <w:t xml:space="preserve">SAPTA (HYGIENE ET PROPRETE) : </w:t>
      </w:r>
      <w:r>
        <w:rPr>
          <w:rFonts w:ascii="Arial" w:hAnsi="Arial" w:cs="Arial"/>
          <w:szCs w:val="24"/>
        </w:rPr>
        <w:t xml:space="preserve">Nous apprenons aux élèves, </w:t>
      </w:r>
      <w:r w:rsidRPr="00F7102C">
        <w:rPr>
          <w:rFonts w:ascii="Arial" w:hAnsi="Arial" w:cs="Arial"/>
          <w:szCs w:val="24"/>
        </w:rPr>
        <w:t xml:space="preserve">les principes et les pratiques simples pour garder les lieux et leurs cadres de vie propres et hygiéniques : domicile, école, espaces récréatifs, rues, etc. </w:t>
      </w:r>
      <w:r>
        <w:rPr>
          <w:rFonts w:ascii="Arial" w:hAnsi="Arial" w:cs="Arial"/>
          <w:szCs w:val="24"/>
        </w:rPr>
        <w:t>les élèves</w:t>
      </w:r>
      <w:r w:rsidRPr="00F7102C">
        <w:rPr>
          <w:rFonts w:ascii="Arial" w:hAnsi="Arial" w:cs="Arial"/>
          <w:szCs w:val="24"/>
        </w:rPr>
        <w:t xml:space="preserve"> découvr</w:t>
      </w:r>
      <w:r>
        <w:rPr>
          <w:rFonts w:ascii="Arial" w:hAnsi="Arial" w:cs="Arial"/>
          <w:szCs w:val="24"/>
        </w:rPr>
        <w:t>e</w:t>
      </w:r>
      <w:r w:rsidRPr="00F7102C">
        <w:rPr>
          <w:rFonts w:ascii="Arial" w:hAnsi="Arial" w:cs="Arial"/>
          <w:szCs w:val="24"/>
        </w:rPr>
        <w:t xml:space="preserve">nt les vecteurs de nuisance liées aux manques d’hygiène et de propreté et aussi ils verront les conséquences </w:t>
      </w:r>
      <w:r>
        <w:rPr>
          <w:rFonts w:ascii="Arial" w:hAnsi="Arial" w:cs="Arial"/>
          <w:szCs w:val="24"/>
        </w:rPr>
        <w:t>qui pourraient arriver ;</w:t>
      </w:r>
    </w:p>
    <w:p w14:paraId="4572BFEA" w14:textId="77777777" w:rsidR="00F7102C" w:rsidRPr="00F7102C" w:rsidRDefault="00F7102C" w:rsidP="00F7102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F7102C">
        <w:rPr>
          <w:rFonts w:ascii="Arial" w:hAnsi="Arial" w:cs="Arial"/>
          <w:szCs w:val="24"/>
        </w:rPr>
        <w:t xml:space="preserve">La saison du MARAKI : L’outil « Maraki » guide les </w:t>
      </w:r>
      <w:r>
        <w:rPr>
          <w:rFonts w:ascii="Arial" w:hAnsi="Arial" w:cs="Arial"/>
          <w:szCs w:val="24"/>
        </w:rPr>
        <w:t>élèv</w:t>
      </w:r>
      <w:r w:rsidRPr="00F7102C">
        <w:rPr>
          <w:rFonts w:ascii="Arial" w:hAnsi="Arial" w:cs="Arial"/>
          <w:szCs w:val="24"/>
        </w:rPr>
        <w:t xml:space="preserve">es sur le chemin de l’eau usée, de la maison </w:t>
      </w:r>
      <w:r>
        <w:rPr>
          <w:rFonts w:ascii="Arial" w:hAnsi="Arial" w:cs="Arial"/>
          <w:szCs w:val="24"/>
        </w:rPr>
        <w:t>aux caniveaux</w:t>
      </w:r>
      <w:r w:rsidRPr="00F7102C">
        <w:rPr>
          <w:rFonts w:ascii="Arial" w:hAnsi="Arial" w:cs="Arial"/>
          <w:szCs w:val="24"/>
        </w:rPr>
        <w:t xml:space="preserve">. MARAKI leur fait découvrir </w:t>
      </w:r>
      <w:r>
        <w:rPr>
          <w:rFonts w:ascii="Arial" w:hAnsi="Arial" w:cs="Arial"/>
          <w:szCs w:val="24"/>
        </w:rPr>
        <w:t>les différentes insuffisances</w:t>
      </w:r>
      <w:r w:rsidRPr="00F7102C">
        <w:rPr>
          <w:rFonts w:ascii="Arial" w:hAnsi="Arial" w:cs="Arial"/>
          <w:szCs w:val="24"/>
        </w:rPr>
        <w:t>, ses atouts et leur explique aussi que les déchets qu’on y jette détériorent son habitat. Ensemble, les jeunes et le « MARAKI » cherchent des moyens pour nettoyer les ménages et améliorer le cadre de vie communautaire.</w:t>
      </w:r>
    </w:p>
    <w:p w14:paraId="5E394587" w14:textId="77777777" w:rsidR="00F7102C" w:rsidRPr="00F7102C" w:rsidRDefault="008830E4" w:rsidP="00075AF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Quel qu’en</w:t>
      </w:r>
      <w:r w:rsidR="00F7102C">
        <w:rPr>
          <w:rFonts w:ascii="Arial" w:hAnsi="Arial" w:cs="Arial"/>
          <w:szCs w:val="24"/>
        </w:rPr>
        <w:t xml:space="preserve"> soit l’approche, c’est d</w:t>
      </w:r>
      <w:r w:rsidR="00075AFD" w:rsidRPr="00F7102C">
        <w:rPr>
          <w:rFonts w:ascii="Arial" w:hAnsi="Arial" w:cs="Arial"/>
          <w:szCs w:val="24"/>
        </w:rPr>
        <w:t>ans une atmosphère conviviale</w:t>
      </w:r>
      <w:r>
        <w:rPr>
          <w:rFonts w:ascii="Arial" w:hAnsi="Arial" w:cs="Arial"/>
          <w:szCs w:val="24"/>
        </w:rPr>
        <w:t xml:space="preserve"> que l’ONG G</w:t>
      </w:r>
      <w:r w:rsidR="00075AFD" w:rsidRPr="00F7102C">
        <w:rPr>
          <w:rFonts w:ascii="Arial" w:hAnsi="Arial" w:cs="Arial"/>
          <w:szCs w:val="24"/>
        </w:rPr>
        <w:t xml:space="preserve">VD explore avec les élèves </w:t>
      </w:r>
      <w:r w:rsidR="00F7102C" w:rsidRPr="00F7102C">
        <w:rPr>
          <w:rFonts w:ascii="Arial" w:hAnsi="Arial" w:cs="Arial"/>
          <w:szCs w:val="24"/>
        </w:rPr>
        <w:t xml:space="preserve">et les enseignants </w:t>
      </w:r>
      <w:r w:rsidR="00AA5B56">
        <w:rPr>
          <w:rFonts w:ascii="Arial" w:hAnsi="Arial" w:cs="Arial"/>
          <w:szCs w:val="24"/>
        </w:rPr>
        <w:t>l</w:t>
      </w:r>
      <w:r w:rsidR="00075AFD" w:rsidRPr="00F7102C">
        <w:rPr>
          <w:rFonts w:ascii="Arial" w:hAnsi="Arial" w:cs="Arial"/>
          <w:szCs w:val="24"/>
        </w:rPr>
        <w:t>es enjeux sanitaires, urbanistiques, et environnementaux</w:t>
      </w:r>
      <w:r w:rsidRPr="008830E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liés au thème</w:t>
      </w:r>
      <w:r w:rsidR="00075AFD" w:rsidRPr="00F7102C">
        <w:rPr>
          <w:rFonts w:ascii="Arial" w:hAnsi="Arial" w:cs="Arial"/>
          <w:szCs w:val="24"/>
        </w:rPr>
        <w:t xml:space="preserve">. </w:t>
      </w:r>
      <w:r w:rsidR="000A3868">
        <w:rPr>
          <w:rFonts w:ascii="Arial" w:hAnsi="Arial" w:cs="Arial"/>
          <w:szCs w:val="24"/>
        </w:rPr>
        <w:t xml:space="preserve">Ainsi, </w:t>
      </w:r>
    </w:p>
    <w:p w14:paraId="562D3DDC" w14:textId="77777777" w:rsidR="00075AFD" w:rsidRPr="000A3868" w:rsidRDefault="00F7102C" w:rsidP="000A38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0A3868">
        <w:rPr>
          <w:rFonts w:ascii="Arial" w:hAnsi="Arial" w:cs="Arial"/>
          <w:szCs w:val="24"/>
        </w:rPr>
        <w:t xml:space="preserve">Les élèves participeront à des projets concrets d’observation et d’actions environnementales tout en se référant au monde des sciences et de la technologie. </w:t>
      </w:r>
      <w:r w:rsidR="00AA5B56">
        <w:rPr>
          <w:rFonts w:ascii="Arial" w:hAnsi="Arial" w:cs="Arial"/>
          <w:szCs w:val="24"/>
        </w:rPr>
        <w:t>Aux dépens du</w:t>
      </w:r>
      <w:r w:rsidRPr="000A3868">
        <w:rPr>
          <w:rFonts w:ascii="Arial" w:hAnsi="Arial" w:cs="Arial"/>
          <w:szCs w:val="24"/>
        </w:rPr>
        <w:t xml:space="preserve"> modèle EDEN choisi, les élèves pourront recueillir des données provenant de leur milieu naturel ou observer leurs habitudes de vie dans le b</w:t>
      </w:r>
      <w:r w:rsidR="00AA5B56">
        <w:rPr>
          <w:rFonts w:ascii="Arial" w:hAnsi="Arial" w:cs="Arial"/>
          <w:szCs w:val="24"/>
        </w:rPr>
        <w:t>ut d’y apporter des changements ;</w:t>
      </w:r>
    </w:p>
    <w:p w14:paraId="20AAF764" w14:textId="77777777" w:rsidR="00075AFD" w:rsidRPr="000A3868" w:rsidRDefault="00075AFD" w:rsidP="000A386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  <w:r w:rsidRPr="000A3868">
        <w:rPr>
          <w:rFonts w:ascii="Arial" w:hAnsi="Arial" w:cs="Arial"/>
          <w:szCs w:val="24"/>
        </w:rPr>
        <w:t>Avec les enseignants, l’ONG mettra l’accent sur les différentes stratégies d’application de l’EDEN</w:t>
      </w:r>
      <w:r w:rsidR="00AA5B56">
        <w:rPr>
          <w:rFonts w:ascii="Arial" w:hAnsi="Arial" w:cs="Arial"/>
          <w:szCs w:val="24"/>
        </w:rPr>
        <w:t xml:space="preserve"> au sein de l’établissement</w:t>
      </w:r>
      <w:r w:rsidRPr="000A3868">
        <w:rPr>
          <w:rFonts w:ascii="Arial" w:hAnsi="Arial" w:cs="Arial"/>
          <w:szCs w:val="24"/>
        </w:rPr>
        <w:t xml:space="preserve">. Les ressources pédagogiques qui facilitent l’intégration des notions </w:t>
      </w:r>
      <w:r w:rsidR="00AA5B56">
        <w:rPr>
          <w:rFonts w:ascii="Arial" w:hAnsi="Arial" w:cs="Arial"/>
          <w:szCs w:val="24"/>
        </w:rPr>
        <w:t>liés au thème</w:t>
      </w:r>
      <w:r w:rsidRPr="000A3868">
        <w:rPr>
          <w:rFonts w:ascii="Arial" w:hAnsi="Arial" w:cs="Arial"/>
          <w:szCs w:val="24"/>
        </w:rPr>
        <w:t xml:space="preserve"> s</w:t>
      </w:r>
      <w:r w:rsidR="00F7102C" w:rsidRPr="000A3868">
        <w:rPr>
          <w:rFonts w:ascii="Arial" w:hAnsi="Arial" w:cs="Arial"/>
          <w:szCs w:val="24"/>
        </w:rPr>
        <w:t>er</w:t>
      </w:r>
      <w:r w:rsidRPr="000A3868">
        <w:rPr>
          <w:rFonts w:ascii="Arial" w:hAnsi="Arial" w:cs="Arial"/>
          <w:szCs w:val="24"/>
        </w:rPr>
        <w:t>ont aussi explorées.</w:t>
      </w:r>
    </w:p>
    <w:p w14:paraId="59E18255" w14:textId="77777777" w:rsidR="00075AFD" w:rsidRDefault="00AA5B56" w:rsidP="00075AF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l’issue de</w:t>
      </w:r>
      <w:r w:rsidR="00075AFD" w:rsidRPr="00F7102C">
        <w:rPr>
          <w:rFonts w:ascii="Arial" w:hAnsi="Arial" w:cs="Arial"/>
          <w:szCs w:val="24"/>
        </w:rPr>
        <w:t xml:space="preserve"> la formation, un guide d’activité, du matériel ou un accompagnateur sur le terrain s</w:t>
      </w:r>
      <w:r>
        <w:rPr>
          <w:rFonts w:ascii="Arial" w:hAnsi="Arial" w:cs="Arial"/>
          <w:szCs w:val="24"/>
        </w:rPr>
        <w:t>er</w:t>
      </w:r>
      <w:r w:rsidR="00075AFD" w:rsidRPr="00F7102C">
        <w:rPr>
          <w:rFonts w:ascii="Arial" w:hAnsi="Arial" w:cs="Arial"/>
          <w:szCs w:val="24"/>
        </w:rPr>
        <w:t>ont, p</w:t>
      </w:r>
      <w:r>
        <w:rPr>
          <w:rFonts w:ascii="Arial" w:hAnsi="Arial" w:cs="Arial"/>
          <w:szCs w:val="24"/>
        </w:rPr>
        <w:t>our certaines activités, offert</w:t>
      </w:r>
      <w:r w:rsidRPr="00F7102C">
        <w:rPr>
          <w:rFonts w:ascii="Arial" w:hAnsi="Arial" w:cs="Arial"/>
          <w:szCs w:val="24"/>
        </w:rPr>
        <w:t>es</w:t>
      </w:r>
      <w:r w:rsidR="00075AFD" w:rsidRPr="00F7102C">
        <w:rPr>
          <w:rFonts w:ascii="Arial" w:hAnsi="Arial" w:cs="Arial"/>
          <w:szCs w:val="24"/>
        </w:rPr>
        <w:t xml:space="preserve"> aux élèves et enseignants.</w:t>
      </w:r>
    </w:p>
    <w:p w14:paraId="655D8CBD" w14:textId="77777777" w:rsidR="00075AFD" w:rsidRPr="00075AFD" w:rsidRDefault="00075AFD" w:rsidP="00075AFD">
      <w:pPr>
        <w:spacing w:after="0"/>
        <w:rPr>
          <w:rFonts w:ascii="Arial" w:hAnsi="Arial" w:cs="Arial"/>
          <w:szCs w:val="24"/>
        </w:rPr>
      </w:pPr>
    </w:p>
    <w:p w14:paraId="50ED2E6A" w14:textId="77777777" w:rsidR="00DA77EB" w:rsidRDefault="00DA77EB" w:rsidP="00DA77EB">
      <w:pPr>
        <w:spacing w:after="0"/>
        <w:ind w:left="142"/>
        <w:rPr>
          <w:rFonts w:ascii="Arial" w:hAnsi="Arial" w:cs="Arial"/>
          <w:sz w:val="12"/>
          <w:szCs w:val="12"/>
        </w:rPr>
      </w:pPr>
    </w:p>
    <w:sectPr w:rsidR="00DA77EB" w:rsidSect="000A3868">
      <w:headerReference w:type="default" r:id="rId8"/>
      <w:footerReference w:type="default" r:id="rId9"/>
      <w:pgSz w:w="11907" w:h="16840" w:code="9"/>
      <w:pgMar w:top="1702" w:right="1559" w:bottom="1560" w:left="1418" w:header="720" w:footer="8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02B0" w14:textId="77777777" w:rsidR="00DB406D" w:rsidRDefault="00DB406D" w:rsidP="00075AFD">
      <w:pPr>
        <w:spacing w:after="0" w:line="240" w:lineRule="auto"/>
      </w:pPr>
      <w:r>
        <w:separator/>
      </w:r>
    </w:p>
  </w:endnote>
  <w:endnote w:type="continuationSeparator" w:id="0">
    <w:p w14:paraId="3E9F94EC" w14:textId="77777777" w:rsidR="00DB406D" w:rsidRDefault="00DB406D" w:rsidP="0007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6909" w14:textId="77777777" w:rsidR="000A3868" w:rsidRDefault="000A3868">
    <w:pPr>
      <w:pStyle w:val="Pieddepage"/>
    </w:pPr>
    <w:r>
      <w:tab/>
      <w:t xml:space="preserve">EDEN – proposition d’activité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338D" w14:textId="77777777" w:rsidR="00DB406D" w:rsidRDefault="00DB406D" w:rsidP="00075AFD">
      <w:pPr>
        <w:spacing w:after="0" w:line="240" w:lineRule="auto"/>
      </w:pPr>
      <w:r>
        <w:separator/>
      </w:r>
    </w:p>
  </w:footnote>
  <w:footnote w:type="continuationSeparator" w:id="0">
    <w:p w14:paraId="70EC8956" w14:textId="77777777" w:rsidR="00DB406D" w:rsidRDefault="00DB406D" w:rsidP="0007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A3BD" w14:textId="77777777" w:rsidR="00075AFD" w:rsidRDefault="00000000">
    <w:pPr>
      <w:pStyle w:val="En-tte"/>
    </w:pPr>
    <w:sdt>
      <w:sdtPr>
        <w:id w:val="1065836668"/>
        <w:docPartObj>
          <w:docPartGallery w:val="Page Numbers (Margins)"/>
          <w:docPartUnique/>
        </w:docPartObj>
      </w:sdtPr>
      <w:sdtContent>
        <w:r w:rsidR="000A386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435B27" wp14:editId="310CAF0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14:paraId="57515FF9" w14:textId="77777777" w:rsidR="000A3868" w:rsidRDefault="000A386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AA5B56" w:rsidRPr="00AA5B5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435B27" id="Rectangle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14:paraId="57515FF9" w14:textId="77777777" w:rsidR="000A3868" w:rsidRDefault="000A38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AA5B56" w:rsidRPr="00AA5B5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75AFD">
      <w:rPr>
        <w:noProof/>
        <w:lang w:eastAsia="fr-FR"/>
      </w:rPr>
      <w:drawing>
        <wp:inline distT="0" distB="0" distL="0" distR="0" wp14:anchorId="4EA35A70" wp14:editId="6BD14BAF">
          <wp:extent cx="5670550" cy="76581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D NI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B3472" w14:textId="77777777" w:rsidR="00075AFD" w:rsidRDefault="00075A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622"/>
    <w:multiLevelType w:val="hybridMultilevel"/>
    <w:tmpl w:val="B978C49A"/>
    <w:lvl w:ilvl="0" w:tplc="5A48F54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422"/>
    <w:multiLevelType w:val="hybridMultilevel"/>
    <w:tmpl w:val="B218D1D6"/>
    <w:lvl w:ilvl="0" w:tplc="5E32289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4D1B24"/>
    <w:multiLevelType w:val="hybridMultilevel"/>
    <w:tmpl w:val="EA8CB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E4A"/>
    <w:multiLevelType w:val="hybridMultilevel"/>
    <w:tmpl w:val="FE107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42D3E"/>
    <w:multiLevelType w:val="hybridMultilevel"/>
    <w:tmpl w:val="BA1A160E"/>
    <w:lvl w:ilvl="0" w:tplc="E5D4A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B7E78"/>
    <w:multiLevelType w:val="hybridMultilevel"/>
    <w:tmpl w:val="45F09B4C"/>
    <w:lvl w:ilvl="0" w:tplc="8F981D7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6EB"/>
    <w:multiLevelType w:val="hybridMultilevel"/>
    <w:tmpl w:val="7CCAD20E"/>
    <w:lvl w:ilvl="0" w:tplc="E5D4A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9481">
    <w:abstractNumId w:val="0"/>
  </w:num>
  <w:num w:numId="2" w16cid:durableId="1293167568">
    <w:abstractNumId w:val="1"/>
  </w:num>
  <w:num w:numId="3" w16cid:durableId="1560940306">
    <w:abstractNumId w:val="2"/>
  </w:num>
  <w:num w:numId="4" w16cid:durableId="171185200">
    <w:abstractNumId w:val="5"/>
  </w:num>
  <w:num w:numId="5" w16cid:durableId="1933856145">
    <w:abstractNumId w:val="6"/>
  </w:num>
  <w:num w:numId="6" w16cid:durableId="1199047219">
    <w:abstractNumId w:val="3"/>
  </w:num>
  <w:num w:numId="7" w16cid:durableId="25678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50"/>
    <w:rsid w:val="00075AFD"/>
    <w:rsid w:val="000A3868"/>
    <w:rsid w:val="00133D10"/>
    <w:rsid w:val="00185F9B"/>
    <w:rsid w:val="001C55B7"/>
    <w:rsid w:val="00271802"/>
    <w:rsid w:val="002D39E1"/>
    <w:rsid w:val="002E3403"/>
    <w:rsid w:val="005028B5"/>
    <w:rsid w:val="00520950"/>
    <w:rsid w:val="00582DEB"/>
    <w:rsid w:val="005A7B96"/>
    <w:rsid w:val="005E5D9D"/>
    <w:rsid w:val="00760F92"/>
    <w:rsid w:val="0078603C"/>
    <w:rsid w:val="007A46FE"/>
    <w:rsid w:val="007D4FB4"/>
    <w:rsid w:val="007F519D"/>
    <w:rsid w:val="008564B7"/>
    <w:rsid w:val="00873426"/>
    <w:rsid w:val="008830E4"/>
    <w:rsid w:val="008E3E7A"/>
    <w:rsid w:val="00A7607A"/>
    <w:rsid w:val="00A94791"/>
    <w:rsid w:val="00AA5B56"/>
    <w:rsid w:val="00B06B8D"/>
    <w:rsid w:val="00B570EF"/>
    <w:rsid w:val="00BF006B"/>
    <w:rsid w:val="00C87418"/>
    <w:rsid w:val="00DA77EB"/>
    <w:rsid w:val="00DB406D"/>
    <w:rsid w:val="00EB3160"/>
    <w:rsid w:val="00F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9831A"/>
  <w15:docId w15:val="{82B1421C-EE03-4932-9F11-810DF5F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0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5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20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0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2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A77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AFD"/>
  </w:style>
  <w:style w:type="paragraph" w:styleId="Pieddepage">
    <w:name w:val="footer"/>
    <w:basedOn w:val="Normal"/>
    <w:link w:val="PieddepageCar"/>
    <w:uiPriority w:val="99"/>
    <w:unhideWhenUsed/>
    <w:rsid w:val="0007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AFD"/>
  </w:style>
  <w:style w:type="paragraph" w:styleId="Textedebulles">
    <w:name w:val="Balloon Text"/>
    <w:basedOn w:val="Normal"/>
    <w:link w:val="TextedebullesCar"/>
    <w:uiPriority w:val="99"/>
    <w:semiHidden/>
    <w:unhideWhenUsed/>
    <w:rsid w:val="0007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AF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75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D4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d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898</Words>
  <Characters>4469</Characters>
  <Application>Microsoft Office Word</Application>
  <DocSecurity>0</DocSecurity>
  <Lines>343</Lines>
  <Paragraphs>191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MOUSSA DOGO Ali</cp:lastModifiedBy>
  <cp:revision>14</cp:revision>
  <dcterms:created xsi:type="dcterms:W3CDTF">2018-02-06T09:58:00Z</dcterms:created>
  <dcterms:modified xsi:type="dcterms:W3CDTF">2023-06-12T23:08:00Z</dcterms:modified>
</cp:coreProperties>
</file>