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73" w:rsidRDefault="008B7173" w:rsidP="00614386">
      <w:pPr>
        <w:widowControl w:val="0"/>
        <w:tabs>
          <w:tab w:val="left" w:pos="10065"/>
        </w:tabs>
        <w:spacing w:after="0" w:line="240" w:lineRule="auto"/>
        <w:ind w:left="-1440" w:right="594" w:firstLine="1440"/>
        <w:rPr>
          <w:rFonts w:ascii="Calibri" w:hAnsi="Calibri" w:cs="Arial"/>
          <w:bCs/>
          <w:color w:val="767171" w:themeColor="background2" w:themeShade="80"/>
          <w:sz w:val="18"/>
          <w:szCs w:val="72"/>
          <w:lang w:val="es-AR"/>
          <w14:textOutline w14:w="9525" w14:cap="rnd" w14:cmpd="sng" w14:algn="ctr">
            <w14:noFill/>
            <w14:prstDash w14:val="solid"/>
            <w14:bevel/>
          </w14:textOutline>
        </w:rPr>
      </w:pPr>
      <w:r w:rsidRPr="00FC569D">
        <w:rPr>
          <w:b/>
          <w:bCs/>
          <w:noProof/>
          <w:lang w:val="es-AR" w:eastAsia="es-AR"/>
        </w:rPr>
        <w:drawing>
          <wp:inline distT="0" distB="0" distL="0" distR="0" wp14:anchorId="08F85CDB" wp14:editId="3B0EEA84">
            <wp:extent cx="1428750" cy="361950"/>
            <wp:effectExtent l="0" t="0" r="0" b="0"/>
            <wp:docPr id="2" name="Imagen 2" descr="http://elmerlab.com/wp-content/uploads/2017/09/Logo-Alta-sin-fondo-150x3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merlab.com/wp-content/uploads/2017/09/Logo-Alta-sin-fondo-150x3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AA" w:rsidRDefault="009D019E" w:rsidP="00614386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240" w:lineRule="auto"/>
        <w:ind w:left="-1418" w:firstLine="1418"/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>ELECTROLITE ULTRA</w:t>
      </w:r>
    </w:p>
    <w:p w:rsidR="00AC16FB" w:rsidRPr="007172AA" w:rsidRDefault="00AC16FB" w:rsidP="00614386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240" w:lineRule="auto"/>
        <w:ind w:left="-1418" w:firstLine="1418"/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>Solución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Concentrada de </w:t>
      </w:r>
      <w:proofErr w:type="spellStart"/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>Electrolitos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para </w:t>
      </w:r>
      <w:proofErr w:type="spellStart"/>
      <w:r>
        <w:rPr>
          <w:rFonts w:ascii="Calibri" w:hAnsi="Calibri" w:cs="Arial"/>
          <w:bCs/>
          <w:color w:val="767171" w:themeColor="background2" w:themeShade="80"/>
          <w:sz w:val="40"/>
          <w:szCs w:val="40"/>
          <w:lang w:val="pt-BR"/>
          <w14:textOutline w14:w="9525" w14:cap="rnd" w14:cmpd="sng" w14:algn="ctr">
            <w14:noFill/>
            <w14:prstDash w14:val="solid"/>
            <w14:bevel/>
          </w14:textOutline>
        </w:rPr>
        <w:t>Terneros</w:t>
      </w:r>
      <w:proofErr w:type="spellEnd"/>
    </w:p>
    <w:p w:rsidR="007172AA" w:rsidRDefault="007172AA" w:rsidP="004E0C84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0" w:lineRule="atLeast"/>
        <w:ind w:left="-1418" w:firstLine="1418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7172AA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Cont. Neto: 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10 </w:t>
      </w:r>
      <w:r w:rsidR="009D019E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envases </w:t>
      </w:r>
      <w:proofErr w:type="spellStart"/>
      <w:r w:rsidR="009D019E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>Monodosis</w:t>
      </w:r>
      <w:proofErr w:type="spellEnd"/>
      <w:r w:rsidR="009D019E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de 50 Ml c/u</w:t>
      </w:r>
    </w:p>
    <w:p w:rsidR="007172AA" w:rsidRPr="007172AA" w:rsidRDefault="002E3430" w:rsidP="004D07AF">
      <w:pPr>
        <w:widowControl w:val="0"/>
        <w:shd w:val="clear" w:color="auto" w:fill="FFFFFF" w:themeFill="background1"/>
        <w:tabs>
          <w:tab w:val="left" w:pos="-1560"/>
          <w:tab w:val="right" w:pos="12240"/>
        </w:tabs>
        <w:spacing w:after="0" w:line="0" w:lineRule="atLeast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573pt;height:2pt;mso-position-vertical:absolute" o:hralign="center" o:hrstd="t" o:hrnoshade="t" o:hr="t" fillcolor="#272727 [2749]" stroked="f"/>
        </w:pict>
      </w:r>
    </w:p>
    <w:p w:rsidR="004E0C84" w:rsidRPr="004E0C84" w:rsidRDefault="009D019E" w:rsidP="004E0C84">
      <w:pPr>
        <w:shd w:val="clear" w:color="auto" w:fill="FFFFFF"/>
        <w:spacing w:after="0" w:line="0" w:lineRule="atLeas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 xml:space="preserve">VENTA SIN RECETA EN LOCALES BAJO ASESORAMIENTO PROFESIONAL VETERINARIO - </w:t>
      </w:r>
      <w:r w:rsidR="004E0C84" w:rsidRPr="004E0C84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 xml:space="preserve">USO </w:t>
      </w:r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VETERINARIO</w:t>
      </w:r>
    </w:p>
    <w:p w:rsidR="004E0C84" w:rsidRPr="004E0C84" w:rsidRDefault="009D019E" w:rsidP="004E0C84">
      <w:pPr>
        <w:shd w:val="clear" w:color="auto" w:fill="FFFFFF"/>
        <w:spacing w:after="0" w:line="0" w:lineRule="atLeas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BOVINOS</w:t>
      </w: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FORMULA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:</w:t>
      </w:r>
    </w:p>
    <w:p w:rsidR="007172AA" w:rsidRDefault="009D019E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Cada 50 ml contiene:</w:t>
      </w:r>
    </w:p>
    <w:p w:rsidR="009D019E" w:rsidRDefault="00BA33D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Glucosa</w:t>
      </w:r>
      <w:r w:rsidR="00A77285">
        <w:rPr>
          <w:rFonts w:eastAsia="Times New Roman" w:cstheme="minorHAnsi"/>
          <w:color w:val="777777"/>
          <w:sz w:val="20"/>
          <w:szCs w:val="20"/>
          <w:lang w:val="es-AR" w:eastAsia="es-AR"/>
        </w:rPr>
        <w:t>…………………..…</w:t>
      </w:r>
      <w:r w:rsidR="00305BED">
        <w:rPr>
          <w:rFonts w:eastAsia="Times New Roman" w:cstheme="minorHAnsi"/>
          <w:color w:val="777777"/>
          <w:sz w:val="20"/>
          <w:szCs w:val="20"/>
          <w:lang w:val="es-AR" w:eastAsia="es-AR"/>
        </w:rPr>
        <w:t>….</w:t>
      </w:r>
      <w:r w:rsidR="00A77285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19,5 g</w:t>
      </w:r>
    </w:p>
    <w:p w:rsid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Acetato de Sodio….......18,325 g</w:t>
      </w:r>
    </w:p>
    <w:p w:rsidR="00DD400E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Cloruro de Sodio……………..3,2 g</w:t>
      </w:r>
    </w:p>
    <w:p w:rsidR="00BA33D4" w:rsidRDefault="00BA33D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Cloruro de Potasio…………..3,2 g</w:t>
      </w:r>
    </w:p>
    <w:p w:rsid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Glicina……………………….……2,0  g</w:t>
      </w:r>
    </w:p>
    <w:p w:rsid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Agentes de Formulación</w:t>
      </w:r>
      <w:r w:rsidR="00305BED">
        <w:rPr>
          <w:rFonts w:eastAsia="Times New Roman" w:cstheme="minorHAnsi"/>
          <w:color w:val="777777"/>
          <w:sz w:val="20"/>
          <w:szCs w:val="20"/>
          <w:lang w:val="es-AR" w:eastAsia="es-AR"/>
        </w:rPr>
        <w:t>.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…</w:t>
      </w:r>
      <w:proofErr w:type="spellStart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c.s.p</w:t>
      </w:r>
      <w:proofErr w:type="spellEnd"/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.</w:t>
      </w:r>
    </w:p>
    <w:p w:rsidR="00DD400E" w:rsidRPr="007172AA" w:rsidRDefault="00DD400E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BA33D4" w:rsidRDefault="00BA33D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ACCIÓN:</w:t>
      </w:r>
    </w:p>
    <w:p w:rsidR="00BA33D4" w:rsidRDefault="00BA33D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</w:p>
    <w:p w:rsidR="00BA33D4" w:rsidRDefault="00BA33D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Por qué ELECTROLITE ULTRA?</w:t>
      </w:r>
    </w:p>
    <w:p w:rsidR="00BA33D4" w:rsidRDefault="00BA33D4" w:rsidP="00BA33D4">
      <w:pPr>
        <w:spacing w:after="200" w:line="276" w:lineRule="auto"/>
        <w:rPr>
          <w:rFonts w:ascii="Calibri" w:eastAsia="Times New Roman" w:hAnsi="Calibri" w:cs="Times New Roman"/>
          <w:bCs/>
          <w:lang w:val="es-ES" w:eastAsia="es-ES"/>
        </w:rPr>
      </w:pPr>
    </w:p>
    <w:p w:rsidR="00BA33D4" w:rsidRDefault="00BA33D4" w:rsidP="002E3430">
      <w:pPr>
        <w:spacing w:after="0" w:line="240" w:lineRule="exact"/>
        <w:rPr>
          <w:rFonts w:ascii="Calibri" w:eastAsia="Times New Roman" w:hAnsi="Calibri" w:cs="Times New Roman"/>
          <w:bCs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bCs/>
          <w:color w:val="7F7F7F" w:themeColor="text1" w:themeTint="80"/>
          <w:sz w:val="20"/>
          <w:szCs w:val="20"/>
          <w:lang w:val="es-ES" w:eastAsia="es-ES"/>
        </w:rPr>
        <w:t>En un organismo sano, las células del pulmón y riñones regulan la composición química de la sangre, así como también el balance de agua y electrolitos (sales minerales) de los líquidos y tejidos corporales. Cuando la diarrea se presenta, se produce una perdida muy grande de sales y electrolitos. Esta abrupta salida resulta en que el organismo pierde la capacidad de regular la composición de los líquidos y tejidos. La consecuencia inmediata es un proceso de deshidratación que provoca cambios en todos los niveles del organismo los que, en una deshidratación severa, pueden llevar a la depresión y hasta la muerte.</w:t>
      </w:r>
    </w:p>
    <w:p w:rsidR="002E3430" w:rsidRPr="002E3430" w:rsidRDefault="002E3430" w:rsidP="002E3430">
      <w:pPr>
        <w:spacing w:after="0" w:line="240" w:lineRule="exact"/>
        <w:rPr>
          <w:rFonts w:ascii="Calibri" w:eastAsia="Times New Roman" w:hAnsi="Calibri" w:cs="Times New Roman"/>
          <w:bCs/>
          <w:color w:val="7F7F7F" w:themeColor="text1" w:themeTint="80"/>
          <w:sz w:val="20"/>
          <w:szCs w:val="20"/>
          <w:lang w:val="es-ES" w:eastAsia="es-ES"/>
        </w:rPr>
      </w:pPr>
    </w:p>
    <w:p w:rsidR="00BA33D4" w:rsidRPr="002E3430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proofErr w:type="spellStart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Electrolite</w:t>
      </w:r>
      <w:proofErr w:type="spellEnd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 Ultra está indicado para ayudar a recuperar el balance electrolítico, balance ácido-base, favorecer la reposición y retención de agua y niveles de energía de terneros en recría y bovinos jóvenes.</w:t>
      </w:r>
    </w:p>
    <w:p w:rsidR="002E3430" w:rsidRDefault="002E3430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</w:p>
    <w:p w:rsidR="00BA33D4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Por qué </w:t>
      </w:r>
      <w:proofErr w:type="spellStart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Electrolite</w:t>
      </w:r>
      <w:proofErr w:type="spellEnd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 Ultra contiene Glucosa?</w:t>
      </w:r>
    </w:p>
    <w:p w:rsidR="002E3430" w:rsidRPr="002E3430" w:rsidRDefault="002E3430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</w:p>
    <w:p w:rsidR="00BA33D4" w:rsidRPr="002E3430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La Glucosa ayuda en la absorción intestinal de sodio y como consecuencia de la absorción de sodio, también se favorece la absorción de agua. La glucosa participa en la palatabilidad de </w:t>
      </w:r>
      <w:proofErr w:type="spellStart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Electrolite</w:t>
      </w:r>
      <w:proofErr w:type="spellEnd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 Ultra, así como también es fuente de energía, aunque no reemplaza la alimentación.</w:t>
      </w:r>
    </w:p>
    <w:p w:rsidR="002E3430" w:rsidRDefault="002E3430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</w:p>
    <w:p w:rsidR="00BA33D4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Por qué </w:t>
      </w:r>
      <w:proofErr w:type="spellStart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Electrolite</w:t>
      </w:r>
      <w:proofErr w:type="spellEnd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 Ultra contiene Acetato de sodio?</w:t>
      </w:r>
    </w:p>
    <w:p w:rsidR="002E3430" w:rsidRPr="002E3430" w:rsidRDefault="002E3430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</w:p>
    <w:p w:rsidR="00BA33D4" w:rsidRPr="002E3430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El acetato de sodio es una agente </w:t>
      </w:r>
      <w:proofErr w:type="spellStart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alcalinizante</w:t>
      </w:r>
      <w:proofErr w:type="spellEnd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 que cumple la función de ayudar a estabilizar y controlar la acidosis. Esto resulta fundamental para, entre otros, restablecer o evitar que se pierda el reflejo de succión, tan importante para la rehidratación oral. El Acetato de sodio también es fuente de energía.</w:t>
      </w:r>
    </w:p>
    <w:p w:rsidR="00BA33D4" w:rsidRPr="002E3430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</w:p>
    <w:p w:rsidR="002E3430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Por qué </w:t>
      </w:r>
      <w:proofErr w:type="spellStart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Electrolite</w:t>
      </w:r>
      <w:proofErr w:type="spellEnd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 Ultra contiene Cloruro de sodio y Potasio?: </w:t>
      </w:r>
    </w:p>
    <w:p w:rsidR="00BA33D4" w:rsidRPr="002E3430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Los electrolitos son partículas cargadas eléctricamente que desempeñan roles claves en todas las funciones corporales. Los más importantes son el Sodio, Potasio y Cloro. La pérdida de balance entre estos genera acidosis. Cuando el pH de la sangre cae por debajo de 7,2 los terneros pierden la capacidad de pestañar y hasta de succionar con lo que se compromete la rehidratación y la alimentación. Los tres se requieren para recuperar el equilibrio ácido – base.</w:t>
      </w:r>
    </w:p>
    <w:p w:rsidR="00BA33D4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lastRenderedPageBreak/>
        <w:t>El sodio ayuda a la captación de agua y su absorción mejora si se asocia con Glucosa. El Potasio participa de la contracción de los músculos, en especial del corazón.</w:t>
      </w:r>
    </w:p>
    <w:p w:rsidR="002E3430" w:rsidRPr="002E3430" w:rsidRDefault="002E3430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</w:p>
    <w:p w:rsidR="00BA33D4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Por qué </w:t>
      </w:r>
      <w:proofErr w:type="spellStart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Electrolite</w:t>
      </w:r>
      <w:proofErr w:type="spellEnd"/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 xml:space="preserve"> Ultra contiene Glicina?</w:t>
      </w:r>
    </w:p>
    <w:p w:rsidR="002E3430" w:rsidRPr="002E3430" w:rsidRDefault="002E3430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bookmarkStart w:id="0" w:name="_GoBack"/>
      <w:bookmarkEnd w:id="0"/>
    </w:p>
    <w:p w:rsidR="00BA33D4" w:rsidRPr="002E3430" w:rsidRDefault="00BA33D4" w:rsidP="002E3430">
      <w:pPr>
        <w:spacing w:after="0" w:line="240" w:lineRule="exact"/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</w:pPr>
      <w:r w:rsidRPr="002E3430">
        <w:rPr>
          <w:rFonts w:ascii="Calibri" w:eastAsia="Times New Roman" w:hAnsi="Calibri" w:cs="Times New Roman"/>
          <w:color w:val="7F7F7F" w:themeColor="text1" w:themeTint="80"/>
          <w:sz w:val="20"/>
          <w:szCs w:val="20"/>
          <w:lang w:val="es-ES" w:eastAsia="es-ES"/>
        </w:rPr>
        <w:t>La Glicina es un amino ácido que participa de la absorción de Sodio, también se ha demostrado que resulta importante para la absorción de la Glucosa.</w:t>
      </w:r>
    </w:p>
    <w:p w:rsidR="00BA33D4" w:rsidRDefault="00BA33D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INDICACIONES</w:t>
      </w: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:</w:t>
      </w:r>
    </w:p>
    <w:p w:rsidR="007172AA" w:rsidRPr="007172AA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El producto está indicado para mantener el balance electrolítico, balance ácido-base y niveles de energía de terneros en recría y bovinos jóvenes. Se aplica de forma oral.</w:t>
      </w:r>
    </w:p>
    <w:p w:rsidR="006D5F53" w:rsidRDefault="006D5F53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CD5C9B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DOSIFICACIÓN:</w:t>
      </w:r>
    </w:p>
    <w:p w:rsid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 xml:space="preserve">Diluir a razón de 50 </w:t>
      </w:r>
      <w:proofErr w:type="spellStart"/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>mL</w:t>
      </w:r>
      <w:proofErr w:type="spellEnd"/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 xml:space="preserve"> de </w:t>
      </w:r>
      <w:proofErr w:type="spellStart"/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>Electrolite</w:t>
      </w:r>
      <w:proofErr w:type="spellEnd"/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 xml:space="preserve"> Ultra en 2 litros de leche, sustituto lácteo o agua. Repetir al menos 2 días o hasta revertir el proceso de deshidratación. Una vez preparado, no utilizar soluciones más allá de las 24 horas.</w:t>
      </w:r>
    </w:p>
    <w:p w:rsid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</w:pPr>
    </w:p>
    <w:p w:rsid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CONTRAINDICACIONES Y PRECAUCIONES:</w:t>
      </w:r>
    </w:p>
    <w:p w:rsid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  <w:t>No posee</w:t>
      </w:r>
    </w:p>
    <w:p w:rsidR="00A77285" w:rsidRPr="00A77285" w:rsidRDefault="00A77285" w:rsidP="007172AA">
      <w:pPr>
        <w:shd w:val="clear" w:color="auto" w:fill="FFFFFF"/>
        <w:spacing w:after="0" w:line="240" w:lineRule="exact"/>
        <w:rPr>
          <w:rFonts w:eastAsia="Times New Roman" w:cstheme="minorHAnsi"/>
          <w:bCs/>
          <w:color w:val="777777"/>
          <w:sz w:val="20"/>
          <w:szCs w:val="20"/>
          <w:lang w:val="es-AR" w:eastAsia="es-AR"/>
        </w:rPr>
      </w:pP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b/>
          <w:bCs/>
          <w:color w:val="777777"/>
          <w:sz w:val="20"/>
          <w:szCs w:val="20"/>
          <w:lang w:val="es-AR" w:eastAsia="es-AR"/>
        </w:rPr>
        <w:t>CONSERVACION:</w:t>
      </w:r>
    </w:p>
    <w:p w:rsidR="007172AA" w:rsidRPr="007172AA" w:rsidRDefault="00AC16FB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Mantener al abrigo de la luz y herméticamente cerrado, e</w:t>
      </w:r>
      <w:r w:rsidR="007172AA"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nte 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1</w:t>
      </w:r>
      <w:r w:rsidR="007172AA"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>5 y 25° C</w:t>
      </w:r>
    </w:p>
    <w:p w:rsidR="004E0C84" w:rsidRDefault="004E0C84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4E0C84" w:rsidRPr="006D5F53" w:rsidRDefault="006D5F53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6D5F53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MANTENER FUERA DEL ALCANCE DE LOS NIÑOS</w:t>
      </w:r>
      <w:r w:rsidR="00AC16FB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 xml:space="preserve"> Y LOS ANIMALES DOMÉSTICOS</w:t>
      </w:r>
    </w:p>
    <w:p w:rsidR="006D5F53" w:rsidRDefault="006D5F53" w:rsidP="007172AA">
      <w:pPr>
        <w:shd w:val="clear" w:color="auto" w:fill="FFFFFF"/>
        <w:spacing w:after="0" w:line="240" w:lineRule="exact"/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</w:pPr>
      <w:r w:rsidRPr="006D5F53"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CENTRO NACIONAL DE INTOXICACIONES 0800-333-0160</w:t>
      </w:r>
    </w:p>
    <w:p w:rsidR="00AC16FB" w:rsidRPr="00AC16FB" w:rsidRDefault="00AC16FB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  <w:r>
        <w:rPr>
          <w:rFonts w:eastAsia="Times New Roman" w:cstheme="minorHAnsi"/>
          <w:color w:val="777777"/>
          <w:sz w:val="20"/>
          <w:szCs w:val="20"/>
          <w:lang w:val="es-AR" w:eastAsia="es-AR"/>
        </w:rPr>
        <w:t>Los envases utilizados deberán ser descartados de acuerdo a la legislación vigente</w:t>
      </w:r>
    </w:p>
    <w:p w:rsidR="006D5F53" w:rsidRDefault="006D5F53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es-AR" w:eastAsia="es-AR"/>
        </w:rPr>
      </w:pPr>
    </w:p>
    <w:p w:rsidR="007172AA" w:rsidRPr="006D5F53" w:rsidRDefault="007172AA" w:rsidP="007172AA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pt-BR" w:eastAsia="es-AR"/>
        </w:rPr>
      </w:pPr>
      <w:r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t>Producto inscripto en SENASA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Est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.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Elab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. Nº</w:t>
      </w:r>
      <w:r w:rsidR="00AC16FB">
        <w:rPr>
          <w:rFonts w:eastAsia="Times New Roman" w:cstheme="minorHAnsi"/>
          <w:color w:val="777777"/>
          <w:sz w:val="20"/>
          <w:szCs w:val="20"/>
          <w:lang w:val="es-AR" w:eastAsia="es-AR"/>
        </w:rPr>
        <w:t>8083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Agreed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Laboratorios S.A.</w:t>
      </w:r>
      <w:r w:rsidRPr="007172AA">
        <w:rPr>
          <w:rFonts w:eastAsia="Times New Roman" w:cstheme="minorHAnsi"/>
          <w:color w:val="777777"/>
          <w:sz w:val="20"/>
          <w:szCs w:val="20"/>
          <w:lang w:val="es-AR" w:eastAsia="es-AR"/>
        </w:rPr>
        <w:br/>
        <w:t xml:space="preserve">Certificado Nº </w:t>
      </w:r>
      <w:r w:rsidR="00AC16FB">
        <w:rPr>
          <w:rFonts w:eastAsia="Times New Roman" w:cstheme="minorHAnsi"/>
          <w:color w:val="777777"/>
          <w:sz w:val="20"/>
          <w:szCs w:val="20"/>
          <w:lang w:val="es-AR" w:eastAsia="es-AR"/>
        </w:rPr>
        <w:t>22-071</w:t>
      </w:r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 – Dir. </w:t>
      </w:r>
      <w:proofErr w:type="spellStart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>Tec</w:t>
      </w:r>
      <w:proofErr w:type="spellEnd"/>
      <w:r w:rsidR="006D5F53">
        <w:rPr>
          <w:rFonts w:eastAsia="Times New Roman" w:cstheme="minorHAnsi"/>
          <w:color w:val="777777"/>
          <w:sz w:val="20"/>
          <w:szCs w:val="20"/>
          <w:lang w:val="es-AR" w:eastAsia="es-AR"/>
        </w:rPr>
        <w:t xml:space="preserve">. </w:t>
      </w:r>
      <w:r w:rsidR="006D5F53"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 xml:space="preserve">Dr. Jorge C. Arena – Mat. Prof. </w:t>
      </w:r>
      <w:r w:rsid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Nº5944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 xml:space="preserve">Coronel </w:t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Uzal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 xml:space="preserve"> 3376, </w:t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Olivos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, B1636DGF,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>Buenos Aires, Argentina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</w:r>
      <w:proofErr w:type="spellStart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Tel</w:t>
      </w:r>
      <w:proofErr w:type="spellEnd"/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t>: +54 (011) 5430-5578 / +54 (011) 5431-5782</w:t>
      </w:r>
      <w:r w:rsidRPr="006D5F53">
        <w:rPr>
          <w:rFonts w:eastAsia="Times New Roman" w:cstheme="minorHAnsi"/>
          <w:color w:val="777777"/>
          <w:sz w:val="20"/>
          <w:szCs w:val="20"/>
          <w:lang w:val="pt-BR" w:eastAsia="es-AR"/>
        </w:rPr>
        <w:br/>
        <w:t>INDUSTRIA ARGENTINA</w:t>
      </w:r>
    </w:p>
    <w:p w:rsidR="00614386" w:rsidRPr="006D5F53" w:rsidRDefault="00614386" w:rsidP="00033A9E">
      <w:pPr>
        <w:shd w:val="clear" w:color="auto" w:fill="FFFFFF"/>
        <w:spacing w:after="0" w:line="240" w:lineRule="exact"/>
        <w:rPr>
          <w:rFonts w:eastAsia="Times New Roman" w:cstheme="minorHAnsi"/>
          <w:color w:val="777777"/>
          <w:sz w:val="20"/>
          <w:szCs w:val="20"/>
          <w:lang w:val="pt-BR" w:eastAsia="es-AR"/>
        </w:rPr>
      </w:pPr>
    </w:p>
    <w:sectPr w:rsidR="00614386" w:rsidRPr="006D5F53" w:rsidSect="00693CC5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D"/>
    <w:rsid w:val="00033A9E"/>
    <w:rsid w:val="000640AF"/>
    <w:rsid w:val="000E7DC7"/>
    <w:rsid w:val="000F314C"/>
    <w:rsid w:val="001F3300"/>
    <w:rsid w:val="0026268A"/>
    <w:rsid w:val="002A6147"/>
    <w:rsid w:val="002E3430"/>
    <w:rsid w:val="00305BED"/>
    <w:rsid w:val="00334F62"/>
    <w:rsid w:val="003D45D6"/>
    <w:rsid w:val="003E13F9"/>
    <w:rsid w:val="003E72DD"/>
    <w:rsid w:val="003E73DD"/>
    <w:rsid w:val="00494C9B"/>
    <w:rsid w:val="004D07AF"/>
    <w:rsid w:val="004E0C84"/>
    <w:rsid w:val="0051460D"/>
    <w:rsid w:val="00614386"/>
    <w:rsid w:val="00641359"/>
    <w:rsid w:val="00655B17"/>
    <w:rsid w:val="00693CC5"/>
    <w:rsid w:val="006D5F53"/>
    <w:rsid w:val="007172AA"/>
    <w:rsid w:val="00817D32"/>
    <w:rsid w:val="00822722"/>
    <w:rsid w:val="008B7173"/>
    <w:rsid w:val="009115C0"/>
    <w:rsid w:val="009D019E"/>
    <w:rsid w:val="009F0FEB"/>
    <w:rsid w:val="00A77285"/>
    <w:rsid w:val="00AC16FB"/>
    <w:rsid w:val="00B8741C"/>
    <w:rsid w:val="00BA33D4"/>
    <w:rsid w:val="00C70705"/>
    <w:rsid w:val="00CD5C9B"/>
    <w:rsid w:val="00D031BC"/>
    <w:rsid w:val="00D377EA"/>
    <w:rsid w:val="00DB76DC"/>
    <w:rsid w:val="00DD400E"/>
    <w:rsid w:val="00E260BA"/>
    <w:rsid w:val="00E30125"/>
    <w:rsid w:val="00E678F3"/>
    <w:rsid w:val="00E95A76"/>
    <w:rsid w:val="00EB24D4"/>
    <w:rsid w:val="00FC569D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AC74"/>
  <w15:docId w15:val="{72AE7C72-472D-4544-A15B-BF8B086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elmerlab.com/acetazine-gotas/logo-alta-sin-fondo/#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DA5F-4A87-4B50-8690-14328744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AGREED</dc:creator>
  <cp:lastModifiedBy>Matias ML. Labale</cp:lastModifiedBy>
  <cp:revision>3</cp:revision>
  <cp:lastPrinted>2019-02-25T21:10:00Z</cp:lastPrinted>
  <dcterms:created xsi:type="dcterms:W3CDTF">2023-09-11T15:55:00Z</dcterms:created>
  <dcterms:modified xsi:type="dcterms:W3CDTF">2023-09-11T19:44:00Z</dcterms:modified>
</cp:coreProperties>
</file>