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416F" w14:textId="7DBC6A9A" w:rsidR="006879D3" w:rsidRPr="00981EBD" w:rsidRDefault="006879D3">
      <w:pPr>
        <w:rPr>
          <w:b/>
          <w:bCs/>
          <w:sz w:val="24"/>
          <w:szCs w:val="24"/>
        </w:rPr>
      </w:pPr>
      <w:r w:rsidRPr="00981EBD">
        <w:rPr>
          <w:b/>
          <w:bCs/>
          <w:sz w:val="24"/>
          <w:szCs w:val="24"/>
        </w:rPr>
        <w:t xml:space="preserve">UG Change </w:t>
      </w:r>
      <w:r w:rsidR="005B28BF">
        <w:rPr>
          <w:b/>
          <w:bCs/>
          <w:sz w:val="24"/>
          <w:szCs w:val="24"/>
        </w:rPr>
        <w:t xml:space="preserve">- </w:t>
      </w:r>
      <w:r w:rsidRPr="00981EBD">
        <w:rPr>
          <w:b/>
          <w:bCs/>
          <w:sz w:val="24"/>
          <w:szCs w:val="24"/>
        </w:rPr>
        <w:t xml:space="preserve">Equipment </w:t>
      </w:r>
    </w:p>
    <w:p w14:paraId="55783B75" w14:textId="6FC01D13" w:rsidR="00E25D9B" w:rsidRPr="007B3952" w:rsidRDefault="00C72EA9" w:rsidP="00E25D9B">
      <w:pPr>
        <w:pStyle w:val="ListParagraph"/>
        <w:numPr>
          <w:ilvl w:val="0"/>
          <w:numId w:val="11"/>
        </w:numPr>
        <w:rPr>
          <w:highlight w:val="yellow"/>
        </w:rPr>
      </w:pPr>
      <w:r>
        <w:t xml:space="preserve">OMB revised the UG to allow recipients to raise the capital threshold as high as $10,000.  </w:t>
      </w:r>
      <w:r w:rsidR="005E137E">
        <w:t>Th</w:t>
      </w:r>
      <w:r>
        <w:t>e FAR</w:t>
      </w:r>
      <w:r w:rsidR="005E137E">
        <w:t>, however,</w:t>
      </w:r>
      <w:r>
        <w:t xml:space="preserve"> </w:t>
      </w:r>
      <w:r w:rsidR="00C477D9">
        <w:t>remains at $5,000</w:t>
      </w:r>
      <w:r>
        <w:t xml:space="preserve">. </w:t>
      </w:r>
      <w:r w:rsidR="00D15ED5">
        <w:t xml:space="preserve">Can </w:t>
      </w:r>
      <w:r>
        <w:t>an institution make the election to raise the capitalization threshold</w:t>
      </w:r>
      <w:r w:rsidR="00D4385F">
        <w:t xml:space="preserve"> </w:t>
      </w:r>
      <w:r w:rsidR="00077F04" w:rsidRPr="00384DD4">
        <w:rPr>
          <w:i/>
          <w:iCs/>
        </w:rPr>
        <w:t xml:space="preserve">except </w:t>
      </w:r>
      <w:r w:rsidR="00077F04">
        <w:t xml:space="preserve">for </w:t>
      </w:r>
      <w:r>
        <w:t>FAR-covered contract</w:t>
      </w:r>
      <w:r w:rsidR="00077F04">
        <w:t>s</w:t>
      </w:r>
      <w:r w:rsidR="00987829">
        <w:t>?)</w:t>
      </w:r>
      <w:r w:rsidR="000A6690">
        <w:t xml:space="preserve"> - ONR</w:t>
      </w:r>
    </w:p>
    <w:p w14:paraId="6EF5FDFB" w14:textId="77777777" w:rsidR="007B3952" w:rsidRPr="007B3952" w:rsidRDefault="007B3952" w:rsidP="007B3952">
      <w:pPr>
        <w:pStyle w:val="ListParagraph"/>
        <w:ind w:left="360"/>
        <w:rPr>
          <w:highlight w:val="yellow"/>
        </w:rPr>
      </w:pPr>
    </w:p>
    <w:p w14:paraId="246EB623" w14:textId="502F7D3D" w:rsidR="007B3952" w:rsidRPr="00CB3BC3" w:rsidRDefault="007B3952" w:rsidP="00E25D9B">
      <w:pPr>
        <w:pStyle w:val="ListParagraph"/>
        <w:numPr>
          <w:ilvl w:val="0"/>
          <w:numId w:val="11"/>
        </w:numPr>
        <w:rPr>
          <w:highlight w:val="yellow"/>
        </w:rPr>
      </w:pPr>
      <w:r w:rsidRPr="007B3952">
        <w:t xml:space="preserve">With the Changes to 2 CFR 200, take for instance the equipment </w:t>
      </w:r>
      <w:r w:rsidR="008068D6" w:rsidRPr="007B3952">
        <w:t>moves</w:t>
      </w:r>
      <w:r w:rsidRPr="007B3952">
        <w:t xml:space="preserve"> from $5,000 to $10,000.  Our Board of Regents has made the change, but our NICRA still says that we must follow $5,000 threshold.  Since it is now a requirement </w:t>
      </w:r>
      <w:r w:rsidR="00CC20E6">
        <w:t xml:space="preserve">in </w:t>
      </w:r>
      <w:r w:rsidRPr="007B3952">
        <w:t>the CFR, could we get ou</w:t>
      </w:r>
      <w:r w:rsidR="00CF6C46">
        <w:t>r</w:t>
      </w:r>
      <w:r w:rsidRPr="007B3952">
        <w:t xml:space="preserve"> NICRA MTDC language changed before our next negotiation?</w:t>
      </w:r>
      <w:r w:rsidR="002C6D28">
        <w:t xml:space="preserve"> – CAS, ONR</w:t>
      </w:r>
    </w:p>
    <w:p w14:paraId="738ECAE2" w14:textId="77777777" w:rsidR="00CB3BC3" w:rsidRPr="00CB3BC3" w:rsidRDefault="00CB3BC3" w:rsidP="00CB3BC3">
      <w:pPr>
        <w:pStyle w:val="ListParagraph"/>
        <w:rPr>
          <w:highlight w:val="yellow"/>
        </w:rPr>
      </w:pPr>
    </w:p>
    <w:p w14:paraId="68329191" w14:textId="73DFCC3A" w:rsidR="00F242C6" w:rsidRDefault="00F242C6" w:rsidP="00F242C6">
      <w:pPr>
        <w:pStyle w:val="ListParagraph"/>
        <w:numPr>
          <w:ilvl w:val="0"/>
          <w:numId w:val="11"/>
        </w:numPr>
      </w:pPr>
      <w:r>
        <w:rPr>
          <w:highlight w:val="yellow"/>
        </w:rPr>
        <w:t xml:space="preserve"> </w:t>
      </w:r>
      <w:r>
        <w:t xml:space="preserve">Can you please provide insights into the implementation of a depreciation threshold change? Can an institution work with their </w:t>
      </w:r>
      <w:r w:rsidR="00CF6C46">
        <w:t xml:space="preserve">CAS </w:t>
      </w:r>
      <w:r>
        <w:t>regional office to receive approval to implement at the end of the base year or even prior to submission of a new proposal?</w:t>
      </w:r>
      <w:r w:rsidR="00374EA1">
        <w:t xml:space="preserve"> – CAS</w:t>
      </w:r>
    </w:p>
    <w:p w14:paraId="2240B528" w14:textId="77777777" w:rsidR="003D5C3E" w:rsidRDefault="003D5C3E" w:rsidP="003D5C3E">
      <w:pPr>
        <w:pStyle w:val="ListParagraph"/>
      </w:pPr>
    </w:p>
    <w:p w14:paraId="57B8597B" w14:textId="73C9CA23" w:rsidR="003D5C3E" w:rsidRPr="003D5C3E" w:rsidRDefault="003D5C3E" w:rsidP="003D5C3E">
      <w:pPr>
        <w:pStyle w:val="ListParagraph"/>
        <w:numPr>
          <w:ilvl w:val="0"/>
          <w:numId w:val="11"/>
        </w:numPr>
      </w:pPr>
      <w:r w:rsidRPr="003D5C3E">
        <w:t xml:space="preserve">Can an institution submit a request to change its equipment capitalization threshold between base year </w:t>
      </w:r>
      <w:proofErr w:type="gramStart"/>
      <w:r w:rsidRPr="003D5C3E">
        <w:t>as long as</w:t>
      </w:r>
      <w:proofErr w:type="gramEnd"/>
      <w:r w:rsidRPr="003D5C3E">
        <w:t xml:space="preserve"> it also submits a rate impact statement, as was the case the last time the threshold changed?</w:t>
      </w:r>
      <w:r w:rsidR="00374EA1">
        <w:t xml:space="preserve"> CAS, ONR</w:t>
      </w:r>
    </w:p>
    <w:p w14:paraId="05FFAA9B" w14:textId="77777777" w:rsidR="000747CC" w:rsidRDefault="000747CC" w:rsidP="000747CC">
      <w:pPr>
        <w:pStyle w:val="ListParagraph"/>
        <w:ind w:left="360"/>
      </w:pPr>
    </w:p>
    <w:p w14:paraId="665ACDBC" w14:textId="2EC98DF0" w:rsidR="00077F04" w:rsidRPr="00A64CB9" w:rsidRDefault="00422490" w:rsidP="00F71A58">
      <w:pPr>
        <w:pStyle w:val="ListParagraph"/>
        <w:numPr>
          <w:ilvl w:val="0"/>
          <w:numId w:val="11"/>
        </w:numPr>
        <w:rPr>
          <w:highlight w:val="yellow"/>
        </w:rPr>
      </w:pPr>
      <w:r>
        <w:t xml:space="preserve">How does the government </w:t>
      </w:r>
      <w:r w:rsidR="005E137E">
        <w:t xml:space="preserve">recommend </w:t>
      </w:r>
      <w:r>
        <w:t xml:space="preserve">institutions </w:t>
      </w:r>
      <w:r w:rsidR="005E2EEF">
        <w:t xml:space="preserve">handle the remaining book value of assets under $10,000 if they increase their threshold to $10,000? </w:t>
      </w:r>
      <w:r w:rsidR="00384DD4">
        <w:t xml:space="preserve"> </w:t>
      </w:r>
      <w:r w:rsidR="00C2203A">
        <w:t xml:space="preserve">Does the government have a preference </w:t>
      </w:r>
      <w:r w:rsidR="00FB5387">
        <w:t xml:space="preserve">between </w:t>
      </w:r>
      <w:r w:rsidR="00384DD4">
        <w:t>writ</w:t>
      </w:r>
      <w:r w:rsidR="00FB5387">
        <w:t>ing</w:t>
      </w:r>
      <w:r w:rsidR="00384DD4">
        <w:t xml:space="preserve"> them off</w:t>
      </w:r>
      <w:r w:rsidR="00FB5387">
        <w:t xml:space="preserve"> </w:t>
      </w:r>
      <w:r w:rsidR="009B158E">
        <w:t xml:space="preserve">all at once or adjusting future proposals to remove the lingering depreciation? </w:t>
      </w:r>
      <w:r w:rsidR="008E3A05">
        <w:t xml:space="preserve"> 2 CFR 200.439 (5).</w:t>
      </w:r>
      <w:r w:rsidR="00374EA1">
        <w:t xml:space="preserve"> CAS, ONR</w:t>
      </w:r>
    </w:p>
    <w:p w14:paraId="54B40D3A" w14:textId="77777777" w:rsidR="001175B1" w:rsidRDefault="001175B1" w:rsidP="001175B1">
      <w:pPr>
        <w:pStyle w:val="ListParagraph"/>
      </w:pPr>
    </w:p>
    <w:p w14:paraId="39037534" w14:textId="5F74C651" w:rsidR="001175B1" w:rsidRPr="00A64CB9" w:rsidRDefault="000747CC" w:rsidP="00F71A58">
      <w:pPr>
        <w:pStyle w:val="ListParagraph"/>
        <w:numPr>
          <w:ilvl w:val="0"/>
          <w:numId w:val="11"/>
        </w:numPr>
        <w:rPr>
          <w:highlight w:val="yellow"/>
        </w:rPr>
      </w:pPr>
      <w:r>
        <w:t xml:space="preserve">Are institutions required to </w:t>
      </w:r>
      <w:r w:rsidR="00DC3A4F">
        <w:t xml:space="preserve">continue to </w:t>
      </w:r>
      <w:r>
        <w:t xml:space="preserve">inventory </w:t>
      </w:r>
      <w:r w:rsidR="00DC3A4F">
        <w:t xml:space="preserve">every two </w:t>
      </w:r>
      <w:r w:rsidR="00D26777">
        <w:t xml:space="preserve">years </w:t>
      </w:r>
      <w:r w:rsidR="00B543EF" w:rsidRPr="00B543EF">
        <w:rPr>
          <w:u w:val="single"/>
        </w:rPr>
        <w:t>federal</w:t>
      </w:r>
      <w:r w:rsidR="00B543EF">
        <w:t xml:space="preserve"> </w:t>
      </w:r>
      <w:r>
        <w:t xml:space="preserve">assets that were purchased as equipment </w:t>
      </w:r>
      <w:r w:rsidR="00DC3A4F">
        <w:t>but no longer meet the increased threshold?</w:t>
      </w:r>
      <w:r w:rsidR="0056289B">
        <w:t xml:space="preserve"> - DCAA</w:t>
      </w:r>
    </w:p>
    <w:p w14:paraId="6A5A533B" w14:textId="77777777" w:rsidR="00CB50F7" w:rsidRDefault="00CB50F7" w:rsidP="00CB50F7">
      <w:pPr>
        <w:pStyle w:val="ListParagraph"/>
      </w:pPr>
    </w:p>
    <w:p w14:paraId="3B184023" w14:textId="3D9C21F3" w:rsidR="00DC3A4F" w:rsidRDefault="00CB50F7" w:rsidP="00304519">
      <w:pPr>
        <w:pStyle w:val="ListParagraph"/>
        <w:numPr>
          <w:ilvl w:val="0"/>
          <w:numId w:val="11"/>
        </w:numPr>
      </w:pPr>
      <w:r>
        <w:t xml:space="preserve">Depreciation on assets under $10,000 would have been </w:t>
      </w:r>
      <w:r w:rsidR="006E2E46">
        <w:t xml:space="preserve">functionalized using </w:t>
      </w:r>
      <w:r w:rsidR="00D86A6F">
        <w:t xml:space="preserve">their location’s space. After they are no longer capitalized, where do you expect to see those costs show up </w:t>
      </w:r>
      <w:r w:rsidR="002767E9">
        <w:t xml:space="preserve">and how would they be functionalized </w:t>
      </w:r>
      <w:r w:rsidR="00D86A6F">
        <w:t>in a proposal?</w:t>
      </w:r>
      <w:r w:rsidR="00C41361">
        <w:t xml:space="preserve"> - CAS</w:t>
      </w:r>
    </w:p>
    <w:p w14:paraId="2D3F4623" w14:textId="77777777" w:rsidR="00071BB1" w:rsidRDefault="00071BB1" w:rsidP="00071BB1">
      <w:pPr>
        <w:pStyle w:val="ListParagraph"/>
      </w:pPr>
    </w:p>
    <w:p w14:paraId="2B531452" w14:textId="1F22731F" w:rsidR="00071BB1" w:rsidRDefault="00071BB1" w:rsidP="00304519">
      <w:pPr>
        <w:pStyle w:val="ListParagraph"/>
        <w:numPr>
          <w:ilvl w:val="0"/>
          <w:numId w:val="11"/>
        </w:numPr>
      </w:pPr>
      <w:r w:rsidRPr="00071BB1">
        <w:t>Can an institution's equipment threshold be changed at the beginning of any fiscal year upon submission of a rate impact schedule and approval from the cognizant agency? Is it required that an institution wait for approval to implement the change? Is it required that the change be done in conjunction with the submission of the Indirect Cost Rate Proposal?</w:t>
      </w:r>
      <w:r w:rsidR="00C41361">
        <w:t xml:space="preserve"> CAS, ONR </w:t>
      </w:r>
    </w:p>
    <w:p w14:paraId="09505ECA" w14:textId="77777777" w:rsidR="005155F8" w:rsidRDefault="005155F8" w:rsidP="005155F8">
      <w:pPr>
        <w:pStyle w:val="ListParagraph"/>
        <w:ind w:left="360"/>
      </w:pPr>
    </w:p>
    <w:p w14:paraId="6B87608F" w14:textId="52789C22" w:rsidR="00C72EA9" w:rsidRPr="00981EBD" w:rsidRDefault="006879D3" w:rsidP="00C72EA9">
      <w:pPr>
        <w:rPr>
          <w:b/>
          <w:bCs/>
          <w:sz w:val="24"/>
          <w:szCs w:val="24"/>
        </w:rPr>
      </w:pPr>
      <w:r w:rsidRPr="00981EBD">
        <w:rPr>
          <w:b/>
          <w:bCs/>
          <w:sz w:val="24"/>
          <w:szCs w:val="24"/>
        </w:rPr>
        <w:t>UG Change</w:t>
      </w:r>
      <w:r w:rsidR="005B28BF">
        <w:rPr>
          <w:b/>
          <w:bCs/>
          <w:sz w:val="24"/>
          <w:szCs w:val="24"/>
        </w:rPr>
        <w:t xml:space="preserve"> -</w:t>
      </w:r>
      <w:r w:rsidRPr="00981EBD">
        <w:rPr>
          <w:b/>
          <w:bCs/>
          <w:sz w:val="24"/>
          <w:szCs w:val="24"/>
        </w:rPr>
        <w:t xml:space="preserve"> Subs</w:t>
      </w:r>
      <w:r w:rsidR="00C72EA9" w:rsidRPr="00981EBD">
        <w:rPr>
          <w:b/>
          <w:bCs/>
          <w:sz w:val="24"/>
          <w:szCs w:val="24"/>
        </w:rPr>
        <w:t xml:space="preserve"> </w:t>
      </w:r>
    </w:p>
    <w:p w14:paraId="12E0920E" w14:textId="01F20249" w:rsidR="00E40060" w:rsidRDefault="00C72EA9" w:rsidP="00FB521C">
      <w:pPr>
        <w:pStyle w:val="ListParagraph"/>
        <w:numPr>
          <w:ilvl w:val="0"/>
          <w:numId w:val="11"/>
        </w:numPr>
      </w:pPr>
      <w:r>
        <w:t xml:space="preserve">In April 2024, OMB issued a </w:t>
      </w:r>
      <w:hyperlink r:id="rId10" w:history="1">
        <w:r w:rsidRPr="008B6D65">
          <w:rPr>
            <w:rStyle w:val="Hyperlink"/>
          </w:rPr>
          <w:t>Reference Guide</w:t>
        </w:r>
      </w:hyperlink>
      <w:r>
        <w:t xml:space="preserve"> with a section called </w:t>
      </w:r>
      <w:r w:rsidRPr="00E25D9B">
        <w:rPr>
          <w:u w:val="single"/>
        </w:rPr>
        <w:t>“Uniform Grants Guidance 2024 Revision: Burden Reduction”</w:t>
      </w:r>
      <w:r w:rsidRPr="004C4611">
        <w:t xml:space="preserve">.   </w:t>
      </w:r>
      <w:r>
        <w:t xml:space="preserve">The increase from $25,000 to $50,000 for the application of IDC is mentioned under a heading the says, “Recognizing Recipient Costs of Doing Business”, making it explicit that the intention is to allow recipients to increase recovery.  </w:t>
      </w:r>
      <w:r w:rsidR="00292F9C">
        <w:t xml:space="preserve"> Insisting on </w:t>
      </w:r>
      <w:r>
        <w:t xml:space="preserve">rate reductions </w:t>
      </w:r>
      <w:r w:rsidR="00E40060">
        <w:t xml:space="preserve">before implementing the new threshold is contrary to </w:t>
      </w:r>
      <w:r>
        <w:t>OMB’s clear intention</w:t>
      </w:r>
      <w:r w:rsidR="00E40060">
        <w:t>.</w:t>
      </w:r>
      <w:r w:rsidR="00AB5607">
        <w:t xml:space="preserve"> </w:t>
      </w:r>
      <w:r w:rsidR="00C466FF">
        <w:t>Shouldn’t the change be allowed without sacrificing points</w:t>
      </w:r>
      <w:r w:rsidR="00567596">
        <w:t>?</w:t>
      </w:r>
      <w:r w:rsidR="00A64CB9">
        <w:t xml:space="preserve"> </w:t>
      </w:r>
      <w:r w:rsidR="00C41361">
        <w:t xml:space="preserve">– CAS, ONR </w:t>
      </w:r>
    </w:p>
    <w:p w14:paraId="30A6BF55" w14:textId="3CE6F3BC" w:rsidR="00893F7F" w:rsidRPr="00893F7F" w:rsidRDefault="00893F7F" w:rsidP="00893F7F">
      <w:pPr>
        <w:pStyle w:val="ListParagraph"/>
        <w:numPr>
          <w:ilvl w:val="0"/>
          <w:numId w:val="11"/>
        </w:numPr>
      </w:pPr>
      <w:r w:rsidRPr="00893F7F">
        <w:lastRenderedPageBreak/>
        <w:t>If a rate agreement extends beyond October 1, 2024, and has the old MTDC definition, must the institution continue to exclude subcontract amounts above $25,000 from MTDC?   In other words, please clarify if institutions with existing rate agreements can start charging F&amp;A on subaward amounts between $25,000 and $50,000 immediately after October 1, 2024.</w:t>
      </w:r>
      <w:r w:rsidR="00444A12">
        <w:t xml:space="preserve"> - </w:t>
      </w:r>
      <w:r w:rsidR="00FC2729">
        <w:t>ONR</w:t>
      </w:r>
    </w:p>
    <w:p w14:paraId="57166130" w14:textId="77777777" w:rsidR="00E25D9B" w:rsidRPr="00E40A00" w:rsidRDefault="00E25D9B" w:rsidP="00E25D9B">
      <w:pPr>
        <w:pStyle w:val="ListParagraph"/>
        <w:ind w:left="360"/>
      </w:pPr>
    </w:p>
    <w:p w14:paraId="62819C36" w14:textId="2F6C45C4" w:rsidR="006879D3" w:rsidRDefault="00E40A00" w:rsidP="00F01C26">
      <w:pPr>
        <w:pStyle w:val="ListParagraph"/>
        <w:numPr>
          <w:ilvl w:val="0"/>
          <w:numId w:val="11"/>
        </w:numPr>
      </w:pPr>
      <w:r w:rsidRPr="00F01C26">
        <w:t xml:space="preserve">Does </w:t>
      </w:r>
      <w:r w:rsidR="00C466FF">
        <w:t xml:space="preserve">NIH’s </w:t>
      </w:r>
      <w:r w:rsidRPr="00F01C26">
        <w:t xml:space="preserve">8% cap on </w:t>
      </w:r>
      <w:r w:rsidRPr="00A72599">
        <w:rPr>
          <w:b/>
          <w:bCs/>
        </w:rPr>
        <w:t>foreign</w:t>
      </w:r>
      <w:r w:rsidRPr="00F01C26">
        <w:t xml:space="preserve"> subs go away with the April </w:t>
      </w:r>
      <w:r w:rsidR="006B5532">
        <w:t xml:space="preserve">2024 </w:t>
      </w:r>
      <w:r w:rsidRPr="00F01C26">
        <w:t>r</w:t>
      </w:r>
      <w:r w:rsidR="00C466FF">
        <w:t>e</w:t>
      </w:r>
      <w:r w:rsidRPr="00F01C26">
        <w:t>vis</w:t>
      </w:r>
      <w:r w:rsidR="00C466FF">
        <w:t>i</w:t>
      </w:r>
      <w:r w:rsidRPr="00F01C26">
        <w:t>on</w:t>
      </w:r>
      <w:r w:rsidR="00A72599">
        <w:t xml:space="preserve"> to </w:t>
      </w:r>
      <w:r w:rsidR="001B32F9">
        <w:t xml:space="preserve">15% for </w:t>
      </w:r>
      <w:r w:rsidR="001B32F9" w:rsidRPr="001B32F9">
        <w:rPr>
          <w:i/>
          <w:iCs/>
        </w:rPr>
        <w:t xml:space="preserve">de </w:t>
      </w:r>
      <w:proofErr w:type="spellStart"/>
      <w:r w:rsidR="001B32F9" w:rsidRPr="001B32F9">
        <w:rPr>
          <w:i/>
          <w:iCs/>
        </w:rPr>
        <w:t>minimus</w:t>
      </w:r>
      <w:proofErr w:type="spellEnd"/>
      <w:r w:rsidR="001B32F9">
        <w:t xml:space="preserve"> IDC?</w:t>
      </w:r>
      <w:r w:rsidR="00FC2729">
        <w:t xml:space="preserve"> - CAS</w:t>
      </w:r>
    </w:p>
    <w:p w14:paraId="38CFCC40" w14:textId="48EDE049" w:rsidR="006879D3" w:rsidRDefault="006879D3">
      <w:pPr>
        <w:rPr>
          <w:b/>
          <w:bCs/>
          <w:sz w:val="24"/>
          <w:szCs w:val="24"/>
        </w:rPr>
      </w:pPr>
      <w:r w:rsidRPr="00981EBD">
        <w:rPr>
          <w:b/>
          <w:bCs/>
          <w:sz w:val="24"/>
          <w:szCs w:val="24"/>
        </w:rPr>
        <w:t xml:space="preserve">UG Change </w:t>
      </w:r>
      <w:r w:rsidR="005B28BF">
        <w:rPr>
          <w:b/>
          <w:bCs/>
          <w:sz w:val="24"/>
          <w:szCs w:val="24"/>
        </w:rPr>
        <w:t xml:space="preserve">- </w:t>
      </w:r>
      <w:r w:rsidRPr="00981EBD">
        <w:rPr>
          <w:b/>
          <w:bCs/>
          <w:sz w:val="24"/>
          <w:szCs w:val="24"/>
        </w:rPr>
        <w:t xml:space="preserve">Timing </w:t>
      </w:r>
    </w:p>
    <w:p w14:paraId="0DFACE9F" w14:textId="105600A7" w:rsidR="009E2AC1" w:rsidRPr="00EC764D" w:rsidRDefault="009E2AC1" w:rsidP="007C57FE">
      <w:pPr>
        <w:pStyle w:val="ListParagraph"/>
        <w:numPr>
          <w:ilvl w:val="0"/>
          <w:numId w:val="11"/>
        </w:numPr>
        <w:rPr>
          <w:highlight w:val="yellow"/>
        </w:rPr>
      </w:pPr>
      <w:r w:rsidRPr="00EC764D">
        <w:t>Will rate extension requests based on pre-UG Update rates be considered? Would the university have to submit a rate impact statement for the change in subcontract exclusion and then accept a lower rate or can the negotiated rate using the then current definition of MTDC continue to be used?</w:t>
      </w:r>
      <w:r w:rsidR="00FC2729">
        <w:t xml:space="preserve"> - CAS</w:t>
      </w:r>
    </w:p>
    <w:p w14:paraId="75F6ABF5" w14:textId="77777777" w:rsidR="007E337D" w:rsidRPr="00EC764D" w:rsidRDefault="007E337D" w:rsidP="007E337D">
      <w:pPr>
        <w:pStyle w:val="ListParagraph"/>
        <w:rPr>
          <w:highlight w:val="yellow"/>
        </w:rPr>
      </w:pPr>
    </w:p>
    <w:p w14:paraId="6A91C9C6" w14:textId="16145500" w:rsidR="007E337D" w:rsidRPr="00EC764D" w:rsidRDefault="007E337D" w:rsidP="007C57FE">
      <w:pPr>
        <w:pStyle w:val="ListParagraph"/>
        <w:numPr>
          <w:ilvl w:val="0"/>
          <w:numId w:val="11"/>
        </w:numPr>
        <w:rPr>
          <w:highlight w:val="yellow"/>
        </w:rPr>
      </w:pPr>
      <w:r w:rsidRPr="00EC764D">
        <w:rPr>
          <w:highlight w:val="yellow"/>
        </w:rPr>
        <w:t xml:space="preserve"> </w:t>
      </w:r>
      <w:r w:rsidRPr="00EC764D">
        <w:t>For ONR schools, if FY25 is their base year, should the IHE calculate the new F&amp;A rates with the MTDC basis defined in the October 1,2024 changes to 2 CFR 200</w:t>
      </w:r>
      <w:r w:rsidR="000E7E69" w:rsidRPr="00EC764D">
        <w:t xml:space="preserve">? </w:t>
      </w:r>
      <w:r w:rsidRPr="00EC764D">
        <w:t>May the IHE implement the MTDC changes before negotiating new F&amp;A rates?</w:t>
      </w:r>
      <w:r w:rsidR="00FC2729">
        <w:t xml:space="preserve"> - ONR</w:t>
      </w:r>
    </w:p>
    <w:p w14:paraId="11F96C3A" w14:textId="77777777" w:rsidR="00BC4613" w:rsidRPr="00EC764D" w:rsidRDefault="00BC4613" w:rsidP="00BC4613">
      <w:pPr>
        <w:pStyle w:val="ListParagraph"/>
        <w:rPr>
          <w:sz w:val="20"/>
          <w:szCs w:val="20"/>
        </w:rPr>
      </w:pPr>
    </w:p>
    <w:p w14:paraId="3B499078" w14:textId="119E4CC3" w:rsidR="004269E9" w:rsidRPr="00EC764D" w:rsidRDefault="00851A1F" w:rsidP="007C57FE">
      <w:pPr>
        <w:pStyle w:val="ListParagraph"/>
        <w:numPr>
          <w:ilvl w:val="0"/>
          <w:numId w:val="11"/>
        </w:numPr>
        <w:rPr>
          <w:b/>
          <w:bCs/>
          <w:sz w:val="24"/>
          <w:szCs w:val="24"/>
          <w:highlight w:val="yellow"/>
        </w:rPr>
      </w:pPr>
      <w:r w:rsidRPr="00EC764D">
        <w:t xml:space="preserve">What is the timing of the allowability of using the higher </w:t>
      </w:r>
      <w:r w:rsidRPr="00EC764D">
        <w:rPr>
          <w:i/>
          <w:iCs/>
        </w:rPr>
        <w:t xml:space="preserve">de </w:t>
      </w:r>
      <w:proofErr w:type="spellStart"/>
      <w:r w:rsidRPr="00EC764D">
        <w:rPr>
          <w:i/>
          <w:iCs/>
        </w:rPr>
        <w:t>minimus</w:t>
      </w:r>
      <w:proofErr w:type="spellEnd"/>
      <w:r w:rsidRPr="00EC764D">
        <w:t xml:space="preserve"> rate of 15%? </w:t>
      </w:r>
      <w:r w:rsidR="009F487D" w:rsidRPr="00EC764D">
        <w:t xml:space="preserve"> This change would not affect the base or the rate, so</w:t>
      </w:r>
      <w:r w:rsidR="003373E8" w:rsidRPr="00EC764D">
        <w:t xml:space="preserve"> institutions probably don’t have to do an impact analysis. </w:t>
      </w:r>
      <w:r w:rsidR="00653DD3" w:rsidRPr="00EC764D">
        <w:t xml:space="preserve">Is that right? </w:t>
      </w:r>
      <w:r w:rsidR="004269E9" w:rsidRPr="00EC764D">
        <w:t xml:space="preserve"> Do institutions have to wait for the </w:t>
      </w:r>
      <w:r w:rsidR="00685DDE" w:rsidRPr="00EC764D">
        <w:t xml:space="preserve">first fiscal year after October 1, 2024?  </w:t>
      </w:r>
      <w:proofErr w:type="gramStart"/>
      <w:r w:rsidR="00685DDE" w:rsidRPr="00EC764D">
        <w:t>Or</w:t>
      </w:r>
      <w:r w:rsidR="0013546F" w:rsidRPr="00EC764D">
        <w:t>,</w:t>
      </w:r>
      <w:proofErr w:type="gramEnd"/>
      <w:r w:rsidR="00685DDE" w:rsidRPr="00EC764D">
        <w:t xml:space="preserve"> can they start using 15% </w:t>
      </w:r>
      <w:r w:rsidR="00A17B34" w:rsidRPr="00EC764D">
        <w:t>any time</w:t>
      </w:r>
      <w:r w:rsidR="00685DDE" w:rsidRPr="00EC764D">
        <w:t xml:space="preserve"> after October 1, 2024</w:t>
      </w:r>
      <w:r w:rsidR="00F029F0" w:rsidRPr="00EC764D">
        <w:t>, if budgets allow</w:t>
      </w:r>
      <w:r w:rsidR="00685DDE" w:rsidRPr="00EC764D">
        <w:t xml:space="preserve">?  </w:t>
      </w:r>
      <w:r w:rsidR="00CA0182" w:rsidRPr="00EC764D">
        <w:t>Or</w:t>
      </w:r>
      <w:r w:rsidR="0013546F" w:rsidRPr="00EC764D">
        <w:t xml:space="preserve"> does the award (not subaward) need to be issued after October 1, 2024</w:t>
      </w:r>
      <w:r w:rsidR="000E7E69" w:rsidRPr="00EC764D">
        <w:t xml:space="preserve">? </w:t>
      </w:r>
      <w:r w:rsidR="00F029F0" w:rsidRPr="00EC764D">
        <w:t>Some other time?</w:t>
      </w:r>
      <w:r w:rsidR="00E8058E">
        <w:t xml:space="preserve"> - CAS</w:t>
      </w:r>
    </w:p>
    <w:p w14:paraId="03A9ADD3" w14:textId="77777777" w:rsidR="00DF2A57" w:rsidRPr="00EC764D" w:rsidRDefault="00DF2A57" w:rsidP="00DF2A57">
      <w:pPr>
        <w:pStyle w:val="ListParagraph"/>
        <w:ind w:left="360"/>
        <w:rPr>
          <w:highlight w:val="yellow"/>
        </w:rPr>
      </w:pPr>
    </w:p>
    <w:p w14:paraId="1A0DD066" w14:textId="60BF97FB" w:rsidR="00332FE4" w:rsidRPr="00EC764D" w:rsidRDefault="00BD36D0" w:rsidP="00F42CE7">
      <w:pPr>
        <w:pStyle w:val="ListParagraph"/>
        <w:numPr>
          <w:ilvl w:val="0"/>
          <w:numId w:val="11"/>
        </w:numPr>
        <w:rPr>
          <w:highlight w:val="yellow"/>
        </w:rPr>
      </w:pPr>
      <w:r w:rsidRPr="00EC764D">
        <w:t>How does revised UG affect your agency specifically</w:t>
      </w:r>
      <w:r w:rsidR="00AE68A8" w:rsidRPr="00EC764D">
        <w:t xml:space="preserve">? </w:t>
      </w:r>
      <w:r w:rsidR="00E8058E">
        <w:t>CAS, ONR</w:t>
      </w:r>
    </w:p>
    <w:p w14:paraId="1F008B09" w14:textId="77777777" w:rsidR="00332FE4" w:rsidRPr="00EC764D" w:rsidRDefault="00332FE4" w:rsidP="00332FE4">
      <w:pPr>
        <w:pStyle w:val="ListParagraph"/>
      </w:pPr>
    </w:p>
    <w:p w14:paraId="1631BB10" w14:textId="1CF237FD" w:rsidR="00F42CE7" w:rsidRPr="00EC764D" w:rsidRDefault="00C66019" w:rsidP="00F42CE7">
      <w:pPr>
        <w:pStyle w:val="ListParagraph"/>
        <w:numPr>
          <w:ilvl w:val="0"/>
          <w:numId w:val="11"/>
        </w:numPr>
        <w:rPr>
          <w:highlight w:val="yellow"/>
        </w:rPr>
      </w:pPr>
      <w:r w:rsidRPr="00EC764D">
        <w:t>Please provide more insights from the Federal perspectives on the new Uniform Guidance</w:t>
      </w:r>
      <w:r w:rsidR="00E8058E">
        <w:t>. – CAS, ONR, DCAA</w:t>
      </w:r>
    </w:p>
    <w:p w14:paraId="5BF3FEA9" w14:textId="7E31BE90" w:rsidR="005D2003" w:rsidRPr="00EC764D" w:rsidRDefault="006B2269">
      <w:pPr>
        <w:rPr>
          <w:b/>
          <w:bCs/>
        </w:rPr>
      </w:pPr>
      <w:r w:rsidRPr="00EC764D">
        <w:rPr>
          <w:b/>
          <w:bCs/>
        </w:rPr>
        <w:t>UG</w:t>
      </w:r>
      <w:r w:rsidR="001C5657" w:rsidRPr="00EC764D">
        <w:rPr>
          <w:b/>
          <w:bCs/>
        </w:rPr>
        <w:t xml:space="preserve"> Change – Unused Leave</w:t>
      </w:r>
    </w:p>
    <w:p w14:paraId="1E2828C0" w14:textId="02816804" w:rsidR="001C5657" w:rsidRPr="00EC764D" w:rsidRDefault="00B62921" w:rsidP="001C5657">
      <w:pPr>
        <w:pStyle w:val="ListParagraph"/>
        <w:numPr>
          <w:ilvl w:val="0"/>
          <w:numId w:val="11"/>
        </w:numPr>
      </w:pPr>
      <w:r w:rsidRPr="00EC764D">
        <w:t>Will there be a technical correction to UG to state that fringe benefit rates for terminal leave are still allowable?</w:t>
      </w:r>
      <w:r w:rsidR="00E8058E">
        <w:t xml:space="preserve"> – Gil </w:t>
      </w:r>
    </w:p>
    <w:p w14:paraId="5523CD8F" w14:textId="51D6DAC9" w:rsidR="00381D4D" w:rsidRDefault="00CD05A3" w:rsidP="00CD05A3">
      <w:pPr>
        <w:rPr>
          <w:b/>
          <w:bCs/>
          <w:sz w:val="24"/>
          <w:szCs w:val="24"/>
        </w:rPr>
      </w:pPr>
      <w:r w:rsidRPr="00CD05A3">
        <w:rPr>
          <w:b/>
          <w:bCs/>
          <w:sz w:val="24"/>
          <w:szCs w:val="24"/>
        </w:rPr>
        <w:t>UG Change – DS-2 Elimination</w:t>
      </w:r>
    </w:p>
    <w:p w14:paraId="64761D7A" w14:textId="2C4F4C40" w:rsidR="00CD05A3" w:rsidRPr="00EC764D" w:rsidRDefault="00FD755E" w:rsidP="00CD05A3">
      <w:pPr>
        <w:pStyle w:val="ListParagraph"/>
        <w:numPr>
          <w:ilvl w:val="0"/>
          <w:numId w:val="11"/>
        </w:numPr>
      </w:pPr>
      <w:r w:rsidRPr="00EC764D">
        <w:t xml:space="preserve">Although the UG revisions remove the requirement to file a DS-2 for IHEs receiving $50 million or more in federal awards, there is still a requirement to disclose accounting practices per FAR. </w:t>
      </w:r>
      <w:r w:rsidR="00262404" w:rsidRPr="00EC764D">
        <w:t xml:space="preserve"> </w:t>
      </w:r>
      <w:proofErr w:type="gramStart"/>
      <w:r w:rsidRPr="00EC764D">
        <w:t>In the event that</w:t>
      </w:r>
      <w:proofErr w:type="gramEnd"/>
      <w:r w:rsidRPr="00EC764D">
        <w:t xml:space="preserve"> a university has CAS covered contracts, should we assume that we will need to continue to maintain our DS-2 and submit amendments as needed (as we do currently)?</w:t>
      </w:r>
      <w:r w:rsidR="00E8058E">
        <w:t xml:space="preserve"> – DCAA, ONR</w:t>
      </w:r>
    </w:p>
    <w:p w14:paraId="50DAED3B" w14:textId="77777777" w:rsidR="00D27D70" w:rsidRDefault="00D27D70" w:rsidP="00D27D70">
      <w:pPr>
        <w:pStyle w:val="ListParagraph"/>
      </w:pPr>
    </w:p>
    <w:p w14:paraId="4DB50CFD" w14:textId="46973CC0" w:rsidR="006879D3" w:rsidRDefault="0013039D">
      <w:pPr>
        <w:rPr>
          <w:b/>
          <w:bCs/>
          <w:sz w:val="24"/>
          <w:szCs w:val="24"/>
        </w:rPr>
      </w:pPr>
      <w:r w:rsidRPr="00981EBD">
        <w:rPr>
          <w:b/>
          <w:bCs/>
          <w:sz w:val="24"/>
          <w:szCs w:val="24"/>
        </w:rPr>
        <w:t>Service Centers</w:t>
      </w:r>
    </w:p>
    <w:p w14:paraId="5D7E00AE" w14:textId="4F861FFD" w:rsidR="00DC6777" w:rsidRDefault="0080437B" w:rsidP="008A29BF">
      <w:pPr>
        <w:pStyle w:val="ListParagraph"/>
        <w:numPr>
          <w:ilvl w:val="0"/>
          <w:numId w:val="11"/>
        </w:numPr>
      </w:pPr>
      <w:r w:rsidRPr="00ED1948">
        <w:t>What criteria are relevant in determining the</w:t>
      </w:r>
      <w:r w:rsidR="006D28CF">
        <w:t xml:space="preserve"> </w:t>
      </w:r>
      <w:r w:rsidRPr="00ED1948">
        <w:t>allowability</w:t>
      </w:r>
      <w:r w:rsidR="006D28CF">
        <w:t xml:space="preserve"> of deficits for </w:t>
      </w:r>
      <w:r w:rsidR="00035BAF">
        <w:t xml:space="preserve">on-campus </w:t>
      </w:r>
      <w:r w:rsidR="006D28CF">
        <w:t>cafeterias for employee u</w:t>
      </w:r>
      <w:r w:rsidR="003E0FF6">
        <w:t>se</w:t>
      </w:r>
      <w:r w:rsidRPr="00ED1948">
        <w:t>?  Subpart E section 200.437</w:t>
      </w:r>
      <w:r w:rsidR="009C56D9">
        <w:t>(c.)</w:t>
      </w:r>
      <w:r w:rsidR="00DC6777">
        <w:t xml:space="preserve"> says that losses from food services are </w:t>
      </w:r>
      <w:r w:rsidRPr="00ED1948">
        <w:t xml:space="preserve">allowable </w:t>
      </w:r>
      <w:r w:rsidRPr="00ED1948">
        <w:lastRenderedPageBreak/>
        <w:t xml:space="preserve">only if the objective is to operate them on a break-even basis, or if we can demonstrate special circumstances, or with the approval of the cognizant agency.  </w:t>
      </w:r>
    </w:p>
    <w:p w14:paraId="5D55A5B9" w14:textId="77777777" w:rsidR="00193F3C" w:rsidRDefault="0080437B" w:rsidP="00DC6777">
      <w:pPr>
        <w:pStyle w:val="ListParagraph"/>
        <w:numPr>
          <w:ilvl w:val="1"/>
          <w:numId w:val="11"/>
        </w:numPr>
      </w:pPr>
      <w:r w:rsidRPr="00ED1948">
        <w:t xml:space="preserve">Would break-even be measured including the allocations of building depreciation, equipment depreciation, plant O&amp;M, and G&amp;A?  </w:t>
      </w:r>
    </w:p>
    <w:p w14:paraId="1CE14FB5" w14:textId="77777777" w:rsidR="00193F3C" w:rsidRDefault="0080437B" w:rsidP="00DC6777">
      <w:pPr>
        <w:pStyle w:val="ListParagraph"/>
        <w:numPr>
          <w:ilvl w:val="1"/>
          <w:numId w:val="11"/>
        </w:numPr>
      </w:pPr>
      <w:r w:rsidRPr="00ED1948">
        <w:t xml:space="preserve">If allowable, presumably the charge to the benefits pool should be treated as an applicable credit in the F&amp;A proposal.  Which pool(s) should be credited?  </w:t>
      </w:r>
    </w:p>
    <w:p w14:paraId="2469CCB3" w14:textId="7DC074DF" w:rsidR="0080437B" w:rsidRPr="00ED1948" w:rsidRDefault="0080437B" w:rsidP="00DC6777">
      <w:pPr>
        <w:pStyle w:val="ListParagraph"/>
        <w:numPr>
          <w:ilvl w:val="1"/>
          <w:numId w:val="11"/>
        </w:numPr>
      </w:pPr>
      <w:r w:rsidRPr="00ED1948">
        <w:t xml:space="preserve">What might qualify as “special </w:t>
      </w:r>
      <w:r w:rsidR="008068D6" w:rsidRPr="00ED1948">
        <w:t>circumstances” --</w:t>
      </w:r>
      <w:r w:rsidRPr="00ED1948">
        <w:t xml:space="preserve"> remoteness, cost of alternatives?</w:t>
      </w:r>
    </w:p>
    <w:p w14:paraId="41798D95" w14:textId="5D2A0FFD" w:rsidR="0080437B" w:rsidRPr="00ED1948" w:rsidRDefault="00365770" w:rsidP="00365770">
      <w:pPr>
        <w:pStyle w:val="ListParagraph"/>
        <w:numPr>
          <w:ilvl w:val="1"/>
          <w:numId w:val="11"/>
        </w:numPr>
      </w:pPr>
      <w:r>
        <w:t xml:space="preserve">Would the same treatment and allowability apply to other </w:t>
      </w:r>
      <w:r w:rsidR="009C77AC">
        <w:t xml:space="preserve">employee health and welfare expenses and services, like </w:t>
      </w:r>
      <w:r w:rsidR="0080437B" w:rsidRPr="00ED1948">
        <w:t xml:space="preserve">parking, childcare centers, </w:t>
      </w:r>
      <w:r w:rsidR="001D6E2E">
        <w:t xml:space="preserve">or </w:t>
      </w:r>
      <w:r w:rsidR="0080437B" w:rsidRPr="00ED1948">
        <w:t xml:space="preserve">campus </w:t>
      </w:r>
      <w:r w:rsidR="001D6E2E">
        <w:t>t</w:t>
      </w:r>
      <w:r w:rsidR="0080437B" w:rsidRPr="00ED1948">
        <w:t>ransportation</w:t>
      </w:r>
      <w:r w:rsidR="001D6E2E">
        <w:t xml:space="preserve">? </w:t>
      </w:r>
      <w:r w:rsidR="00A55DBB">
        <w:t xml:space="preserve"> -</w:t>
      </w:r>
      <w:r w:rsidR="00885154">
        <w:t xml:space="preserve"> DCAA</w:t>
      </w:r>
    </w:p>
    <w:p w14:paraId="6F395A14" w14:textId="77777777" w:rsidR="0080437B" w:rsidRDefault="0080437B" w:rsidP="0080437B">
      <w:pPr>
        <w:pStyle w:val="ListParagraph"/>
      </w:pPr>
    </w:p>
    <w:p w14:paraId="3DF3016C" w14:textId="3038FC0B" w:rsidR="0013039D" w:rsidRDefault="0013039D">
      <w:pPr>
        <w:rPr>
          <w:b/>
          <w:bCs/>
          <w:sz w:val="24"/>
          <w:szCs w:val="24"/>
        </w:rPr>
      </w:pPr>
      <w:r w:rsidRPr="00981EBD">
        <w:rPr>
          <w:b/>
          <w:bCs/>
          <w:sz w:val="24"/>
          <w:szCs w:val="24"/>
        </w:rPr>
        <w:t xml:space="preserve">Space and Depreciation </w:t>
      </w:r>
    </w:p>
    <w:p w14:paraId="7D6608E2" w14:textId="28A89034" w:rsidR="00E5386A" w:rsidRDefault="008A0797" w:rsidP="007C71D4">
      <w:pPr>
        <w:pStyle w:val="ListParagraph"/>
        <w:numPr>
          <w:ilvl w:val="0"/>
          <w:numId w:val="11"/>
        </w:numPr>
      </w:pPr>
      <w:r w:rsidRPr="009B71D2">
        <w:t xml:space="preserve">We have heard that when a PI says that they spend 75% of their time doing research, CAS requires that 75% of their salary should be included in the research base as "committed cost share". </w:t>
      </w:r>
      <w:r w:rsidR="00E5386A">
        <w:t xml:space="preserve"> </w:t>
      </w:r>
      <w:r w:rsidR="007E3107">
        <w:t xml:space="preserve"> </w:t>
      </w:r>
      <w:r w:rsidR="007A25D5">
        <w:t>When a P</w:t>
      </w:r>
      <w:r w:rsidR="00182D2D">
        <w:t>I</w:t>
      </w:r>
      <w:r w:rsidR="007A25D5">
        <w:t xml:space="preserve"> makes such a statement, </w:t>
      </w:r>
      <w:r w:rsidR="00043989">
        <w:t xml:space="preserve">however, </w:t>
      </w:r>
      <w:r w:rsidR="007A25D5">
        <w:t xml:space="preserve">they are </w:t>
      </w:r>
      <w:r w:rsidR="00182D2D">
        <w:t xml:space="preserve">usually referring to their agreement with the institution for time protected from instruction or administrative duties. They are not making the fundamental distinction that </w:t>
      </w:r>
      <w:r w:rsidR="00B05DB2">
        <w:t>Appendix III</w:t>
      </w:r>
      <w:r w:rsidR="003359B5">
        <w:t xml:space="preserve"> </w:t>
      </w:r>
      <w:r w:rsidR="00182D2D">
        <w:t xml:space="preserve">requires between </w:t>
      </w:r>
      <w:r w:rsidR="007A25D5">
        <w:t>Departmental Research</w:t>
      </w:r>
      <w:r w:rsidR="0009443D">
        <w:t xml:space="preserve"> (IDR) </w:t>
      </w:r>
      <w:r w:rsidR="003359B5">
        <w:t>and Organized Research</w:t>
      </w:r>
      <w:r w:rsidR="0009443D">
        <w:t xml:space="preserve"> (OR)</w:t>
      </w:r>
      <w:r w:rsidR="003359B5">
        <w:t xml:space="preserve">. Nor </w:t>
      </w:r>
      <w:r w:rsidR="00707B38">
        <w:t xml:space="preserve">is the PI </w:t>
      </w:r>
      <w:r w:rsidR="003359B5">
        <w:t xml:space="preserve">making the distinction between </w:t>
      </w:r>
      <w:r w:rsidR="00797011">
        <w:t xml:space="preserve">work devoted to sponsored </w:t>
      </w:r>
      <w:r w:rsidR="005A3E8E">
        <w:t xml:space="preserve">projects </w:t>
      </w:r>
      <w:r w:rsidR="00797011">
        <w:t xml:space="preserve">beyond what is committed (VUCS) and what is </w:t>
      </w:r>
      <w:r w:rsidR="00043989">
        <w:t xml:space="preserve">promised in sponsored agreements. </w:t>
      </w:r>
      <w:r w:rsidR="00125174">
        <w:t>Salary for t</w:t>
      </w:r>
      <w:r w:rsidR="00FB5F36">
        <w:t xml:space="preserve">hese two categories </w:t>
      </w:r>
      <w:r w:rsidR="00A755EC">
        <w:t xml:space="preserve">(IDR and VUCS) </w:t>
      </w:r>
      <w:r w:rsidR="00FB5F36">
        <w:t xml:space="preserve">of protected effort </w:t>
      </w:r>
      <w:r w:rsidR="00CE400A">
        <w:t xml:space="preserve">is </w:t>
      </w:r>
      <w:r w:rsidR="00125174">
        <w:t xml:space="preserve">explicitly excluded from the </w:t>
      </w:r>
      <w:r w:rsidR="00DD46FE">
        <w:t xml:space="preserve">OR </w:t>
      </w:r>
      <w:r w:rsidR="00125174">
        <w:t>base</w:t>
      </w:r>
      <w:r w:rsidR="00CE400A">
        <w:t xml:space="preserve">. </w:t>
      </w:r>
      <w:r w:rsidR="00F433C4">
        <w:t xml:space="preserve">Does CAS continue to </w:t>
      </w:r>
      <w:r w:rsidR="0009443D">
        <w:t>take this positio</w:t>
      </w:r>
      <w:r w:rsidR="00870063">
        <w:t xml:space="preserve">n that deliberately overstates the OR </w:t>
      </w:r>
      <w:proofErr w:type="gramStart"/>
      <w:r w:rsidR="00870063">
        <w:t>base</w:t>
      </w:r>
      <w:r w:rsidR="00CE400A">
        <w:t>?</w:t>
      </w:r>
      <w:r w:rsidR="00885154">
        <w:t>-</w:t>
      </w:r>
      <w:proofErr w:type="gramEnd"/>
      <w:r w:rsidR="00885154">
        <w:t xml:space="preserve"> CAS</w:t>
      </w:r>
    </w:p>
    <w:p w14:paraId="347F24B9" w14:textId="77777777" w:rsidR="00CE400A" w:rsidRDefault="00CE400A" w:rsidP="00E5386A">
      <w:pPr>
        <w:pStyle w:val="ListParagraph"/>
        <w:ind w:left="360"/>
      </w:pPr>
    </w:p>
    <w:p w14:paraId="41872364" w14:textId="0DC614C2" w:rsidR="00537CFB" w:rsidRPr="003512B9" w:rsidRDefault="000B2FB0" w:rsidP="00CE400A">
      <w:pPr>
        <w:pStyle w:val="ListParagraph"/>
        <w:numPr>
          <w:ilvl w:val="0"/>
          <w:numId w:val="11"/>
        </w:numPr>
        <w:rPr>
          <w:highlight w:val="yellow"/>
        </w:rPr>
      </w:pPr>
      <w:r w:rsidRPr="009B71D2">
        <w:t xml:space="preserve">If a faculty member is hired as a research professor and expected to cover 75% of their salary with external grant funds, but has no grants yet, during the Indirect Cost space survey should we code their lab 75% organized research? It, therefore, follows that when they are in their lab doing research the space should be considered 75-100% organized research </w:t>
      </w:r>
      <w:r w:rsidR="00156D88" w:rsidRPr="009B71D2">
        <w:t>space,</w:t>
      </w:r>
      <w:r w:rsidR="00A86C97">
        <w:t xml:space="preserve"> and their salary </w:t>
      </w:r>
      <w:r w:rsidR="00DD46FE">
        <w:t xml:space="preserve">would be </w:t>
      </w:r>
      <w:r w:rsidR="00A86C97">
        <w:t xml:space="preserve">in the OR base.  </w:t>
      </w:r>
      <w:r w:rsidR="00CA3DD2">
        <w:t>Is that what C</w:t>
      </w:r>
      <w:r w:rsidR="00E511F4">
        <w:t>AS</w:t>
      </w:r>
      <w:r w:rsidR="00CA3DD2">
        <w:t xml:space="preserve"> </w:t>
      </w:r>
      <w:r w:rsidR="001627CE">
        <w:t>expecting</w:t>
      </w:r>
      <w:r w:rsidR="00CA3DD2">
        <w:t>?</w:t>
      </w:r>
      <w:r w:rsidR="00885154">
        <w:t xml:space="preserve"> - CAS</w:t>
      </w:r>
    </w:p>
    <w:p w14:paraId="3C807CE2" w14:textId="77777777" w:rsidR="000B2FB0" w:rsidRPr="009B71D2" w:rsidRDefault="000B2FB0" w:rsidP="000B2FB0">
      <w:pPr>
        <w:pStyle w:val="ListParagraph"/>
      </w:pPr>
    </w:p>
    <w:p w14:paraId="2843C5D1" w14:textId="6815952D" w:rsidR="000B2FB0" w:rsidRPr="002B150D" w:rsidRDefault="000B2FB0" w:rsidP="00930F7C">
      <w:pPr>
        <w:pStyle w:val="ListParagraph"/>
        <w:numPr>
          <w:ilvl w:val="0"/>
          <w:numId w:val="11"/>
        </w:numPr>
        <w:rPr>
          <w:highlight w:val="yellow"/>
        </w:rPr>
      </w:pPr>
      <w:r>
        <w:t xml:space="preserve">Arrays of servers are </w:t>
      </w:r>
      <w:r w:rsidR="007F76BF">
        <w:t xml:space="preserve">usually </w:t>
      </w:r>
      <w:r>
        <w:t>housed in dedicated room</w:t>
      </w:r>
      <w:r w:rsidR="00DD46FE">
        <w:t>s</w:t>
      </w:r>
      <w:r>
        <w:t xml:space="preserve"> with </w:t>
      </w:r>
      <w:r w:rsidR="007F76BF">
        <w:t xml:space="preserve">expensive </w:t>
      </w:r>
      <w:r>
        <w:t>security and powe</w:t>
      </w:r>
      <w:r w:rsidR="007C6E79">
        <w:t>r, sometimes in locations separate from campus</w:t>
      </w:r>
      <w:r w:rsidR="00E31977">
        <w:t xml:space="preserve">. Some arrays handle research </w:t>
      </w:r>
      <w:r w:rsidR="006704F7">
        <w:t>for individual labs or research groups, some</w:t>
      </w:r>
      <w:r w:rsidR="00930F7C">
        <w:t xml:space="preserve"> arrays support </w:t>
      </w:r>
      <w:r w:rsidR="006704F7">
        <w:t xml:space="preserve">entire campuses.  </w:t>
      </w:r>
      <w:r>
        <w:t xml:space="preserve">How do you prefer to see </w:t>
      </w:r>
      <w:r w:rsidR="006704F7">
        <w:t xml:space="preserve">depreciation and </w:t>
      </w:r>
      <w:r w:rsidR="00D22CCF">
        <w:t xml:space="preserve">O&amp;M expenses </w:t>
      </w:r>
      <w:r w:rsidR="00E31977">
        <w:t>functionalized</w:t>
      </w:r>
      <w:r w:rsidR="00F64F5F">
        <w:t xml:space="preserve"> for these arrays when the actual benefiting users are never in the space</w:t>
      </w:r>
      <w:r w:rsidR="00E31977">
        <w:t>?</w:t>
      </w:r>
      <w:r w:rsidR="00885154">
        <w:t xml:space="preserve"> – ONR </w:t>
      </w:r>
    </w:p>
    <w:p w14:paraId="23A1FD5D" w14:textId="77777777" w:rsidR="00253DC0" w:rsidRDefault="00253DC0" w:rsidP="00253DC0">
      <w:pPr>
        <w:pStyle w:val="ListParagraph"/>
        <w:ind w:left="360"/>
      </w:pPr>
    </w:p>
    <w:p w14:paraId="5269EEE6" w14:textId="081B03AB" w:rsidR="00FF5EFF" w:rsidRDefault="00635D03" w:rsidP="008A29BF">
      <w:pPr>
        <w:pStyle w:val="ListParagraph"/>
        <w:numPr>
          <w:ilvl w:val="0"/>
          <w:numId w:val="11"/>
        </w:numPr>
      </w:pPr>
      <w:r>
        <w:t>Depreciation of c</w:t>
      </w:r>
      <w:r w:rsidR="006B3E93" w:rsidRPr="00D66193">
        <w:t xml:space="preserve">apital equipment purchased </w:t>
      </w:r>
      <w:r w:rsidR="0087213F">
        <w:t>“</w:t>
      </w:r>
      <w:r w:rsidR="00464526">
        <w:t xml:space="preserve">solely for </w:t>
      </w:r>
      <w:r w:rsidR="00855DB8">
        <w:t xml:space="preserve">the performance of </w:t>
      </w:r>
      <w:r w:rsidR="006B3E93" w:rsidRPr="00D66193">
        <w:t xml:space="preserve">a non-federal </w:t>
      </w:r>
      <w:r w:rsidR="0087213F">
        <w:t xml:space="preserve">award” </w:t>
      </w:r>
      <w:r w:rsidR="006B3E93" w:rsidRPr="00D66193">
        <w:t xml:space="preserve">is </w:t>
      </w:r>
      <w:r>
        <w:t xml:space="preserve">excluded from </w:t>
      </w:r>
      <w:r w:rsidR="006763DD">
        <w:t xml:space="preserve">the </w:t>
      </w:r>
      <w:r w:rsidR="006716BB">
        <w:t xml:space="preserve">IDC rate. </w:t>
      </w:r>
      <w:r w:rsidR="00E21D3A">
        <w:t>2 CFR 200.436 (</w:t>
      </w:r>
      <w:r w:rsidR="00CF7775">
        <w:t>c.) (</w:t>
      </w:r>
      <w:r w:rsidR="00E21D3A">
        <w:t>4</w:t>
      </w:r>
      <w:r w:rsidR="00FF5EFF">
        <w:t xml:space="preserve">.) </w:t>
      </w:r>
    </w:p>
    <w:p w14:paraId="44FEDF98" w14:textId="77777777" w:rsidR="00FF5EFF" w:rsidRDefault="00FF5EFF" w:rsidP="00FF5EFF">
      <w:pPr>
        <w:pStyle w:val="ListParagraph"/>
      </w:pPr>
    </w:p>
    <w:p w14:paraId="6FCE3E76" w14:textId="2943DF48" w:rsidR="00CA0F27" w:rsidRDefault="006B3E93" w:rsidP="004952A7">
      <w:pPr>
        <w:pStyle w:val="ListParagraph"/>
        <w:numPr>
          <w:ilvl w:val="0"/>
          <w:numId w:val="12"/>
        </w:numPr>
      </w:pPr>
      <w:r w:rsidRPr="00D66193">
        <w:t xml:space="preserve">At the end of the award, </w:t>
      </w:r>
      <w:r w:rsidR="007E6C13" w:rsidRPr="00D66193">
        <w:t>the title</w:t>
      </w:r>
      <w:r w:rsidRPr="00D66193">
        <w:t xml:space="preserve"> passes to the university and the equipment is used for </w:t>
      </w:r>
      <w:r w:rsidR="004252BE">
        <w:t xml:space="preserve">organized </w:t>
      </w:r>
      <w:r w:rsidRPr="00D66193">
        <w:t xml:space="preserve">research during its remaining useful life.  Is the remaining depreciation post-award eligible for inclusion in the </w:t>
      </w:r>
      <w:r w:rsidR="006716BB">
        <w:t xml:space="preserve">IDC </w:t>
      </w:r>
      <w:r w:rsidRPr="00D66193">
        <w:t>rate?</w:t>
      </w:r>
    </w:p>
    <w:p w14:paraId="51F0DF45" w14:textId="77777777" w:rsidR="004252BE" w:rsidRDefault="004252BE" w:rsidP="004252BE">
      <w:pPr>
        <w:pStyle w:val="ListParagraph"/>
        <w:ind w:left="1080"/>
      </w:pPr>
    </w:p>
    <w:p w14:paraId="245DA626" w14:textId="7516218F" w:rsidR="00FC0949" w:rsidRDefault="004252BE" w:rsidP="004952A7">
      <w:pPr>
        <w:pStyle w:val="ListParagraph"/>
        <w:numPr>
          <w:ilvl w:val="0"/>
          <w:numId w:val="12"/>
        </w:numPr>
      </w:pPr>
      <w:r>
        <w:lastRenderedPageBreak/>
        <w:t xml:space="preserve">If </w:t>
      </w:r>
      <w:r w:rsidR="00E964BC">
        <w:t xml:space="preserve">the </w:t>
      </w:r>
      <w:r w:rsidR="007A1000">
        <w:t xml:space="preserve">equipment </w:t>
      </w:r>
      <w:r w:rsidR="008F3BE0">
        <w:t xml:space="preserve">was purchased </w:t>
      </w:r>
      <w:r w:rsidR="007D618F">
        <w:t xml:space="preserve">from a non-federal award </w:t>
      </w:r>
      <w:r w:rsidR="008E0C03">
        <w:t xml:space="preserve">for use by a research group </w:t>
      </w:r>
      <w:r w:rsidR="00FC0949">
        <w:t xml:space="preserve">across a variety of projects </w:t>
      </w:r>
      <w:r w:rsidR="008E0C03">
        <w:t>(i.e., not “solely for the performance of a non-federal award”)</w:t>
      </w:r>
      <w:r w:rsidR="00FC0949">
        <w:t xml:space="preserve">, is the depreciation eligible for inclusion in the </w:t>
      </w:r>
      <w:r w:rsidR="006716BB">
        <w:t>IDC</w:t>
      </w:r>
      <w:r w:rsidR="00FC0949">
        <w:t xml:space="preserve"> rate</w:t>
      </w:r>
      <w:r w:rsidR="00FA6187">
        <w:t xml:space="preserve"> from acquisition</w:t>
      </w:r>
      <w:r w:rsidR="00FC0949">
        <w:t>?</w:t>
      </w:r>
      <w:r w:rsidR="00FA6187">
        <w:t xml:space="preserve">  From the time the award is </w:t>
      </w:r>
      <w:proofErr w:type="gramStart"/>
      <w:r w:rsidR="00FA6187">
        <w:t>over?</w:t>
      </w:r>
      <w:proofErr w:type="gramEnd"/>
      <w:r w:rsidR="001950BD">
        <w:t xml:space="preserve"> -DCAA</w:t>
      </w:r>
    </w:p>
    <w:p w14:paraId="3EA6A927" w14:textId="77777777" w:rsidR="000315E5" w:rsidRDefault="000315E5" w:rsidP="000315E5">
      <w:pPr>
        <w:pStyle w:val="ListParagraph"/>
      </w:pPr>
    </w:p>
    <w:p w14:paraId="6AFA0FA8" w14:textId="245D7184" w:rsidR="000A5E3A" w:rsidRDefault="00B47424" w:rsidP="007A6F93">
      <w:pPr>
        <w:pStyle w:val="ListParagraph"/>
        <w:numPr>
          <w:ilvl w:val="0"/>
          <w:numId w:val="11"/>
        </w:numPr>
      </w:pPr>
      <w:r>
        <w:t>It doesn’t seem right that a room that is only used for organize</w:t>
      </w:r>
      <w:r w:rsidR="00BA2DCC">
        <w:t>d</w:t>
      </w:r>
      <w:r>
        <w:t xml:space="preserve"> research (OR) cannot be coded 100% to </w:t>
      </w:r>
      <w:r w:rsidR="00BA2DCC">
        <w:t xml:space="preserve">OR.   CAS </w:t>
      </w:r>
      <w:r w:rsidR="00DC2269">
        <w:t xml:space="preserve">requires that </w:t>
      </w:r>
      <w:r w:rsidR="00BD253B">
        <w:t xml:space="preserve">the functionalization be diluted by the </w:t>
      </w:r>
      <w:r w:rsidR="004358D4">
        <w:t>non-OR funding of its users</w:t>
      </w:r>
      <w:r w:rsidR="00287DA5">
        <w:t xml:space="preserve">, even though they are engaged only in OR while they are in </w:t>
      </w:r>
      <w:r w:rsidR="001931ED">
        <w:t xml:space="preserve">OR </w:t>
      </w:r>
      <w:r w:rsidR="00287DA5">
        <w:t xml:space="preserve">space. </w:t>
      </w:r>
      <w:r w:rsidR="00F7249C">
        <w:t xml:space="preserve"> </w:t>
      </w:r>
      <w:r w:rsidR="007A6F93">
        <w:t xml:space="preserve"> </w:t>
      </w:r>
      <w:r w:rsidR="002C6494">
        <w:t xml:space="preserve">It is not consistent with </w:t>
      </w:r>
      <w:r w:rsidR="006D7FD4">
        <w:t>Appendix III B.</w:t>
      </w:r>
      <w:r w:rsidR="002C6494">
        <w:t xml:space="preserve"> </w:t>
      </w:r>
      <w:r w:rsidR="006D7FD4">
        <w:t xml:space="preserve"> 2. </w:t>
      </w:r>
      <w:r w:rsidR="00CB2DC2">
        <w:t>b.</w:t>
      </w:r>
      <w:r w:rsidR="000A5E3A">
        <w:t xml:space="preserve"> </w:t>
      </w:r>
      <w:r w:rsidR="00E94F0C">
        <w:t xml:space="preserve"> because </w:t>
      </w:r>
      <w:r w:rsidR="003C23C2">
        <w:t xml:space="preserve">CAS is applying </w:t>
      </w:r>
      <w:r w:rsidR="00E94F0C">
        <w:t>a</w:t>
      </w:r>
      <w:r w:rsidR="005F244A">
        <w:t>n</w:t>
      </w:r>
      <w:r w:rsidR="00E94F0C">
        <w:t xml:space="preserve"> </w:t>
      </w:r>
      <w:r w:rsidR="008B6060">
        <w:t xml:space="preserve">allocation </w:t>
      </w:r>
      <w:r w:rsidR="00E94F0C">
        <w:t>method</w:t>
      </w:r>
      <w:r w:rsidR="005F244A">
        <w:t>ology</w:t>
      </w:r>
      <w:r w:rsidR="00E94F0C">
        <w:t xml:space="preserve"> required by one type of space to a different type of space.  </w:t>
      </w:r>
      <w:r w:rsidR="000A5E3A">
        <w:t xml:space="preserve"> In this section, there are 3 categories of depreciation: </w:t>
      </w:r>
    </w:p>
    <w:p w14:paraId="6059D7D1" w14:textId="72B5E68B" w:rsidR="00270736" w:rsidRDefault="000A5E3A" w:rsidP="00C2773B">
      <w:pPr>
        <w:pStyle w:val="ListParagraph"/>
        <w:numPr>
          <w:ilvl w:val="2"/>
          <w:numId w:val="11"/>
        </w:numPr>
      </w:pPr>
      <w:r>
        <w:t xml:space="preserve">Depreciation on </w:t>
      </w:r>
      <w:r w:rsidR="00270736">
        <w:t>building</w:t>
      </w:r>
      <w:r w:rsidR="004D0507">
        <w:t>s</w:t>
      </w:r>
      <w:r w:rsidR="000D74C2">
        <w:t xml:space="preserve"> </w:t>
      </w:r>
      <w:r w:rsidR="004D0507">
        <w:t xml:space="preserve">used </w:t>
      </w:r>
      <w:r w:rsidR="00270736">
        <w:t xml:space="preserve">exclusively in </w:t>
      </w:r>
      <w:r w:rsidR="001A15F9">
        <w:t>a</w:t>
      </w:r>
      <w:r w:rsidR="00270736">
        <w:t xml:space="preserve"> single function </w:t>
      </w:r>
      <w:r w:rsidR="000D74C2">
        <w:t xml:space="preserve">and its </w:t>
      </w:r>
      <w:r w:rsidR="008068D6">
        <w:t>equipment.</w:t>
      </w:r>
      <w:r w:rsidR="000D74C2">
        <w:t xml:space="preserve"> </w:t>
      </w:r>
    </w:p>
    <w:p w14:paraId="20F67D77" w14:textId="1A4F5CD7" w:rsidR="009A5CA1" w:rsidRDefault="00270736" w:rsidP="000A5E3A">
      <w:pPr>
        <w:pStyle w:val="ListParagraph"/>
        <w:numPr>
          <w:ilvl w:val="2"/>
          <w:numId w:val="11"/>
        </w:numPr>
      </w:pPr>
      <w:r>
        <w:t xml:space="preserve">Depreciation on </w:t>
      </w:r>
      <w:r w:rsidR="009A5CA1">
        <w:t>buildings</w:t>
      </w:r>
      <w:r w:rsidR="00C7198E">
        <w:t xml:space="preserve"> </w:t>
      </w:r>
      <w:r w:rsidR="009A5CA1">
        <w:t>used for more than one function</w:t>
      </w:r>
      <w:r w:rsidR="00C7198E">
        <w:t xml:space="preserve"> </w:t>
      </w:r>
      <w:r w:rsidR="00367B35">
        <w:t xml:space="preserve">and </w:t>
      </w:r>
      <w:r w:rsidR="006C4A3A">
        <w:t xml:space="preserve">its </w:t>
      </w:r>
      <w:r w:rsidR="008068D6">
        <w:t>equipment.</w:t>
      </w:r>
      <w:r w:rsidR="00367B35">
        <w:t xml:space="preserve"> </w:t>
      </w:r>
    </w:p>
    <w:p w14:paraId="332AD2A1" w14:textId="5A21DD95" w:rsidR="007A6F93" w:rsidRDefault="009A5CA1" w:rsidP="000A5E3A">
      <w:pPr>
        <w:pStyle w:val="ListParagraph"/>
        <w:numPr>
          <w:ilvl w:val="2"/>
          <w:numId w:val="11"/>
        </w:numPr>
      </w:pPr>
      <w:r>
        <w:t xml:space="preserve">Depreciation </w:t>
      </w:r>
      <w:r w:rsidR="001E4A70">
        <w:t xml:space="preserve">on buildings and equipment </w:t>
      </w:r>
      <w:r w:rsidR="00367B35">
        <w:t xml:space="preserve">related to space </w:t>
      </w:r>
      <w:r w:rsidR="001E4A70">
        <w:t xml:space="preserve">used jointly by more than one </w:t>
      </w:r>
      <w:r w:rsidR="008068D6">
        <w:t>function.</w:t>
      </w:r>
    </w:p>
    <w:p w14:paraId="76511CA8" w14:textId="77777777" w:rsidR="00664348" w:rsidRDefault="00664348" w:rsidP="007A6F93">
      <w:pPr>
        <w:pStyle w:val="ListParagraph"/>
        <w:ind w:left="360"/>
      </w:pPr>
    </w:p>
    <w:p w14:paraId="5E613B56" w14:textId="77777777" w:rsidR="008862E2" w:rsidRDefault="007537CB" w:rsidP="001735E8">
      <w:pPr>
        <w:pStyle w:val="ListParagraph"/>
        <w:ind w:left="360"/>
      </w:pPr>
      <w:r>
        <w:t>For categories (1</w:t>
      </w:r>
      <w:r w:rsidR="005564EE">
        <w:t>.</w:t>
      </w:r>
      <w:r>
        <w:t>) and (3</w:t>
      </w:r>
      <w:r w:rsidR="005564EE">
        <w:t>.</w:t>
      </w:r>
      <w:r>
        <w:t>), the guidance seems clear</w:t>
      </w:r>
      <w:r w:rsidR="008862E2">
        <w:t>:</w:t>
      </w:r>
      <w:r>
        <w:t xml:space="preserve">  </w:t>
      </w:r>
    </w:p>
    <w:p w14:paraId="31B38162" w14:textId="77777777" w:rsidR="008862E2" w:rsidRDefault="007537CB" w:rsidP="00865F08">
      <w:pPr>
        <w:pStyle w:val="NoSpacing"/>
        <w:numPr>
          <w:ilvl w:val="0"/>
          <w:numId w:val="15"/>
        </w:numPr>
      </w:pPr>
      <w:r>
        <w:t xml:space="preserve">Whole buildings with a single function </w:t>
      </w:r>
      <w:r w:rsidR="00585B7F">
        <w:t>(1</w:t>
      </w:r>
      <w:r w:rsidR="005564EE">
        <w:t>.</w:t>
      </w:r>
      <w:r w:rsidR="00585B7F">
        <w:t xml:space="preserve">) </w:t>
      </w:r>
      <w:r>
        <w:t xml:space="preserve">are functionalized by their single use.  </w:t>
      </w:r>
    </w:p>
    <w:p w14:paraId="08D3BD0D" w14:textId="6D2BF06B" w:rsidR="00865F08" w:rsidRDefault="00585B7F" w:rsidP="00865F08">
      <w:pPr>
        <w:pStyle w:val="NoSpacing"/>
        <w:numPr>
          <w:ilvl w:val="0"/>
          <w:numId w:val="15"/>
        </w:numPr>
      </w:pPr>
      <w:r>
        <w:t>Buildings with space that is jointly used (</w:t>
      </w:r>
      <w:r w:rsidR="005564EE">
        <w:t>3.</w:t>
      </w:r>
      <w:r>
        <w:t xml:space="preserve">)  </w:t>
      </w:r>
      <w:r w:rsidR="0028007D">
        <w:t xml:space="preserve">are functionalized </w:t>
      </w:r>
      <w:r w:rsidR="00554F32">
        <w:t>by FTE</w:t>
      </w:r>
      <w:r w:rsidR="009F09AA">
        <w:t>.</w:t>
      </w:r>
    </w:p>
    <w:p w14:paraId="60D13DE7" w14:textId="77777777" w:rsidR="00865F08" w:rsidRDefault="00865F08" w:rsidP="00865F08">
      <w:pPr>
        <w:pStyle w:val="ListParagraph"/>
        <w:ind w:left="360"/>
      </w:pPr>
    </w:p>
    <w:p w14:paraId="1A6B30EC" w14:textId="20F7C047" w:rsidR="000315E5" w:rsidRDefault="0077035F" w:rsidP="00865F08">
      <w:pPr>
        <w:pStyle w:val="ListParagraph"/>
        <w:ind w:left="360"/>
      </w:pPr>
      <w:r>
        <w:t xml:space="preserve">CAS seems to be applying the allocation methodology required in category (3.) to the space described in category </w:t>
      </w:r>
      <w:r w:rsidR="00D816C5">
        <w:t xml:space="preserve">(2.)  In other words, </w:t>
      </w:r>
      <w:r w:rsidR="00F560C8">
        <w:t xml:space="preserve">most lab </w:t>
      </w:r>
      <w:r w:rsidR="00D816C5">
        <w:t>space is not jointly used space</w:t>
      </w:r>
      <w:r w:rsidR="00F560C8">
        <w:t>; it is category (2.) space</w:t>
      </w:r>
      <w:r w:rsidR="0035048A">
        <w:t xml:space="preserve">. </w:t>
      </w:r>
      <w:r w:rsidR="000A0B7D">
        <w:t>C</w:t>
      </w:r>
      <w:r w:rsidR="003B5F20">
        <w:t xml:space="preserve">ategory (2.) space </w:t>
      </w:r>
      <w:r w:rsidR="009F09AA">
        <w:t xml:space="preserve">is supposed to be allocated </w:t>
      </w:r>
      <w:proofErr w:type="gramStart"/>
      <w:r w:rsidR="00081F99">
        <w:t>on the basis of</w:t>
      </w:r>
      <w:proofErr w:type="gramEnd"/>
      <w:r w:rsidR="00081F99">
        <w:t xml:space="preserve"> usable square footage, not FTEs</w:t>
      </w:r>
      <w:r w:rsidR="00864ACE">
        <w:t xml:space="preserve">, to each function.  </w:t>
      </w:r>
      <w:r w:rsidR="00181D28">
        <w:t xml:space="preserve"> Why does CAS insist on rosters of users for lab space when it is not jointly used</w:t>
      </w:r>
      <w:r w:rsidR="00A7737B">
        <w:t>, but rather single function space?</w:t>
      </w:r>
      <w:r w:rsidR="001950BD">
        <w:t xml:space="preserve"> - CAS</w:t>
      </w:r>
    </w:p>
    <w:p w14:paraId="12E2A2A3" w14:textId="77777777" w:rsidR="007A4331" w:rsidRDefault="007A4331" w:rsidP="00865F08">
      <w:pPr>
        <w:pStyle w:val="ListParagraph"/>
        <w:ind w:left="360"/>
      </w:pPr>
    </w:p>
    <w:p w14:paraId="7C6DFB4D" w14:textId="033260C2" w:rsidR="007A4331" w:rsidRDefault="001353AD" w:rsidP="007A4331">
      <w:pPr>
        <w:pStyle w:val="ListParagraph"/>
        <w:numPr>
          <w:ilvl w:val="0"/>
          <w:numId w:val="11"/>
        </w:numPr>
      </w:pPr>
      <w:r w:rsidRPr="001353AD">
        <w:t>When following the guidance at 2 CFR 200, App. III, B.2.b.(3)(b) which states that each jointly used unit of space can be allocated based on "Institution-wide" employee salaries and wages, we would allocate classrooms, class labs, and dorm rooms 100% to their single function (Instruction or Auxiliary). Are we expected to allocate spaces occupied by administrative departments (GA, SSA, SPA) 100% to their single function? If so, do we exclude GA, SSA, SPA salaries and wages for the total when calculating the Institution-wide percentage of Research salaries and wages?</w:t>
      </w:r>
      <w:r w:rsidR="00463142">
        <w:t xml:space="preserve"> </w:t>
      </w:r>
      <w:r w:rsidR="00A642A2">
        <w:t>- ONR</w:t>
      </w:r>
    </w:p>
    <w:p w14:paraId="3FF015B1" w14:textId="6EDC405B" w:rsidR="0013039D" w:rsidRPr="00981EBD" w:rsidRDefault="0013039D">
      <w:pPr>
        <w:rPr>
          <w:b/>
          <w:bCs/>
          <w:sz w:val="24"/>
          <w:szCs w:val="24"/>
        </w:rPr>
      </w:pPr>
      <w:r w:rsidRPr="00981EBD">
        <w:rPr>
          <w:b/>
          <w:bCs/>
          <w:sz w:val="24"/>
          <w:szCs w:val="24"/>
        </w:rPr>
        <w:t xml:space="preserve">Other </w:t>
      </w:r>
    </w:p>
    <w:p w14:paraId="4303087C" w14:textId="7D2C247A" w:rsidR="005B120F" w:rsidRPr="00D648ED" w:rsidRDefault="00952CE8" w:rsidP="006C3CC7">
      <w:pPr>
        <w:pStyle w:val="ListParagraph"/>
        <w:numPr>
          <w:ilvl w:val="0"/>
          <w:numId w:val="11"/>
        </w:numPr>
      </w:pPr>
      <w:r w:rsidRPr="00D648ED">
        <w:t>Compliant property management requires p</w:t>
      </w:r>
      <w:r w:rsidR="005846F6" w:rsidRPr="00D648ED">
        <w:t xml:space="preserve">hysical </w:t>
      </w:r>
      <w:r w:rsidRPr="00D648ED">
        <w:t>inventories every two year</w:t>
      </w:r>
      <w:r w:rsidR="00935F9D" w:rsidRPr="00D648ED">
        <w:t>s</w:t>
      </w:r>
      <w:r w:rsidRPr="00D648ED">
        <w:t xml:space="preserve"> </w:t>
      </w:r>
      <w:r w:rsidR="004566DD" w:rsidRPr="00D648ED">
        <w:t>of</w:t>
      </w:r>
      <w:r w:rsidRPr="00D648ED">
        <w:t xml:space="preserve"> </w:t>
      </w:r>
      <w:r w:rsidR="00935F9D" w:rsidRPr="00D648ED">
        <w:t>n</w:t>
      </w:r>
      <w:r w:rsidR="004551E4" w:rsidRPr="00D648ED">
        <w:t xml:space="preserve">on-federal </w:t>
      </w:r>
      <w:r w:rsidR="0001480E" w:rsidRPr="00D648ED">
        <w:t xml:space="preserve">assets </w:t>
      </w:r>
      <w:r w:rsidR="004551E4" w:rsidRPr="00D648ED">
        <w:t>for which an institution is claiming depreciation</w:t>
      </w:r>
      <w:r w:rsidR="005B120F" w:rsidRPr="00D648ED">
        <w:t xml:space="preserve"> </w:t>
      </w:r>
      <w:r w:rsidR="004566DD" w:rsidRPr="00D648ED">
        <w:t xml:space="preserve">per </w:t>
      </w:r>
      <w:r w:rsidR="005B120F" w:rsidRPr="00D648ED">
        <w:t>2 CFR 200.436</w:t>
      </w:r>
      <w:r w:rsidR="004C2134" w:rsidRPr="00D648ED">
        <w:t xml:space="preserve">.  </w:t>
      </w:r>
    </w:p>
    <w:p w14:paraId="666958FB" w14:textId="77777777" w:rsidR="005B120F" w:rsidRPr="00D648ED" w:rsidRDefault="005B120F" w:rsidP="005B120F">
      <w:pPr>
        <w:pStyle w:val="ListParagraph"/>
      </w:pPr>
    </w:p>
    <w:p w14:paraId="2193C7F8" w14:textId="0910C2ED" w:rsidR="00B72215" w:rsidRPr="00D648ED" w:rsidRDefault="00681887" w:rsidP="005B120F">
      <w:pPr>
        <w:pStyle w:val="ListParagraph"/>
        <w:numPr>
          <w:ilvl w:val="0"/>
          <w:numId w:val="2"/>
        </w:numPr>
      </w:pPr>
      <w:r w:rsidRPr="00D648ED">
        <w:t xml:space="preserve">If an asset is fully depreciated before a base year begins and no depreciation is being claimed, </w:t>
      </w:r>
      <w:r w:rsidR="008B454C" w:rsidRPr="00D648ED">
        <w:t xml:space="preserve">does that asset need to </w:t>
      </w:r>
      <w:r w:rsidR="007E6396" w:rsidRPr="00D648ED">
        <w:t xml:space="preserve">continue to be </w:t>
      </w:r>
      <w:r w:rsidR="008B454C" w:rsidRPr="00D648ED">
        <w:t>inventoried</w:t>
      </w:r>
      <w:r w:rsidR="007E6396" w:rsidRPr="00D648ED">
        <w:t xml:space="preserve"> </w:t>
      </w:r>
      <w:proofErr w:type="gramStart"/>
      <w:r w:rsidR="007E6396" w:rsidRPr="00D648ED">
        <w:t>as long as</w:t>
      </w:r>
      <w:proofErr w:type="gramEnd"/>
      <w:r w:rsidR="007E6396" w:rsidRPr="00D648ED">
        <w:t xml:space="preserve"> it is </w:t>
      </w:r>
      <w:r w:rsidR="00332121" w:rsidRPr="00D648ED">
        <w:t xml:space="preserve">in use?   </w:t>
      </w:r>
    </w:p>
    <w:p w14:paraId="78DB7A56" w14:textId="77777777" w:rsidR="008B454C" w:rsidRPr="00D648ED" w:rsidRDefault="008B454C" w:rsidP="008B454C">
      <w:pPr>
        <w:pStyle w:val="ListParagraph"/>
      </w:pPr>
    </w:p>
    <w:p w14:paraId="5C26B868" w14:textId="671E96D6" w:rsidR="00F61C1B" w:rsidRPr="00F64054" w:rsidRDefault="00F61C1B" w:rsidP="005B120F">
      <w:pPr>
        <w:pStyle w:val="ListParagraph"/>
        <w:numPr>
          <w:ilvl w:val="0"/>
          <w:numId w:val="2"/>
        </w:numPr>
        <w:rPr>
          <w:highlight w:val="yellow"/>
        </w:rPr>
      </w:pPr>
      <w:r w:rsidRPr="00D648ED">
        <w:lastRenderedPageBreak/>
        <w:t>2 CFR 200.436 allows for statistical sampling techniques</w:t>
      </w:r>
      <w:r w:rsidR="001E467B" w:rsidRPr="00D648ED">
        <w:t xml:space="preserve"> for the inventory </w:t>
      </w:r>
      <w:r w:rsidR="00964A1B" w:rsidRPr="00D648ED">
        <w:t xml:space="preserve">of assets for which </w:t>
      </w:r>
      <w:r w:rsidR="001E467B" w:rsidRPr="00D648ED">
        <w:t xml:space="preserve">depreciation </w:t>
      </w:r>
      <w:r w:rsidR="00964A1B" w:rsidRPr="00D648ED">
        <w:t xml:space="preserve">will </w:t>
      </w:r>
      <w:r w:rsidR="001E467B" w:rsidRPr="00D648ED">
        <w:t>be c</w:t>
      </w:r>
      <w:r w:rsidR="00D93F39" w:rsidRPr="00D648ED">
        <w:t xml:space="preserve">laimed in an IDC proposal. </w:t>
      </w:r>
      <w:r w:rsidR="006C6D65" w:rsidRPr="00D648ED">
        <w:t xml:space="preserve"> </w:t>
      </w:r>
      <w:r w:rsidR="00D93F39" w:rsidRPr="00D648ED">
        <w:t>H</w:t>
      </w:r>
      <w:r w:rsidR="006C6D65" w:rsidRPr="00D648ED">
        <w:t>a</w:t>
      </w:r>
      <w:r w:rsidR="00D93F39" w:rsidRPr="00D648ED">
        <w:t xml:space="preserve">s anyone </w:t>
      </w:r>
      <w:r w:rsidR="004575EA" w:rsidRPr="00D648ED">
        <w:t>seen such methods used instead of room-to-room, asset-by-asset inventories</w:t>
      </w:r>
      <w:r w:rsidR="005F62FB" w:rsidRPr="00D648ED">
        <w:t xml:space="preserve"> for non-federal assets?</w:t>
      </w:r>
      <w:r w:rsidR="00A642A2">
        <w:t xml:space="preserve"> - DCAA</w:t>
      </w:r>
    </w:p>
    <w:p w14:paraId="5B2E1BB0" w14:textId="77777777" w:rsidR="00971F05" w:rsidRDefault="00971F05" w:rsidP="00971F05">
      <w:pPr>
        <w:ind w:left="360"/>
      </w:pPr>
    </w:p>
    <w:p w14:paraId="19250AEA" w14:textId="406D8969" w:rsidR="0095060A" w:rsidRPr="00AD4AE3" w:rsidRDefault="00F05F91" w:rsidP="00107B4A">
      <w:pPr>
        <w:pStyle w:val="ListParagraph"/>
        <w:numPr>
          <w:ilvl w:val="0"/>
          <w:numId w:val="11"/>
        </w:numPr>
        <w:rPr>
          <w:highlight w:val="yellow"/>
        </w:rPr>
      </w:pPr>
      <w:r>
        <w:t xml:space="preserve">Interest is allowable </w:t>
      </w:r>
      <w:r w:rsidR="005B2AB7">
        <w:t xml:space="preserve">per </w:t>
      </w:r>
      <w:r w:rsidR="00367FCC">
        <w:t>200.449</w:t>
      </w:r>
      <w:r w:rsidR="00582CF1">
        <w:t>, but the Best Practices manual (</w:t>
      </w:r>
      <w:r w:rsidR="000B69C7">
        <w:t xml:space="preserve">p.42) says “Interest associated with refinancing or retiring older debts is not allowable.”  </w:t>
      </w:r>
      <w:r w:rsidR="0082310E">
        <w:t xml:space="preserve"> The government benefits </w:t>
      </w:r>
      <w:r w:rsidR="00BB341B">
        <w:t>when more expensive debt is replaced</w:t>
      </w:r>
      <w:r w:rsidR="00843437">
        <w:t xml:space="preserve"> by debt with </w:t>
      </w:r>
      <w:r w:rsidR="00BB341B">
        <w:t>lower inter</w:t>
      </w:r>
      <w:r w:rsidR="00843437">
        <w:t xml:space="preserve">est rates. If </w:t>
      </w:r>
      <w:r w:rsidR="007026F1">
        <w:t xml:space="preserve">the debt is otherwise allowable, can interest on debt that </w:t>
      </w:r>
      <w:r w:rsidR="00FD6E5F">
        <w:t>deceases</w:t>
      </w:r>
      <w:r w:rsidR="007026F1">
        <w:t xml:space="preserve"> </w:t>
      </w:r>
      <w:r w:rsidR="002050F4">
        <w:t xml:space="preserve">(retires) </w:t>
      </w:r>
      <w:r w:rsidR="008C36F7">
        <w:t xml:space="preserve">and replaces </w:t>
      </w:r>
      <w:r w:rsidR="00AB6C13">
        <w:t xml:space="preserve">older </w:t>
      </w:r>
      <w:r w:rsidR="002050F4">
        <w:t xml:space="preserve">debt be included </w:t>
      </w:r>
      <w:r w:rsidR="00107B4A">
        <w:t>in IDC proposals?</w:t>
      </w:r>
      <w:r w:rsidR="00A642A2">
        <w:t xml:space="preserve"> CAS</w:t>
      </w:r>
    </w:p>
    <w:p w14:paraId="556FD09E" w14:textId="77777777" w:rsidR="007A0DDA" w:rsidRDefault="007A0DDA" w:rsidP="00107B4A"/>
    <w:p w14:paraId="245CB048" w14:textId="1FBC9DC7" w:rsidR="00107B4A" w:rsidRPr="009A43EF" w:rsidRDefault="008450F9" w:rsidP="007A0DDA">
      <w:pPr>
        <w:pStyle w:val="ListParagraph"/>
        <w:numPr>
          <w:ilvl w:val="0"/>
          <w:numId w:val="11"/>
        </w:numPr>
        <w:rPr>
          <w:highlight w:val="yellow"/>
        </w:rPr>
      </w:pPr>
      <w:r>
        <w:t>Interest</w:t>
      </w:r>
      <w:r w:rsidR="00316B43">
        <w:t>-</w:t>
      </w:r>
      <w:r>
        <w:t>only bonds are common now</w:t>
      </w:r>
      <w:r w:rsidR="007A0DDA">
        <w:t xml:space="preserve">, but the Best Practices manual (p.42) </w:t>
      </w:r>
      <w:r w:rsidR="00200486">
        <w:t xml:space="preserve">says </w:t>
      </w:r>
      <w:r w:rsidR="009914B8">
        <w:t xml:space="preserve">they </w:t>
      </w:r>
      <w:r w:rsidR="00200486">
        <w:t>may not be equitable to the government and require cas</w:t>
      </w:r>
      <w:r w:rsidR="009914B8">
        <w:t>e</w:t>
      </w:r>
      <w:r w:rsidR="00200486">
        <w:t xml:space="preserve">-by-case consideration. </w:t>
      </w:r>
      <w:r w:rsidR="001F3DB7">
        <w:t xml:space="preserve">Has the government disallowed interest calculated on </w:t>
      </w:r>
      <w:r w:rsidR="00D648ED">
        <w:t xml:space="preserve">loan balances that do not decline over time, as we see in </w:t>
      </w:r>
      <w:r w:rsidR="009914B8">
        <w:t>i</w:t>
      </w:r>
      <w:r w:rsidR="00D648ED">
        <w:t>nterest-only debt?</w:t>
      </w:r>
      <w:r w:rsidR="00A642A2">
        <w:t xml:space="preserve"> - CAS</w:t>
      </w:r>
    </w:p>
    <w:p w14:paraId="0223863A" w14:textId="77777777" w:rsidR="009A43EF" w:rsidRPr="009A43EF" w:rsidRDefault="009A43EF" w:rsidP="009A43EF">
      <w:pPr>
        <w:pStyle w:val="ListParagraph"/>
        <w:rPr>
          <w:highlight w:val="yellow"/>
        </w:rPr>
      </w:pPr>
    </w:p>
    <w:p w14:paraId="13320CD8" w14:textId="47FB48C4" w:rsidR="009A43EF" w:rsidRPr="001353AD" w:rsidRDefault="009A43EF" w:rsidP="007A0DDA">
      <w:pPr>
        <w:pStyle w:val="ListParagraph"/>
        <w:numPr>
          <w:ilvl w:val="0"/>
          <w:numId w:val="11"/>
        </w:numPr>
        <w:rPr>
          <w:highlight w:val="yellow"/>
        </w:rPr>
      </w:pPr>
      <w:r w:rsidRPr="009A43EF">
        <w:t>Would you please clarify the difference between Provisional and Predetermined IDC rates?</w:t>
      </w:r>
      <w:r w:rsidR="00A642A2">
        <w:t xml:space="preserve"> ONR, CAS</w:t>
      </w:r>
    </w:p>
    <w:p w14:paraId="1595905F" w14:textId="77777777" w:rsidR="001353AD" w:rsidRPr="001353AD" w:rsidRDefault="001353AD" w:rsidP="001353AD">
      <w:pPr>
        <w:pStyle w:val="ListParagraph"/>
        <w:rPr>
          <w:highlight w:val="yellow"/>
        </w:rPr>
      </w:pPr>
    </w:p>
    <w:p w14:paraId="02EE934D" w14:textId="75F2B003" w:rsidR="001353AD" w:rsidRPr="00C25790" w:rsidRDefault="00C25790" w:rsidP="007A0DDA">
      <w:pPr>
        <w:pStyle w:val="ListParagraph"/>
        <w:numPr>
          <w:ilvl w:val="0"/>
          <w:numId w:val="11"/>
        </w:numPr>
        <w:rPr>
          <w:highlight w:val="yellow"/>
        </w:rPr>
      </w:pPr>
      <w:r w:rsidRPr="00C25790">
        <w:t>Is there anything that you often see left out of Indirect Cost Rate Proposals that you would like universities to remember to include?</w:t>
      </w:r>
      <w:r w:rsidR="00A642A2">
        <w:t xml:space="preserve"> ONR, DCAA, CAS</w:t>
      </w:r>
    </w:p>
    <w:p w14:paraId="2274530E" w14:textId="77777777" w:rsidR="00C25790" w:rsidRPr="00C25790" w:rsidRDefault="00C25790" w:rsidP="00C25790">
      <w:pPr>
        <w:pStyle w:val="ListParagraph"/>
        <w:rPr>
          <w:highlight w:val="yellow"/>
        </w:rPr>
      </w:pPr>
    </w:p>
    <w:p w14:paraId="3CE46E9D" w14:textId="07467812" w:rsidR="00C25790" w:rsidRPr="00830F9B" w:rsidRDefault="00463112" w:rsidP="007A0DDA">
      <w:pPr>
        <w:pStyle w:val="ListParagraph"/>
        <w:numPr>
          <w:ilvl w:val="0"/>
          <w:numId w:val="11"/>
        </w:numPr>
        <w:rPr>
          <w:highlight w:val="yellow"/>
        </w:rPr>
      </w:pPr>
      <w:r w:rsidRPr="00463112">
        <w:t>Is there anything that we can do to help the rate review process move along quicker and more efficiently?</w:t>
      </w:r>
      <w:r w:rsidR="00A642A2">
        <w:t xml:space="preserve"> ONR, </w:t>
      </w:r>
      <w:r w:rsidR="00400403">
        <w:t>DCAA, CAS</w:t>
      </w:r>
    </w:p>
    <w:p w14:paraId="5E419C93" w14:textId="77777777" w:rsidR="008450F9" w:rsidRDefault="008450F9" w:rsidP="00107B4A"/>
    <w:sectPr w:rsidR="008450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04F5" w14:textId="77777777" w:rsidR="00A47846" w:rsidRDefault="00A47846" w:rsidP="00CD609E">
      <w:pPr>
        <w:spacing w:after="0" w:line="240" w:lineRule="auto"/>
      </w:pPr>
      <w:r>
        <w:separator/>
      </w:r>
    </w:p>
  </w:endnote>
  <w:endnote w:type="continuationSeparator" w:id="0">
    <w:p w14:paraId="08D3C54F" w14:textId="77777777" w:rsidR="00A47846" w:rsidRDefault="00A47846" w:rsidP="00CD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3B17" w14:textId="0321B4B5" w:rsidR="00CD609E" w:rsidRDefault="00CD609E" w:rsidP="00CD609E">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F79B" w14:textId="77777777" w:rsidR="00A47846" w:rsidRDefault="00A47846" w:rsidP="00CD609E">
      <w:pPr>
        <w:spacing w:after="0" w:line="240" w:lineRule="auto"/>
      </w:pPr>
      <w:r>
        <w:separator/>
      </w:r>
    </w:p>
  </w:footnote>
  <w:footnote w:type="continuationSeparator" w:id="0">
    <w:p w14:paraId="7D0FCB5A" w14:textId="77777777" w:rsidR="00A47846" w:rsidRDefault="00A47846" w:rsidP="00CD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155F" w14:textId="37388DBF" w:rsidR="00385F13" w:rsidRPr="002A0123" w:rsidRDefault="00385F13" w:rsidP="00C62799">
    <w:pPr>
      <w:pStyle w:val="Header"/>
      <w:rPr>
        <w:sz w:val="32"/>
      </w:rPr>
    </w:pPr>
    <w:r w:rsidRPr="002A0123">
      <w:rPr>
        <w:sz w:val="32"/>
      </w:rPr>
      <w:t xml:space="preserve">2024 </w:t>
    </w:r>
    <w:r w:rsidR="00413F01">
      <w:rPr>
        <w:sz w:val="32"/>
      </w:rPr>
      <w:t>NACCA Fe</w:t>
    </w:r>
    <w:r w:rsidRPr="002A0123">
      <w:rPr>
        <w:sz w:val="32"/>
      </w:rPr>
      <w:t xml:space="preserve">deral </w:t>
    </w:r>
    <w:r w:rsidR="00EC764D">
      <w:rPr>
        <w:sz w:val="32"/>
      </w:rPr>
      <w:t>P</w:t>
    </w:r>
    <w:r w:rsidRPr="002A0123">
      <w:rPr>
        <w:sz w:val="32"/>
      </w:rPr>
      <w:t xml:space="preserve">anel </w:t>
    </w:r>
    <w:r w:rsidR="00EC764D">
      <w:rPr>
        <w:sz w:val="32"/>
      </w:rPr>
      <w:t>Q</w:t>
    </w:r>
    <w:r w:rsidRPr="002A0123">
      <w:rPr>
        <w:sz w:val="32"/>
      </w:rPr>
      <w:t>uestions</w:t>
    </w:r>
  </w:p>
  <w:p w14:paraId="646BACBA" w14:textId="77777777" w:rsidR="00385F13" w:rsidRDefault="0038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C06"/>
    <w:multiLevelType w:val="hybridMultilevel"/>
    <w:tmpl w:val="C622C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0449B"/>
    <w:multiLevelType w:val="hybridMultilevel"/>
    <w:tmpl w:val="46E63A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F435BA"/>
    <w:multiLevelType w:val="hybridMultilevel"/>
    <w:tmpl w:val="8C46C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B34546"/>
    <w:multiLevelType w:val="hybridMultilevel"/>
    <w:tmpl w:val="BACE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6430C"/>
    <w:multiLevelType w:val="hybridMultilevel"/>
    <w:tmpl w:val="888CC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9716D"/>
    <w:multiLevelType w:val="hybridMultilevel"/>
    <w:tmpl w:val="7B341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61164F"/>
    <w:multiLevelType w:val="hybridMultilevel"/>
    <w:tmpl w:val="5546C9CE"/>
    <w:lvl w:ilvl="0" w:tplc="2BF82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58BC"/>
    <w:multiLevelType w:val="hybridMultilevel"/>
    <w:tmpl w:val="8C46CC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27B0F0C"/>
    <w:multiLevelType w:val="hybridMultilevel"/>
    <w:tmpl w:val="96F0EA54"/>
    <w:lvl w:ilvl="0" w:tplc="4E8A5B2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21946DBE">
      <w:start w:val="1"/>
      <w:numFmt w:val="decimal"/>
      <w:lvlText w:val="(%3.)"/>
      <w:lvlJc w:val="right"/>
      <w:pPr>
        <w:ind w:left="1800" w:hanging="180"/>
      </w:pPr>
      <w:rPr>
        <w:rFonts w:asciiTheme="minorHAnsi" w:eastAsiaTheme="minorHAnsi" w:hAnsiTheme="minorHAnsi" w:cstheme="min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8C79A4"/>
    <w:multiLevelType w:val="hybridMultilevel"/>
    <w:tmpl w:val="D35E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272A17"/>
    <w:multiLevelType w:val="hybridMultilevel"/>
    <w:tmpl w:val="7278C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6E7B42"/>
    <w:multiLevelType w:val="hybridMultilevel"/>
    <w:tmpl w:val="B7224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6C3DC0"/>
    <w:multiLevelType w:val="hybridMultilevel"/>
    <w:tmpl w:val="46E63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6277605">
    <w:abstractNumId w:val="3"/>
  </w:num>
  <w:num w:numId="2" w16cid:durableId="1481459905">
    <w:abstractNumId w:val="9"/>
  </w:num>
  <w:num w:numId="3" w16cid:durableId="2006934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151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4439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502352">
    <w:abstractNumId w:val="12"/>
  </w:num>
  <w:num w:numId="7" w16cid:durableId="832641270">
    <w:abstractNumId w:val="2"/>
  </w:num>
  <w:num w:numId="8" w16cid:durableId="622928869">
    <w:abstractNumId w:val="1"/>
  </w:num>
  <w:num w:numId="9" w16cid:durableId="529152671">
    <w:abstractNumId w:val="6"/>
  </w:num>
  <w:num w:numId="10" w16cid:durableId="2007200173">
    <w:abstractNumId w:val="7"/>
  </w:num>
  <w:num w:numId="11" w16cid:durableId="314797462">
    <w:abstractNumId w:val="8"/>
  </w:num>
  <w:num w:numId="12" w16cid:durableId="668141347">
    <w:abstractNumId w:val="0"/>
  </w:num>
  <w:num w:numId="13" w16cid:durableId="2102293468">
    <w:abstractNumId w:val="4"/>
  </w:num>
  <w:num w:numId="14" w16cid:durableId="541401869">
    <w:abstractNumId w:val="11"/>
  </w:num>
  <w:num w:numId="15" w16cid:durableId="1865630718">
    <w:abstractNumId w:val="5"/>
  </w:num>
  <w:num w:numId="16" w16cid:durableId="1468473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11"/>
    <w:rsid w:val="00002551"/>
    <w:rsid w:val="00012DAE"/>
    <w:rsid w:val="0001470A"/>
    <w:rsid w:val="0001480E"/>
    <w:rsid w:val="000315E5"/>
    <w:rsid w:val="00035BAF"/>
    <w:rsid w:val="00043989"/>
    <w:rsid w:val="000475FD"/>
    <w:rsid w:val="00054A60"/>
    <w:rsid w:val="00057F61"/>
    <w:rsid w:val="00071BB1"/>
    <w:rsid w:val="00073588"/>
    <w:rsid w:val="000747CC"/>
    <w:rsid w:val="00077F04"/>
    <w:rsid w:val="00081F99"/>
    <w:rsid w:val="000834A8"/>
    <w:rsid w:val="0009443D"/>
    <w:rsid w:val="000A0B7D"/>
    <w:rsid w:val="000A5E3A"/>
    <w:rsid w:val="000A6690"/>
    <w:rsid w:val="000B2FB0"/>
    <w:rsid w:val="000B67A7"/>
    <w:rsid w:val="000B69C7"/>
    <w:rsid w:val="000C3521"/>
    <w:rsid w:val="000D0213"/>
    <w:rsid w:val="000D74C2"/>
    <w:rsid w:val="000E463D"/>
    <w:rsid w:val="000E7E69"/>
    <w:rsid w:val="000F14D1"/>
    <w:rsid w:val="000F771D"/>
    <w:rsid w:val="0010391D"/>
    <w:rsid w:val="00107B4A"/>
    <w:rsid w:val="001175B1"/>
    <w:rsid w:val="00123803"/>
    <w:rsid w:val="00124D5B"/>
    <w:rsid w:val="00125174"/>
    <w:rsid w:val="0013039D"/>
    <w:rsid w:val="001353AD"/>
    <w:rsid w:val="0013546F"/>
    <w:rsid w:val="001375E8"/>
    <w:rsid w:val="0014307E"/>
    <w:rsid w:val="00146B83"/>
    <w:rsid w:val="001473BA"/>
    <w:rsid w:val="00150ED7"/>
    <w:rsid w:val="00156D88"/>
    <w:rsid w:val="0015769D"/>
    <w:rsid w:val="001627CE"/>
    <w:rsid w:val="0016773E"/>
    <w:rsid w:val="001735E8"/>
    <w:rsid w:val="00181D28"/>
    <w:rsid w:val="00182D2D"/>
    <w:rsid w:val="00182DD7"/>
    <w:rsid w:val="0018791F"/>
    <w:rsid w:val="00190FF8"/>
    <w:rsid w:val="0019207D"/>
    <w:rsid w:val="0019319C"/>
    <w:rsid w:val="001931ED"/>
    <w:rsid w:val="001933D0"/>
    <w:rsid w:val="00193DEB"/>
    <w:rsid w:val="00193F3C"/>
    <w:rsid w:val="001950BD"/>
    <w:rsid w:val="00195391"/>
    <w:rsid w:val="001A15F9"/>
    <w:rsid w:val="001A72A8"/>
    <w:rsid w:val="001B131E"/>
    <w:rsid w:val="001B32F9"/>
    <w:rsid w:val="001C5657"/>
    <w:rsid w:val="001D20C2"/>
    <w:rsid w:val="001D6E2E"/>
    <w:rsid w:val="001E2B45"/>
    <w:rsid w:val="001E2BBC"/>
    <w:rsid w:val="001E467B"/>
    <w:rsid w:val="001E4A70"/>
    <w:rsid w:val="001F3DB7"/>
    <w:rsid w:val="00200486"/>
    <w:rsid w:val="002050F4"/>
    <w:rsid w:val="002211B2"/>
    <w:rsid w:val="002228D4"/>
    <w:rsid w:val="00226DB0"/>
    <w:rsid w:val="00227417"/>
    <w:rsid w:val="002406B0"/>
    <w:rsid w:val="0024376B"/>
    <w:rsid w:val="00253DC0"/>
    <w:rsid w:val="00262404"/>
    <w:rsid w:val="00270736"/>
    <w:rsid w:val="00275F1C"/>
    <w:rsid w:val="002767E9"/>
    <w:rsid w:val="0028007D"/>
    <w:rsid w:val="00285B6F"/>
    <w:rsid w:val="00287DA5"/>
    <w:rsid w:val="00292F9C"/>
    <w:rsid w:val="002A199D"/>
    <w:rsid w:val="002A3CF1"/>
    <w:rsid w:val="002A5A74"/>
    <w:rsid w:val="002B150D"/>
    <w:rsid w:val="002C1E01"/>
    <w:rsid w:val="002C6494"/>
    <w:rsid w:val="002C6D28"/>
    <w:rsid w:val="002D06DF"/>
    <w:rsid w:val="002D0882"/>
    <w:rsid w:val="002D19D6"/>
    <w:rsid w:val="002D3894"/>
    <w:rsid w:val="002E29DD"/>
    <w:rsid w:val="002E3C05"/>
    <w:rsid w:val="002E6949"/>
    <w:rsid w:val="002E7246"/>
    <w:rsid w:val="002F1F28"/>
    <w:rsid w:val="002F56C4"/>
    <w:rsid w:val="002F624C"/>
    <w:rsid w:val="003040F3"/>
    <w:rsid w:val="003074EF"/>
    <w:rsid w:val="00310AF5"/>
    <w:rsid w:val="00316B43"/>
    <w:rsid w:val="003240EC"/>
    <w:rsid w:val="00332121"/>
    <w:rsid w:val="0033284D"/>
    <w:rsid w:val="00332FE4"/>
    <w:rsid w:val="00334E81"/>
    <w:rsid w:val="003359B5"/>
    <w:rsid w:val="003373E8"/>
    <w:rsid w:val="003406ED"/>
    <w:rsid w:val="00345FEE"/>
    <w:rsid w:val="00347C57"/>
    <w:rsid w:val="0035048A"/>
    <w:rsid w:val="003512B9"/>
    <w:rsid w:val="00363307"/>
    <w:rsid w:val="0036554A"/>
    <w:rsid w:val="00365770"/>
    <w:rsid w:val="00367B35"/>
    <w:rsid w:val="00367FCC"/>
    <w:rsid w:val="00372A25"/>
    <w:rsid w:val="00373671"/>
    <w:rsid w:val="00374EA1"/>
    <w:rsid w:val="00381D4D"/>
    <w:rsid w:val="00384DD4"/>
    <w:rsid w:val="00385E9A"/>
    <w:rsid w:val="00385F13"/>
    <w:rsid w:val="003B5F20"/>
    <w:rsid w:val="003C23C2"/>
    <w:rsid w:val="003C57FC"/>
    <w:rsid w:val="003D5C3E"/>
    <w:rsid w:val="003E0FF6"/>
    <w:rsid w:val="003E10C2"/>
    <w:rsid w:val="003F147C"/>
    <w:rsid w:val="00400403"/>
    <w:rsid w:val="00403F13"/>
    <w:rsid w:val="00411969"/>
    <w:rsid w:val="00413F01"/>
    <w:rsid w:val="0041696A"/>
    <w:rsid w:val="00420516"/>
    <w:rsid w:val="00422490"/>
    <w:rsid w:val="004252BE"/>
    <w:rsid w:val="004269E9"/>
    <w:rsid w:val="004358D4"/>
    <w:rsid w:val="00444A12"/>
    <w:rsid w:val="00451240"/>
    <w:rsid w:val="00454B3F"/>
    <w:rsid w:val="004551E4"/>
    <w:rsid w:val="004566DD"/>
    <w:rsid w:val="004575EA"/>
    <w:rsid w:val="00463112"/>
    <w:rsid w:val="00463142"/>
    <w:rsid w:val="00464526"/>
    <w:rsid w:val="00472559"/>
    <w:rsid w:val="00480CA1"/>
    <w:rsid w:val="00482FA7"/>
    <w:rsid w:val="004843B2"/>
    <w:rsid w:val="0049202F"/>
    <w:rsid w:val="00492F2B"/>
    <w:rsid w:val="00492F61"/>
    <w:rsid w:val="004945BB"/>
    <w:rsid w:val="004952A7"/>
    <w:rsid w:val="004A387A"/>
    <w:rsid w:val="004A51CA"/>
    <w:rsid w:val="004A5D13"/>
    <w:rsid w:val="004B059C"/>
    <w:rsid w:val="004B4822"/>
    <w:rsid w:val="004B7868"/>
    <w:rsid w:val="004C2134"/>
    <w:rsid w:val="004C4611"/>
    <w:rsid w:val="004D0507"/>
    <w:rsid w:val="004E14F0"/>
    <w:rsid w:val="004F1999"/>
    <w:rsid w:val="00500E77"/>
    <w:rsid w:val="005075B1"/>
    <w:rsid w:val="00507C86"/>
    <w:rsid w:val="005155F8"/>
    <w:rsid w:val="00520360"/>
    <w:rsid w:val="00534403"/>
    <w:rsid w:val="00537CFB"/>
    <w:rsid w:val="005408BD"/>
    <w:rsid w:val="00541F48"/>
    <w:rsid w:val="00547956"/>
    <w:rsid w:val="00554F32"/>
    <w:rsid w:val="0055542D"/>
    <w:rsid w:val="00555911"/>
    <w:rsid w:val="005564EE"/>
    <w:rsid w:val="00562109"/>
    <w:rsid w:val="00562833"/>
    <w:rsid w:val="0056289B"/>
    <w:rsid w:val="00567596"/>
    <w:rsid w:val="00570C24"/>
    <w:rsid w:val="0057291C"/>
    <w:rsid w:val="00572FAD"/>
    <w:rsid w:val="00580ED4"/>
    <w:rsid w:val="00582CF1"/>
    <w:rsid w:val="005846F6"/>
    <w:rsid w:val="00585B7F"/>
    <w:rsid w:val="005969BA"/>
    <w:rsid w:val="005A3E8E"/>
    <w:rsid w:val="005A712E"/>
    <w:rsid w:val="005B120F"/>
    <w:rsid w:val="005B27E6"/>
    <w:rsid w:val="005B28BF"/>
    <w:rsid w:val="005B2AB7"/>
    <w:rsid w:val="005C3135"/>
    <w:rsid w:val="005C54D8"/>
    <w:rsid w:val="005D1B45"/>
    <w:rsid w:val="005D2003"/>
    <w:rsid w:val="005E137E"/>
    <w:rsid w:val="005E2EEF"/>
    <w:rsid w:val="005F244A"/>
    <w:rsid w:val="005F4B90"/>
    <w:rsid w:val="005F62FB"/>
    <w:rsid w:val="005F69B7"/>
    <w:rsid w:val="00603D3E"/>
    <w:rsid w:val="006108E3"/>
    <w:rsid w:val="006161E5"/>
    <w:rsid w:val="006200B9"/>
    <w:rsid w:val="00620D3D"/>
    <w:rsid w:val="0063282E"/>
    <w:rsid w:val="00635D03"/>
    <w:rsid w:val="00637685"/>
    <w:rsid w:val="0064542B"/>
    <w:rsid w:val="00651DAE"/>
    <w:rsid w:val="00651E46"/>
    <w:rsid w:val="00653DD3"/>
    <w:rsid w:val="006560F7"/>
    <w:rsid w:val="00664348"/>
    <w:rsid w:val="006704F7"/>
    <w:rsid w:val="00670AF6"/>
    <w:rsid w:val="006716BB"/>
    <w:rsid w:val="006763DD"/>
    <w:rsid w:val="00681887"/>
    <w:rsid w:val="00685DDE"/>
    <w:rsid w:val="0068655F"/>
    <w:rsid w:val="006879D3"/>
    <w:rsid w:val="00692628"/>
    <w:rsid w:val="00697C71"/>
    <w:rsid w:val="006B2269"/>
    <w:rsid w:val="006B3E93"/>
    <w:rsid w:val="006B5532"/>
    <w:rsid w:val="006B560C"/>
    <w:rsid w:val="006C4A3A"/>
    <w:rsid w:val="006C557C"/>
    <w:rsid w:val="006C6D65"/>
    <w:rsid w:val="006C6DDE"/>
    <w:rsid w:val="006D28CF"/>
    <w:rsid w:val="006D2D5F"/>
    <w:rsid w:val="006D7FD4"/>
    <w:rsid w:val="006E2E46"/>
    <w:rsid w:val="006E4D6E"/>
    <w:rsid w:val="006E738A"/>
    <w:rsid w:val="007026F1"/>
    <w:rsid w:val="00704629"/>
    <w:rsid w:val="007072A6"/>
    <w:rsid w:val="00707B38"/>
    <w:rsid w:val="0071145B"/>
    <w:rsid w:val="00722B78"/>
    <w:rsid w:val="00727992"/>
    <w:rsid w:val="0074706D"/>
    <w:rsid w:val="007537CB"/>
    <w:rsid w:val="0075672F"/>
    <w:rsid w:val="00757CEE"/>
    <w:rsid w:val="00757EC7"/>
    <w:rsid w:val="0077035F"/>
    <w:rsid w:val="00773A33"/>
    <w:rsid w:val="00777469"/>
    <w:rsid w:val="00782B19"/>
    <w:rsid w:val="00783A48"/>
    <w:rsid w:val="00784ABF"/>
    <w:rsid w:val="00784FB5"/>
    <w:rsid w:val="007871B1"/>
    <w:rsid w:val="00797011"/>
    <w:rsid w:val="007A0DDA"/>
    <w:rsid w:val="007A1000"/>
    <w:rsid w:val="007A25D5"/>
    <w:rsid w:val="007A36D0"/>
    <w:rsid w:val="007A4331"/>
    <w:rsid w:val="007A53C4"/>
    <w:rsid w:val="007A6F93"/>
    <w:rsid w:val="007B1746"/>
    <w:rsid w:val="007B3952"/>
    <w:rsid w:val="007C078D"/>
    <w:rsid w:val="007C54E1"/>
    <w:rsid w:val="007C6DEB"/>
    <w:rsid w:val="007C6E79"/>
    <w:rsid w:val="007D0766"/>
    <w:rsid w:val="007D5BB0"/>
    <w:rsid w:val="007D618F"/>
    <w:rsid w:val="007E3107"/>
    <w:rsid w:val="007E337D"/>
    <w:rsid w:val="007E6396"/>
    <w:rsid w:val="007E6C13"/>
    <w:rsid w:val="007F76BF"/>
    <w:rsid w:val="0080112C"/>
    <w:rsid w:val="0080134E"/>
    <w:rsid w:val="0080437B"/>
    <w:rsid w:val="00804B38"/>
    <w:rsid w:val="008068D6"/>
    <w:rsid w:val="0080692D"/>
    <w:rsid w:val="00816259"/>
    <w:rsid w:val="0082310E"/>
    <w:rsid w:val="00830F9B"/>
    <w:rsid w:val="008416B2"/>
    <w:rsid w:val="00843437"/>
    <w:rsid w:val="008450F9"/>
    <w:rsid w:val="008453E6"/>
    <w:rsid w:val="00851097"/>
    <w:rsid w:val="00851A1F"/>
    <w:rsid w:val="00855DB8"/>
    <w:rsid w:val="00864ACE"/>
    <w:rsid w:val="00865F08"/>
    <w:rsid w:val="00870063"/>
    <w:rsid w:val="00870B07"/>
    <w:rsid w:val="0087213F"/>
    <w:rsid w:val="00881136"/>
    <w:rsid w:val="008842D4"/>
    <w:rsid w:val="00885154"/>
    <w:rsid w:val="008862E2"/>
    <w:rsid w:val="00893F7F"/>
    <w:rsid w:val="008A0797"/>
    <w:rsid w:val="008A29BF"/>
    <w:rsid w:val="008B38F0"/>
    <w:rsid w:val="008B454C"/>
    <w:rsid w:val="008B6060"/>
    <w:rsid w:val="008B6D65"/>
    <w:rsid w:val="008C36F7"/>
    <w:rsid w:val="008C48AA"/>
    <w:rsid w:val="008D12F1"/>
    <w:rsid w:val="008E0C03"/>
    <w:rsid w:val="008E3A05"/>
    <w:rsid w:val="008E71D8"/>
    <w:rsid w:val="008F06DC"/>
    <w:rsid w:val="008F3BE0"/>
    <w:rsid w:val="00925FA7"/>
    <w:rsid w:val="00930F7C"/>
    <w:rsid w:val="0093116F"/>
    <w:rsid w:val="00932E6F"/>
    <w:rsid w:val="00935F9D"/>
    <w:rsid w:val="009447AB"/>
    <w:rsid w:val="0095060A"/>
    <w:rsid w:val="009522E2"/>
    <w:rsid w:val="00952CE8"/>
    <w:rsid w:val="00955AD1"/>
    <w:rsid w:val="0095705C"/>
    <w:rsid w:val="00964A1B"/>
    <w:rsid w:val="00971F05"/>
    <w:rsid w:val="00974995"/>
    <w:rsid w:val="00981EBD"/>
    <w:rsid w:val="00987829"/>
    <w:rsid w:val="009914B8"/>
    <w:rsid w:val="009A43EF"/>
    <w:rsid w:val="009A5CA1"/>
    <w:rsid w:val="009B158E"/>
    <w:rsid w:val="009B71D2"/>
    <w:rsid w:val="009C4056"/>
    <w:rsid w:val="009C527F"/>
    <w:rsid w:val="009C56D9"/>
    <w:rsid w:val="009C77AC"/>
    <w:rsid w:val="009D2BBC"/>
    <w:rsid w:val="009E2AC1"/>
    <w:rsid w:val="009E7E43"/>
    <w:rsid w:val="009F09AA"/>
    <w:rsid w:val="009F487D"/>
    <w:rsid w:val="00A02B5E"/>
    <w:rsid w:val="00A0450A"/>
    <w:rsid w:val="00A0488F"/>
    <w:rsid w:val="00A052F2"/>
    <w:rsid w:val="00A06752"/>
    <w:rsid w:val="00A17B34"/>
    <w:rsid w:val="00A17BAA"/>
    <w:rsid w:val="00A211A8"/>
    <w:rsid w:val="00A22E80"/>
    <w:rsid w:val="00A235B1"/>
    <w:rsid w:val="00A2724F"/>
    <w:rsid w:val="00A41454"/>
    <w:rsid w:val="00A416FD"/>
    <w:rsid w:val="00A47846"/>
    <w:rsid w:val="00A5177C"/>
    <w:rsid w:val="00A55DBB"/>
    <w:rsid w:val="00A61D37"/>
    <w:rsid w:val="00A642A2"/>
    <w:rsid w:val="00A64C43"/>
    <w:rsid w:val="00A64CB9"/>
    <w:rsid w:val="00A72599"/>
    <w:rsid w:val="00A7440B"/>
    <w:rsid w:val="00A755EC"/>
    <w:rsid w:val="00A7737B"/>
    <w:rsid w:val="00A82CCB"/>
    <w:rsid w:val="00A86C97"/>
    <w:rsid w:val="00A9578D"/>
    <w:rsid w:val="00AB5607"/>
    <w:rsid w:val="00AB5DC6"/>
    <w:rsid w:val="00AB6C13"/>
    <w:rsid w:val="00AC199F"/>
    <w:rsid w:val="00AC350F"/>
    <w:rsid w:val="00AD44AD"/>
    <w:rsid w:val="00AD4AE3"/>
    <w:rsid w:val="00AD557E"/>
    <w:rsid w:val="00AE68A8"/>
    <w:rsid w:val="00AF5F5D"/>
    <w:rsid w:val="00B0514F"/>
    <w:rsid w:val="00B05DB2"/>
    <w:rsid w:val="00B06665"/>
    <w:rsid w:val="00B13F10"/>
    <w:rsid w:val="00B2127B"/>
    <w:rsid w:val="00B47424"/>
    <w:rsid w:val="00B505F2"/>
    <w:rsid w:val="00B543EF"/>
    <w:rsid w:val="00B5782D"/>
    <w:rsid w:val="00B62921"/>
    <w:rsid w:val="00B639AB"/>
    <w:rsid w:val="00B64AE5"/>
    <w:rsid w:val="00B67D8A"/>
    <w:rsid w:val="00B72215"/>
    <w:rsid w:val="00B8191E"/>
    <w:rsid w:val="00B93FF3"/>
    <w:rsid w:val="00BA208F"/>
    <w:rsid w:val="00BA2DCC"/>
    <w:rsid w:val="00BB341B"/>
    <w:rsid w:val="00BC2B00"/>
    <w:rsid w:val="00BC4613"/>
    <w:rsid w:val="00BC47D4"/>
    <w:rsid w:val="00BC7AB0"/>
    <w:rsid w:val="00BD253B"/>
    <w:rsid w:val="00BD36D0"/>
    <w:rsid w:val="00BF22AA"/>
    <w:rsid w:val="00BF364E"/>
    <w:rsid w:val="00BF4DDC"/>
    <w:rsid w:val="00C0329A"/>
    <w:rsid w:val="00C0549F"/>
    <w:rsid w:val="00C13622"/>
    <w:rsid w:val="00C13A5A"/>
    <w:rsid w:val="00C21730"/>
    <w:rsid w:val="00C2203A"/>
    <w:rsid w:val="00C25790"/>
    <w:rsid w:val="00C26650"/>
    <w:rsid w:val="00C2773B"/>
    <w:rsid w:val="00C41361"/>
    <w:rsid w:val="00C466FF"/>
    <w:rsid w:val="00C477D9"/>
    <w:rsid w:val="00C4785E"/>
    <w:rsid w:val="00C52D55"/>
    <w:rsid w:val="00C62799"/>
    <w:rsid w:val="00C63074"/>
    <w:rsid w:val="00C645F0"/>
    <w:rsid w:val="00C66019"/>
    <w:rsid w:val="00C661F6"/>
    <w:rsid w:val="00C666B0"/>
    <w:rsid w:val="00C66BA2"/>
    <w:rsid w:val="00C7198E"/>
    <w:rsid w:val="00C72EA9"/>
    <w:rsid w:val="00C86B88"/>
    <w:rsid w:val="00C86DC5"/>
    <w:rsid w:val="00C94148"/>
    <w:rsid w:val="00CA0182"/>
    <w:rsid w:val="00CA0F27"/>
    <w:rsid w:val="00CA2783"/>
    <w:rsid w:val="00CA3DD2"/>
    <w:rsid w:val="00CA40A7"/>
    <w:rsid w:val="00CA4D19"/>
    <w:rsid w:val="00CB2DC2"/>
    <w:rsid w:val="00CB3BC3"/>
    <w:rsid w:val="00CB4A09"/>
    <w:rsid w:val="00CB50F7"/>
    <w:rsid w:val="00CB56D0"/>
    <w:rsid w:val="00CC20E6"/>
    <w:rsid w:val="00CD05A3"/>
    <w:rsid w:val="00CD609E"/>
    <w:rsid w:val="00CE400A"/>
    <w:rsid w:val="00CF6C46"/>
    <w:rsid w:val="00CF7775"/>
    <w:rsid w:val="00D04F73"/>
    <w:rsid w:val="00D15ED5"/>
    <w:rsid w:val="00D17B3A"/>
    <w:rsid w:val="00D22CCF"/>
    <w:rsid w:val="00D26777"/>
    <w:rsid w:val="00D27D70"/>
    <w:rsid w:val="00D4385F"/>
    <w:rsid w:val="00D54D55"/>
    <w:rsid w:val="00D56045"/>
    <w:rsid w:val="00D6038D"/>
    <w:rsid w:val="00D6345C"/>
    <w:rsid w:val="00D648ED"/>
    <w:rsid w:val="00D66193"/>
    <w:rsid w:val="00D717AE"/>
    <w:rsid w:val="00D816C5"/>
    <w:rsid w:val="00D86A6F"/>
    <w:rsid w:val="00D93F39"/>
    <w:rsid w:val="00DA11FB"/>
    <w:rsid w:val="00DC2269"/>
    <w:rsid w:val="00DC3A4F"/>
    <w:rsid w:val="00DC3B9F"/>
    <w:rsid w:val="00DC51C4"/>
    <w:rsid w:val="00DC6777"/>
    <w:rsid w:val="00DD1C3E"/>
    <w:rsid w:val="00DD2BFE"/>
    <w:rsid w:val="00DD46FE"/>
    <w:rsid w:val="00DD6F33"/>
    <w:rsid w:val="00DE1B3E"/>
    <w:rsid w:val="00DE5E58"/>
    <w:rsid w:val="00DF02CF"/>
    <w:rsid w:val="00DF1A53"/>
    <w:rsid w:val="00DF2A57"/>
    <w:rsid w:val="00DF527E"/>
    <w:rsid w:val="00DF5414"/>
    <w:rsid w:val="00E008DF"/>
    <w:rsid w:val="00E10F11"/>
    <w:rsid w:val="00E14355"/>
    <w:rsid w:val="00E167B7"/>
    <w:rsid w:val="00E21D3A"/>
    <w:rsid w:val="00E23AE9"/>
    <w:rsid w:val="00E25D9B"/>
    <w:rsid w:val="00E262CE"/>
    <w:rsid w:val="00E31977"/>
    <w:rsid w:val="00E40060"/>
    <w:rsid w:val="00E40A00"/>
    <w:rsid w:val="00E43D4E"/>
    <w:rsid w:val="00E511F4"/>
    <w:rsid w:val="00E5386A"/>
    <w:rsid w:val="00E57A17"/>
    <w:rsid w:val="00E676A7"/>
    <w:rsid w:val="00E720EA"/>
    <w:rsid w:val="00E8058E"/>
    <w:rsid w:val="00E863D9"/>
    <w:rsid w:val="00E926C7"/>
    <w:rsid w:val="00E94F0C"/>
    <w:rsid w:val="00E964BC"/>
    <w:rsid w:val="00EA43C5"/>
    <w:rsid w:val="00EA7C12"/>
    <w:rsid w:val="00EC0184"/>
    <w:rsid w:val="00EC4272"/>
    <w:rsid w:val="00EC617E"/>
    <w:rsid w:val="00EC6566"/>
    <w:rsid w:val="00EC6574"/>
    <w:rsid w:val="00EC764D"/>
    <w:rsid w:val="00ED1948"/>
    <w:rsid w:val="00ED6F64"/>
    <w:rsid w:val="00EE02CC"/>
    <w:rsid w:val="00EE2B5D"/>
    <w:rsid w:val="00EF13D6"/>
    <w:rsid w:val="00EF445C"/>
    <w:rsid w:val="00EF75D3"/>
    <w:rsid w:val="00F01C26"/>
    <w:rsid w:val="00F029F0"/>
    <w:rsid w:val="00F05F91"/>
    <w:rsid w:val="00F10D86"/>
    <w:rsid w:val="00F20EBE"/>
    <w:rsid w:val="00F242C6"/>
    <w:rsid w:val="00F33F35"/>
    <w:rsid w:val="00F37B4D"/>
    <w:rsid w:val="00F40889"/>
    <w:rsid w:val="00F412CB"/>
    <w:rsid w:val="00F42CE7"/>
    <w:rsid w:val="00F42E75"/>
    <w:rsid w:val="00F433C4"/>
    <w:rsid w:val="00F46971"/>
    <w:rsid w:val="00F560C8"/>
    <w:rsid w:val="00F579DC"/>
    <w:rsid w:val="00F61C1B"/>
    <w:rsid w:val="00F625C1"/>
    <w:rsid w:val="00F64054"/>
    <w:rsid w:val="00F64F5F"/>
    <w:rsid w:val="00F704AB"/>
    <w:rsid w:val="00F7249C"/>
    <w:rsid w:val="00F86E59"/>
    <w:rsid w:val="00F95C76"/>
    <w:rsid w:val="00F95DC5"/>
    <w:rsid w:val="00FA17EC"/>
    <w:rsid w:val="00FA6187"/>
    <w:rsid w:val="00FB04D0"/>
    <w:rsid w:val="00FB451F"/>
    <w:rsid w:val="00FB5387"/>
    <w:rsid w:val="00FB5F36"/>
    <w:rsid w:val="00FC0949"/>
    <w:rsid w:val="00FC2729"/>
    <w:rsid w:val="00FD2B9A"/>
    <w:rsid w:val="00FD6E5F"/>
    <w:rsid w:val="00FD755E"/>
    <w:rsid w:val="00FE3221"/>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999B"/>
  <w15:chartTrackingRefBased/>
  <w15:docId w15:val="{DE1D6A5C-64A3-4216-8D07-AAC9041A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611"/>
    <w:rPr>
      <w:rFonts w:eastAsiaTheme="majorEastAsia" w:cstheme="majorBidi"/>
      <w:color w:val="272727" w:themeColor="text1" w:themeTint="D8"/>
    </w:rPr>
  </w:style>
  <w:style w:type="paragraph" w:styleId="Title">
    <w:name w:val="Title"/>
    <w:basedOn w:val="Normal"/>
    <w:next w:val="Normal"/>
    <w:link w:val="TitleChar"/>
    <w:uiPriority w:val="10"/>
    <w:qFormat/>
    <w:rsid w:val="004C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611"/>
    <w:pPr>
      <w:spacing w:before="160"/>
      <w:jc w:val="center"/>
    </w:pPr>
    <w:rPr>
      <w:i/>
      <w:iCs/>
      <w:color w:val="404040" w:themeColor="text1" w:themeTint="BF"/>
    </w:rPr>
  </w:style>
  <w:style w:type="character" w:customStyle="1" w:styleId="QuoteChar">
    <w:name w:val="Quote Char"/>
    <w:basedOn w:val="DefaultParagraphFont"/>
    <w:link w:val="Quote"/>
    <w:uiPriority w:val="29"/>
    <w:rsid w:val="004C4611"/>
    <w:rPr>
      <w:i/>
      <w:iCs/>
      <w:color w:val="404040" w:themeColor="text1" w:themeTint="BF"/>
    </w:rPr>
  </w:style>
  <w:style w:type="paragraph" w:styleId="ListParagraph">
    <w:name w:val="List Paragraph"/>
    <w:basedOn w:val="Normal"/>
    <w:uiPriority w:val="34"/>
    <w:qFormat/>
    <w:rsid w:val="004C4611"/>
    <w:pPr>
      <w:ind w:left="720"/>
      <w:contextualSpacing/>
    </w:pPr>
  </w:style>
  <w:style w:type="character" w:styleId="IntenseEmphasis">
    <w:name w:val="Intense Emphasis"/>
    <w:basedOn w:val="DefaultParagraphFont"/>
    <w:uiPriority w:val="21"/>
    <w:qFormat/>
    <w:rsid w:val="004C4611"/>
    <w:rPr>
      <w:i/>
      <w:iCs/>
      <w:color w:val="0F4761" w:themeColor="accent1" w:themeShade="BF"/>
    </w:rPr>
  </w:style>
  <w:style w:type="paragraph" w:styleId="IntenseQuote">
    <w:name w:val="Intense Quote"/>
    <w:basedOn w:val="Normal"/>
    <w:next w:val="Normal"/>
    <w:link w:val="IntenseQuoteChar"/>
    <w:uiPriority w:val="30"/>
    <w:qFormat/>
    <w:rsid w:val="004C4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611"/>
    <w:rPr>
      <w:i/>
      <w:iCs/>
      <w:color w:val="0F4761" w:themeColor="accent1" w:themeShade="BF"/>
    </w:rPr>
  </w:style>
  <w:style w:type="character" w:styleId="IntenseReference">
    <w:name w:val="Intense Reference"/>
    <w:basedOn w:val="DefaultParagraphFont"/>
    <w:uiPriority w:val="32"/>
    <w:qFormat/>
    <w:rsid w:val="004C4611"/>
    <w:rPr>
      <w:b/>
      <w:bCs/>
      <w:smallCaps/>
      <w:color w:val="0F4761" w:themeColor="accent1" w:themeShade="BF"/>
      <w:spacing w:val="5"/>
    </w:rPr>
  </w:style>
  <w:style w:type="character" w:styleId="Hyperlink">
    <w:name w:val="Hyperlink"/>
    <w:basedOn w:val="DefaultParagraphFont"/>
    <w:uiPriority w:val="99"/>
    <w:unhideWhenUsed/>
    <w:rsid w:val="008B6D65"/>
    <w:rPr>
      <w:color w:val="467886" w:themeColor="hyperlink"/>
      <w:u w:val="single"/>
    </w:rPr>
  </w:style>
  <w:style w:type="character" w:styleId="UnresolvedMention">
    <w:name w:val="Unresolved Mention"/>
    <w:basedOn w:val="DefaultParagraphFont"/>
    <w:uiPriority w:val="99"/>
    <w:semiHidden/>
    <w:unhideWhenUsed/>
    <w:rsid w:val="008B6D65"/>
    <w:rPr>
      <w:color w:val="605E5C"/>
      <w:shd w:val="clear" w:color="auto" w:fill="E1DFDD"/>
    </w:rPr>
  </w:style>
  <w:style w:type="paragraph" w:styleId="Header">
    <w:name w:val="header"/>
    <w:basedOn w:val="Normal"/>
    <w:link w:val="HeaderChar"/>
    <w:uiPriority w:val="99"/>
    <w:unhideWhenUsed/>
    <w:rsid w:val="00CD6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9E"/>
  </w:style>
  <w:style w:type="paragraph" w:styleId="Footer">
    <w:name w:val="footer"/>
    <w:basedOn w:val="Normal"/>
    <w:link w:val="FooterChar"/>
    <w:uiPriority w:val="99"/>
    <w:unhideWhenUsed/>
    <w:rsid w:val="00CD6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9E"/>
  </w:style>
  <w:style w:type="paragraph" w:styleId="NoSpacing">
    <w:name w:val="No Spacing"/>
    <w:uiPriority w:val="1"/>
    <w:qFormat/>
    <w:rsid w:val="00865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2967">
      <w:bodyDiv w:val="1"/>
      <w:marLeft w:val="0"/>
      <w:marRight w:val="0"/>
      <w:marTop w:val="0"/>
      <w:marBottom w:val="0"/>
      <w:divBdr>
        <w:top w:val="none" w:sz="0" w:space="0" w:color="auto"/>
        <w:left w:val="none" w:sz="0" w:space="0" w:color="auto"/>
        <w:bottom w:val="none" w:sz="0" w:space="0" w:color="auto"/>
        <w:right w:val="none" w:sz="0" w:space="0" w:color="auto"/>
      </w:divBdr>
    </w:div>
    <w:div w:id="166597252">
      <w:bodyDiv w:val="1"/>
      <w:marLeft w:val="0"/>
      <w:marRight w:val="0"/>
      <w:marTop w:val="0"/>
      <w:marBottom w:val="0"/>
      <w:divBdr>
        <w:top w:val="none" w:sz="0" w:space="0" w:color="auto"/>
        <w:left w:val="none" w:sz="0" w:space="0" w:color="auto"/>
        <w:bottom w:val="none" w:sz="0" w:space="0" w:color="auto"/>
        <w:right w:val="none" w:sz="0" w:space="0" w:color="auto"/>
      </w:divBdr>
    </w:div>
    <w:div w:id="277570597">
      <w:bodyDiv w:val="1"/>
      <w:marLeft w:val="0"/>
      <w:marRight w:val="0"/>
      <w:marTop w:val="0"/>
      <w:marBottom w:val="0"/>
      <w:divBdr>
        <w:top w:val="none" w:sz="0" w:space="0" w:color="auto"/>
        <w:left w:val="none" w:sz="0" w:space="0" w:color="auto"/>
        <w:bottom w:val="none" w:sz="0" w:space="0" w:color="auto"/>
        <w:right w:val="none" w:sz="0" w:space="0" w:color="auto"/>
      </w:divBdr>
    </w:div>
    <w:div w:id="307396414">
      <w:bodyDiv w:val="1"/>
      <w:marLeft w:val="0"/>
      <w:marRight w:val="0"/>
      <w:marTop w:val="0"/>
      <w:marBottom w:val="0"/>
      <w:divBdr>
        <w:top w:val="none" w:sz="0" w:space="0" w:color="auto"/>
        <w:left w:val="none" w:sz="0" w:space="0" w:color="auto"/>
        <w:bottom w:val="none" w:sz="0" w:space="0" w:color="auto"/>
        <w:right w:val="none" w:sz="0" w:space="0" w:color="auto"/>
      </w:divBdr>
    </w:div>
    <w:div w:id="517541925">
      <w:bodyDiv w:val="1"/>
      <w:marLeft w:val="0"/>
      <w:marRight w:val="0"/>
      <w:marTop w:val="0"/>
      <w:marBottom w:val="0"/>
      <w:divBdr>
        <w:top w:val="none" w:sz="0" w:space="0" w:color="auto"/>
        <w:left w:val="none" w:sz="0" w:space="0" w:color="auto"/>
        <w:bottom w:val="none" w:sz="0" w:space="0" w:color="auto"/>
        <w:right w:val="none" w:sz="0" w:space="0" w:color="auto"/>
      </w:divBdr>
    </w:div>
    <w:div w:id="522213005">
      <w:bodyDiv w:val="1"/>
      <w:marLeft w:val="0"/>
      <w:marRight w:val="0"/>
      <w:marTop w:val="0"/>
      <w:marBottom w:val="0"/>
      <w:divBdr>
        <w:top w:val="none" w:sz="0" w:space="0" w:color="auto"/>
        <w:left w:val="none" w:sz="0" w:space="0" w:color="auto"/>
        <w:bottom w:val="none" w:sz="0" w:space="0" w:color="auto"/>
        <w:right w:val="none" w:sz="0" w:space="0" w:color="auto"/>
      </w:divBdr>
    </w:div>
    <w:div w:id="991643787">
      <w:bodyDiv w:val="1"/>
      <w:marLeft w:val="0"/>
      <w:marRight w:val="0"/>
      <w:marTop w:val="0"/>
      <w:marBottom w:val="0"/>
      <w:divBdr>
        <w:top w:val="none" w:sz="0" w:space="0" w:color="auto"/>
        <w:left w:val="none" w:sz="0" w:space="0" w:color="auto"/>
        <w:bottom w:val="none" w:sz="0" w:space="0" w:color="auto"/>
        <w:right w:val="none" w:sz="0" w:space="0" w:color="auto"/>
      </w:divBdr>
    </w:div>
    <w:div w:id="1039937975">
      <w:bodyDiv w:val="1"/>
      <w:marLeft w:val="0"/>
      <w:marRight w:val="0"/>
      <w:marTop w:val="0"/>
      <w:marBottom w:val="0"/>
      <w:divBdr>
        <w:top w:val="none" w:sz="0" w:space="0" w:color="auto"/>
        <w:left w:val="none" w:sz="0" w:space="0" w:color="auto"/>
        <w:bottom w:val="none" w:sz="0" w:space="0" w:color="auto"/>
        <w:right w:val="none" w:sz="0" w:space="0" w:color="auto"/>
      </w:divBdr>
    </w:div>
    <w:div w:id="1057509516">
      <w:bodyDiv w:val="1"/>
      <w:marLeft w:val="0"/>
      <w:marRight w:val="0"/>
      <w:marTop w:val="0"/>
      <w:marBottom w:val="0"/>
      <w:divBdr>
        <w:top w:val="none" w:sz="0" w:space="0" w:color="auto"/>
        <w:left w:val="none" w:sz="0" w:space="0" w:color="auto"/>
        <w:bottom w:val="none" w:sz="0" w:space="0" w:color="auto"/>
        <w:right w:val="none" w:sz="0" w:space="0" w:color="auto"/>
      </w:divBdr>
    </w:div>
    <w:div w:id="1268927443">
      <w:bodyDiv w:val="1"/>
      <w:marLeft w:val="0"/>
      <w:marRight w:val="0"/>
      <w:marTop w:val="0"/>
      <w:marBottom w:val="0"/>
      <w:divBdr>
        <w:top w:val="none" w:sz="0" w:space="0" w:color="auto"/>
        <w:left w:val="none" w:sz="0" w:space="0" w:color="auto"/>
        <w:bottom w:val="none" w:sz="0" w:space="0" w:color="auto"/>
        <w:right w:val="none" w:sz="0" w:space="0" w:color="auto"/>
      </w:divBdr>
    </w:div>
    <w:div w:id="1457142974">
      <w:bodyDiv w:val="1"/>
      <w:marLeft w:val="0"/>
      <w:marRight w:val="0"/>
      <w:marTop w:val="0"/>
      <w:marBottom w:val="0"/>
      <w:divBdr>
        <w:top w:val="none" w:sz="0" w:space="0" w:color="auto"/>
        <w:left w:val="none" w:sz="0" w:space="0" w:color="auto"/>
        <w:bottom w:val="none" w:sz="0" w:space="0" w:color="auto"/>
        <w:right w:val="none" w:sz="0" w:space="0" w:color="auto"/>
      </w:divBdr>
    </w:div>
    <w:div w:id="1480265097">
      <w:bodyDiv w:val="1"/>
      <w:marLeft w:val="0"/>
      <w:marRight w:val="0"/>
      <w:marTop w:val="0"/>
      <w:marBottom w:val="0"/>
      <w:divBdr>
        <w:top w:val="none" w:sz="0" w:space="0" w:color="auto"/>
        <w:left w:val="none" w:sz="0" w:space="0" w:color="auto"/>
        <w:bottom w:val="none" w:sz="0" w:space="0" w:color="auto"/>
        <w:right w:val="none" w:sz="0" w:space="0" w:color="auto"/>
      </w:divBdr>
    </w:div>
    <w:div w:id="1534033179">
      <w:bodyDiv w:val="1"/>
      <w:marLeft w:val="0"/>
      <w:marRight w:val="0"/>
      <w:marTop w:val="0"/>
      <w:marBottom w:val="0"/>
      <w:divBdr>
        <w:top w:val="none" w:sz="0" w:space="0" w:color="auto"/>
        <w:left w:val="none" w:sz="0" w:space="0" w:color="auto"/>
        <w:bottom w:val="none" w:sz="0" w:space="0" w:color="auto"/>
        <w:right w:val="none" w:sz="0" w:space="0" w:color="auto"/>
      </w:divBdr>
    </w:div>
    <w:div w:id="1591814537">
      <w:bodyDiv w:val="1"/>
      <w:marLeft w:val="0"/>
      <w:marRight w:val="0"/>
      <w:marTop w:val="0"/>
      <w:marBottom w:val="0"/>
      <w:divBdr>
        <w:top w:val="none" w:sz="0" w:space="0" w:color="auto"/>
        <w:left w:val="none" w:sz="0" w:space="0" w:color="auto"/>
        <w:bottom w:val="none" w:sz="0" w:space="0" w:color="auto"/>
        <w:right w:val="none" w:sz="0" w:space="0" w:color="auto"/>
      </w:divBdr>
    </w:div>
    <w:div w:id="1678582763">
      <w:bodyDiv w:val="1"/>
      <w:marLeft w:val="0"/>
      <w:marRight w:val="0"/>
      <w:marTop w:val="0"/>
      <w:marBottom w:val="0"/>
      <w:divBdr>
        <w:top w:val="none" w:sz="0" w:space="0" w:color="auto"/>
        <w:left w:val="none" w:sz="0" w:space="0" w:color="auto"/>
        <w:bottom w:val="none" w:sz="0" w:space="0" w:color="auto"/>
        <w:right w:val="none" w:sz="0" w:space="0" w:color="auto"/>
      </w:divBdr>
    </w:div>
    <w:div w:id="1837721072">
      <w:bodyDiv w:val="1"/>
      <w:marLeft w:val="0"/>
      <w:marRight w:val="0"/>
      <w:marTop w:val="0"/>
      <w:marBottom w:val="0"/>
      <w:divBdr>
        <w:top w:val="none" w:sz="0" w:space="0" w:color="auto"/>
        <w:left w:val="none" w:sz="0" w:space="0" w:color="auto"/>
        <w:bottom w:val="none" w:sz="0" w:space="0" w:color="auto"/>
        <w:right w:val="none" w:sz="0" w:space="0" w:color="auto"/>
      </w:divBdr>
    </w:div>
    <w:div w:id="1882083824">
      <w:bodyDiv w:val="1"/>
      <w:marLeft w:val="0"/>
      <w:marRight w:val="0"/>
      <w:marTop w:val="0"/>
      <w:marBottom w:val="0"/>
      <w:divBdr>
        <w:top w:val="none" w:sz="0" w:space="0" w:color="auto"/>
        <w:left w:val="none" w:sz="0" w:space="0" w:color="auto"/>
        <w:bottom w:val="none" w:sz="0" w:space="0" w:color="auto"/>
        <w:right w:val="none" w:sz="0" w:space="0" w:color="auto"/>
      </w:divBdr>
    </w:div>
    <w:div w:id="21009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fo.gov/assets/files/Uniform%20Guidance%20_Reference%20Guides%20FINAL%204-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18C13A13F9D40B327DC5BF660474A" ma:contentTypeVersion="8" ma:contentTypeDescription="Create a new document." ma:contentTypeScope="" ma:versionID="927ef5f01d53abb827fe0300180652fa">
  <xsd:schema xmlns:xsd="http://www.w3.org/2001/XMLSchema" xmlns:xs="http://www.w3.org/2001/XMLSchema" xmlns:p="http://schemas.microsoft.com/office/2006/metadata/properties" xmlns:ns2="57323d91-f5ae-4574-98e6-bf067fdb5393" xmlns:ns3="efb8d925-957b-41d3-804c-d64e0d8e5b51" targetNamespace="http://schemas.microsoft.com/office/2006/metadata/properties" ma:root="true" ma:fieldsID="bf6cf995bf9d830b917790f44bdbc835" ns2:_="" ns3:_="">
    <xsd:import namespace="57323d91-f5ae-4574-98e6-bf067fdb5393"/>
    <xsd:import namespace="efb8d925-957b-41d3-804c-d64e0d8e5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23d91-f5ae-4574-98e6-bf067fdb5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8d925-957b-41d3-804c-d64e0d8e5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5576E-12F0-4C9E-B6D3-FAEC561DC29B}">
  <ds:schemaRefs>
    <ds:schemaRef ds:uri="http://schemas.microsoft.com/sharepoint/v3/contenttype/forms"/>
  </ds:schemaRefs>
</ds:datastoreItem>
</file>

<file path=customXml/itemProps2.xml><?xml version="1.0" encoding="utf-8"?>
<ds:datastoreItem xmlns:ds="http://schemas.openxmlformats.org/officeDocument/2006/customXml" ds:itemID="{490FCAF0-D54F-426E-95D8-1ECDA22BB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23d91-f5ae-4574-98e6-bf067fdb5393"/>
    <ds:schemaRef ds:uri="efb8d925-957b-41d3-804c-d64e0d8e5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9D89D-353D-4B70-B68E-15EF27497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Judith</dc:creator>
  <cp:keywords/>
  <dc:description/>
  <cp:lastModifiedBy>Markham, Bobby</cp:lastModifiedBy>
  <cp:revision>2</cp:revision>
  <dcterms:created xsi:type="dcterms:W3CDTF">2024-10-30T17:10:00Z</dcterms:created>
  <dcterms:modified xsi:type="dcterms:W3CDTF">2024-10-30T17:10:00Z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0x01010000818C13A13F9D40B327DC5BF660474A</vt:lpwstr>
  </property>
</Properties>
</file>