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800"/>
        <w:gridCol w:w="3000"/>
      </w:tblGrid>
      <w:tr w:rsidR="0001232F" w14:paraId="4E573765" w14:textId="77777777">
        <w:tc>
          <w:tcPr>
            <w:tcW w:w="7800" w:type="dxa"/>
            <w:shd w:val="clear" w:color="auto" w:fill="0F4A9C"/>
            <w:tcMar>
              <w:top w:w="260" w:type="dxa"/>
              <w:left w:w="300" w:type="dxa"/>
              <w:bottom w:w="260" w:type="dxa"/>
              <w:right w:w="200" w:type="dxa"/>
            </w:tcMar>
            <w:vAlign w:val="center"/>
          </w:tcPr>
          <w:p w14:paraId="2A024861" w14:textId="77777777" w:rsidR="0001232F" w:rsidRDefault="00645F88">
            <w:pPr>
              <w:spacing w:after="60"/>
            </w:pPr>
            <w:r>
              <w:rPr>
                <w:rFonts w:ascii="Source Sans 3" w:eastAsia="Source Sans 3" w:hAnsi="Source Sans 3" w:cs="Source Sans 3"/>
                <w:b/>
                <w:bCs/>
                <w:color w:val="BFD4F2"/>
                <w:spacing w:val="20"/>
                <w:sz w:val="18"/>
                <w:szCs w:val="18"/>
              </w:rPr>
              <w:t>PATIENT &amp; FAMILY GUIDE</w:t>
            </w:r>
          </w:p>
          <w:p w14:paraId="349F7AF8" w14:textId="77777777" w:rsidR="0001232F" w:rsidRDefault="00645F88">
            <w:pPr>
              <w:spacing w:after="60"/>
            </w:pPr>
            <w:r>
              <w:rPr>
                <w:rFonts w:ascii="Merriweather" w:eastAsia="Merriweather" w:hAnsi="Merriweather" w:cs="Merriweather"/>
                <w:b/>
                <w:bCs/>
                <w:color w:val="FFFFFF"/>
                <w:sz w:val="40"/>
                <w:szCs w:val="40"/>
              </w:rPr>
              <w:t>Ankle Fracture Rehabilitation</w:t>
            </w:r>
          </w:p>
          <w:p w14:paraId="653D4BBE" w14:textId="4EE3632E" w:rsidR="0001232F" w:rsidRDefault="00645F88">
            <w:r>
              <w:rPr>
                <w:rFonts w:ascii="Source Sans 3" w:eastAsia="Source Sans 3" w:hAnsi="Source Sans 3" w:cs="Source Sans 3"/>
                <w:i/>
                <w:iCs/>
                <w:color w:val="D9E6FA"/>
                <w:sz w:val="22"/>
                <w:szCs w:val="22"/>
              </w:rPr>
              <w:t>Non-Surgical Treatment — Stable Fracture</w:t>
            </w:r>
            <w:r w:rsidR="00D710F7">
              <w:rPr>
                <w:rFonts w:ascii="Source Sans 3" w:eastAsia="Source Sans 3" w:hAnsi="Source Sans 3" w:cs="Source Sans 3"/>
                <w:i/>
                <w:iCs/>
                <w:color w:val="D9E6FA"/>
                <w:sz w:val="22"/>
                <w:szCs w:val="22"/>
              </w:rPr>
              <w:t xml:space="preserve"> Patterns</w:t>
            </w:r>
          </w:p>
        </w:tc>
        <w:tc>
          <w:tcPr>
            <w:tcW w:w="3000" w:type="dxa"/>
            <w:shd w:val="clear" w:color="auto" w:fill="0F4A9C"/>
            <w:tcMar>
              <w:top w:w="260" w:type="dxa"/>
              <w:left w:w="200" w:type="dxa"/>
              <w:bottom w:w="260" w:type="dxa"/>
              <w:right w:w="300" w:type="dxa"/>
            </w:tcMar>
            <w:vAlign w:val="center"/>
          </w:tcPr>
          <w:p w14:paraId="7B8F9515" w14:textId="77777777" w:rsidR="0001232F" w:rsidRDefault="00645F88">
            <w:pPr>
              <w:jc w:val="right"/>
            </w:pPr>
            <w:r>
              <w:rPr>
                <w:noProof/>
              </w:rPr>
              <w:drawing>
                <wp:inline distT="0" distB="0" distL="0" distR="0" wp14:anchorId="1C914CD1" wp14:editId="0D3CB0FD">
                  <wp:extent cx="142875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428750" cy="381000"/>
                          </a:xfrm>
                          <a:prstGeom prst="rect">
                            <a:avLst/>
                          </a:prstGeom>
                        </pic:spPr>
                      </pic:pic>
                    </a:graphicData>
                  </a:graphic>
                </wp:inline>
              </w:drawing>
            </w:r>
          </w:p>
        </w:tc>
      </w:tr>
    </w:tbl>
    <w:p w14:paraId="02F505C5" w14:textId="77777777" w:rsidR="0001232F" w:rsidRDefault="0001232F">
      <w:pPr>
        <w:spacing w:after="280"/>
      </w:pPr>
    </w:p>
    <w:tbl>
      <w:tblPr>
        <w:tblW w:w="10800" w:type="dxa"/>
        <w:tblBorders>
          <w:top w:val="none" w:sz="0" w:space="0" w:color="FFFFFF"/>
          <w:left w:val="single" w:sz="24" w:space="0" w:color="1A63CC"/>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01232F" w14:paraId="31A4E5E2" w14:textId="77777777">
        <w:tc>
          <w:tcPr>
            <w:tcW w:w="10800" w:type="dxa"/>
            <w:shd w:val="clear" w:color="auto" w:fill="E8F0FC"/>
            <w:tcMar>
              <w:top w:w="160" w:type="dxa"/>
              <w:left w:w="240" w:type="dxa"/>
              <w:bottom w:w="160" w:type="dxa"/>
              <w:right w:w="240" w:type="dxa"/>
            </w:tcMar>
          </w:tcPr>
          <w:p w14:paraId="0CEB1582" w14:textId="77777777" w:rsidR="0001232F" w:rsidRDefault="00645F88">
            <w:r>
              <w:rPr>
                <w:rFonts w:ascii="Source Sans 3" w:eastAsia="Source Sans 3" w:hAnsi="Source Sans 3" w:cs="Source Sans 3"/>
                <w:b/>
                <w:bCs/>
                <w:color w:val="0F4A9C"/>
                <w:sz w:val="21"/>
                <w:szCs w:val="21"/>
              </w:rPr>
              <w:t xml:space="preserve">Most children with </w:t>
            </w:r>
            <w:proofErr w:type="gramStart"/>
            <w:r>
              <w:rPr>
                <w:rFonts w:ascii="Source Sans 3" w:eastAsia="Source Sans 3" w:hAnsi="Source Sans 3" w:cs="Source Sans 3"/>
                <w:b/>
                <w:bCs/>
                <w:color w:val="0F4A9C"/>
                <w:sz w:val="21"/>
                <w:szCs w:val="21"/>
              </w:rPr>
              <w:t>a stable</w:t>
            </w:r>
            <w:proofErr w:type="gramEnd"/>
            <w:r>
              <w:rPr>
                <w:rFonts w:ascii="Source Sans 3" w:eastAsia="Source Sans 3" w:hAnsi="Source Sans 3" w:cs="Source Sans 3"/>
                <w:b/>
                <w:bCs/>
                <w:color w:val="0F4A9C"/>
                <w:sz w:val="21"/>
                <w:szCs w:val="21"/>
              </w:rPr>
              <w:t>, non-displaced ankle fracture heal completely with a cast or boot alone — surgery is not needed for this type of injury.</w:t>
            </w:r>
          </w:p>
        </w:tc>
      </w:tr>
    </w:tbl>
    <w:p w14:paraId="1E13EEC7" w14:textId="77777777" w:rsidR="0001232F" w:rsidRDefault="0001232F">
      <w:pPr>
        <w:spacing w:after="260"/>
      </w:pPr>
    </w:p>
    <w:p w14:paraId="7DBC1128" w14:textId="77777777"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t>What Is This Condition?</w:t>
      </w:r>
    </w:p>
    <w:p w14:paraId="32EB3151" w14:textId="159D4F69" w:rsidR="0001232F" w:rsidRDefault="00645F88">
      <w:pPr>
        <w:spacing w:after="160" w:line="300" w:lineRule="auto"/>
      </w:pPr>
      <w:r>
        <w:rPr>
          <w:rFonts w:ascii="Source Sans 3" w:eastAsia="Source Sans 3" w:hAnsi="Source Sans 3" w:cs="Source Sans 3"/>
          <w:color w:val="1A1A1A"/>
          <w:sz w:val="21"/>
          <w:szCs w:val="21"/>
        </w:rPr>
        <w:t>A</w:t>
      </w:r>
      <w:r w:rsidR="00D710F7">
        <w:rPr>
          <w:rFonts w:ascii="Source Sans 3" w:eastAsia="Source Sans 3" w:hAnsi="Source Sans 3" w:cs="Source Sans 3"/>
          <w:color w:val="1A1A1A"/>
          <w:sz w:val="21"/>
          <w:szCs w:val="21"/>
        </w:rPr>
        <w:t xml:space="preserve">n </w:t>
      </w:r>
      <w:r>
        <w:rPr>
          <w:rFonts w:ascii="Source Sans 3" w:eastAsia="Source Sans 3" w:hAnsi="Source Sans 3" w:cs="Source Sans 3"/>
          <w:color w:val="1A1A1A"/>
          <w:sz w:val="21"/>
          <w:szCs w:val="21"/>
        </w:rPr>
        <w:t xml:space="preserve">ankle fracture is a break in one or </w:t>
      </w:r>
      <w:proofErr w:type="gramStart"/>
      <w:r>
        <w:rPr>
          <w:rFonts w:ascii="Source Sans 3" w:eastAsia="Source Sans 3" w:hAnsi="Source Sans 3" w:cs="Source Sans 3"/>
          <w:color w:val="1A1A1A"/>
          <w:sz w:val="21"/>
          <w:szCs w:val="21"/>
        </w:rPr>
        <w:t>both of the bones</w:t>
      </w:r>
      <w:proofErr w:type="gramEnd"/>
      <w:r>
        <w:rPr>
          <w:rFonts w:ascii="Source Sans 3" w:eastAsia="Source Sans 3" w:hAnsi="Source Sans 3" w:cs="Source Sans 3"/>
          <w:color w:val="1A1A1A"/>
          <w:sz w:val="21"/>
          <w:szCs w:val="21"/>
        </w:rPr>
        <w:t xml:space="preserve"> that form the ankle joint — most commonly the fibula (the thinner bone on the outside of the ankle) and sometimes the tibia (the shin bone). "Stable" and "non-displaced" mean the broken bone ends have not shifted out of position, so the fracture is </w:t>
      </w:r>
      <w:proofErr w:type="gramStart"/>
      <w:r>
        <w:rPr>
          <w:rFonts w:ascii="Source Sans 3" w:eastAsia="Source Sans 3" w:hAnsi="Source Sans 3" w:cs="Source Sans 3"/>
          <w:color w:val="1A1A1A"/>
          <w:sz w:val="21"/>
          <w:szCs w:val="21"/>
        </w:rPr>
        <w:t>being held</w:t>
      </w:r>
      <w:proofErr w:type="gramEnd"/>
      <w:r>
        <w:rPr>
          <w:rFonts w:ascii="Source Sans 3" w:eastAsia="Source Sans 3" w:hAnsi="Source Sans 3" w:cs="Source Sans 3"/>
          <w:color w:val="1A1A1A"/>
          <w:sz w:val="21"/>
          <w:szCs w:val="21"/>
        </w:rPr>
        <w:t xml:space="preserve"> in good alignment by the surrounding soft tissue and can heal without surgery.</w:t>
      </w:r>
    </w:p>
    <w:p w14:paraId="03CFC360" w14:textId="77777777" w:rsidR="0001232F" w:rsidRDefault="00645F88">
      <w:pPr>
        <w:spacing w:after="160" w:line="300" w:lineRule="auto"/>
      </w:pPr>
      <w:r>
        <w:rPr>
          <w:rFonts w:ascii="Source Sans 3" w:eastAsia="Source Sans 3" w:hAnsi="Source Sans 3" w:cs="Source Sans 3"/>
          <w:color w:val="1A1A1A"/>
          <w:sz w:val="21"/>
          <w:szCs w:val="21"/>
        </w:rPr>
        <w:t xml:space="preserve">In children, this is one of the most common injuries seen after a twisting fall, a sports injury, or a misstep off a curb or playground equipment. What looks like a </w:t>
      </w:r>
      <w:proofErr w:type="gramStart"/>
      <w:r>
        <w:rPr>
          <w:rFonts w:ascii="Source Sans 3" w:eastAsia="Source Sans 3" w:hAnsi="Source Sans 3" w:cs="Source Sans 3"/>
          <w:color w:val="1A1A1A"/>
          <w:sz w:val="21"/>
          <w:szCs w:val="21"/>
        </w:rPr>
        <w:t>bad ankle</w:t>
      </w:r>
      <w:proofErr w:type="gramEnd"/>
      <w:r>
        <w:rPr>
          <w:rFonts w:ascii="Source Sans 3" w:eastAsia="Source Sans 3" w:hAnsi="Source Sans 3" w:cs="Source Sans 3"/>
          <w:color w:val="1A1A1A"/>
          <w:sz w:val="21"/>
          <w:szCs w:val="21"/>
        </w:rPr>
        <w:t xml:space="preserve"> sprain in a child is often, in fact, a fracture through the growth plate.</w:t>
      </w:r>
    </w:p>
    <w:p w14:paraId="5486F046" w14:textId="77777777" w:rsidR="0001232F" w:rsidRDefault="0001232F">
      <w:pPr>
        <w:spacing w:after="200"/>
      </w:pPr>
    </w:p>
    <w:p w14:paraId="57BC8253" w14:textId="77777777"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t>Anatomy: Why Kids' Ankles Are Different</w:t>
      </w:r>
    </w:p>
    <w:p w14:paraId="75E07C45" w14:textId="77777777" w:rsidR="0001232F" w:rsidRDefault="00645F88">
      <w:pPr>
        <w:spacing w:after="160" w:line="300" w:lineRule="auto"/>
      </w:pPr>
      <w:r>
        <w:rPr>
          <w:rFonts w:ascii="Source Sans 3" w:eastAsia="Source Sans 3" w:hAnsi="Source Sans 3" w:cs="Source Sans 3"/>
          <w:color w:val="1A1A1A"/>
          <w:sz w:val="21"/>
          <w:szCs w:val="21"/>
        </w:rPr>
        <w:t xml:space="preserve">The ankle joint is formed by the bottom of the tibia and fibula wrapping around the top of the talus (the ankle bone). In growing children, each of these bones has a growth plate (physis) near the ankle — an area of cartilage that is </w:t>
      </w:r>
      <w:proofErr w:type="gramStart"/>
      <w:r>
        <w:rPr>
          <w:rFonts w:ascii="Source Sans 3" w:eastAsia="Source Sans 3" w:hAnsi="Source Sans 3" w:cs="Source Sans 3"/>
          <w:color w:val="1A1A1A"/>
          <w:sz w:val="21"/>
          <w:szCs w:val="21"/>
        </w:rPr>
        <w:t>actually weaker</w:t>
      </w:r>
      <w:proofErr w:type="gramEnd"/>
      <w:r>
        <w:rPr>
          <w:rFonts w:ascii="Source Sans 3" w:eastAsia="Source Sans 3" w:hAnsi="Source Sans 3" w:cs="Source Sans 3"/>
          <w:color w:val="1A1A1A"/>
          <w:sz w:val="21"/>
          <w:szCs w:val="21"/>
        </w:rPr>
        <w:t xml:space="preserve"> than the ligaments that support the joint.</w:t>
      </w:r>
    </w:p>
    <w:p w14:paraId="400C6644" w14:textId="77777777" w:rsidR="0001232F" w:rsidRDefault="00645F88">
      <w:pPr>
        <w:spacing w:after="160" w:line="300" w:lineRule="auto"/>
      </w:pPr>
      <w:r>
        <w:rPr>
          <w:rFonts w:ascii="Source Sans 3" w:eastAsia="Source Sans 3" w:hAnsi="Source Sans 3" w:cs="Source Sans 3"/>
          <w:color w:val="1A1A1A"/>
          <w:sz w:val="21"/>
          <w:szCs w:val="21"/>
        </w:rPr>
        <w:t>Because of this, a twisting force that would sprain a ligament in an adult more often fractures the growth plate in a child. This is why any child with significant ankle pain and swelling after a twisting injury should be evaluated for a fracture, even if it "looks like just a sprain."</w:t>
      </w:r>
    </w:p>
    <w:p w14:paraId="36BC1AA4" w14:textId="77777777" w:rsidR="0001232F" w:rsidRDefault="0001232F">
      <w:pPr>
        <w:spacing w:after="200"/>
      </w:pPr>
    </w:p>
    <w:p w14:paraId="6956DA8B" w14:textId="77777777"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t>Natural History — What to Expect</w:t>
      </w:r>
    </w:p>
    <w:p w14:paraId="440B05F3"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These fractures heal well in children. Kids' bones remodel and heal faster and more reliably than adult bones.</w:t>
      </w:r>
    </w:p>
    <w:p w14:paraId="75F013FD"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Bone healing (the fracture becoming "sticky" and stable) typically occurs within 4 to 6 weeks.</w:t>
      </w:r>
    </w:p>
    <w:p w14:paraId="163BD383"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Growth plate involvement at this location (Salter-Harris I or II) very rarely disrupts future growth. Growth disturbance is a concern with different, higher-grade injury patterns — not this type of stable fracture.</w:t>
      </w:r>
    </w:p>
    <w:p w14:paraId="102E1326"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Swelling, mild stiffness, and some muscle weakness after cast or boot removal are normal and expected — they resolve with time and gentle use of the leg.</w:t>
      </w:r>
    </w:p>
    <w:p w14:paraId="52A14204" w14:textId="77777777" w:rsidR="0001232F" w:rsidRDefault="0001232F">
      <w:pPr>
        <w:spacing w:after="200"/>
      </w:pPr>
    </w:p>
    <w:p w14:paraId="0B72874C" w14:textId="77777777" w:rsidR="00D710F7" w:rsidRDefault="00D710F7">
      <w:pPr>
        <w:rPr>
          <w:rFonts w:ascii="Merriweather" w:eastAsia="Merriweather" w:hAnsi="Merriweather" w:cs="Merriweather"/>
          <w:b/>
          <w:bCs/>
          <w:color w:val="0F4A9C"/>
          <w:sz w:val="26"/>
          <w:szCs w:val="26"/>
        </w:rPr>
      </w:pPr>
      <w:r>
        <w:rPr>
          <w:rFonts w:ascii="Merriweather" w:eastAsia="Merriweather" w:hAnsi="Merriweather" w:cs="Merriweather"/>
          <w:b/>
          <w:bCs/>
          <w:color w:val="0F4A9C"/>
          <w:sz w:val="26"/>
          <w:szCs w:val="26"/>
        </w:rPr>
        <w:br w:type="page"/>
      </w:r>
    </w:p>
    <w:p w14:paraId="0F6E698D" w14:textId="0460AA51"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lastRenderedPageBreak/>
        <w:t>Treatment Options</w:t>
      </w:r>
    </w:p>
    <w:p w14:paraId="19D3EE63" w14:textId="77777777" w:rsidR="0001232F" w:rsidRDefault="00645F88">
      <w:pPr>
        <w:spacing w:after="160" w:line="300" w:lineRule="auto"/>
      </w:pPr>
      <w:r>
        <w:rPr>
          <w:rFonts w:ascii="Source Sans 3" w:eastAsia="Source Sans 3" w:hAnsi="Source Sans 3" w:cs="Source Sans 3"/>
          <w:color w:val="1A1A1A"/>
          <w:sz w:val="21"/>
          <w:szCs w:val="21"/>
        </w:rPr>
        <w:t>Stable, non-displaced ankle fractures are treated with immobilization alone — no surgery is required.</w:t>
      </w:r>
    </w:p>
    <w:p w14:paraId="726D0D3A"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Cast: A short-leg cast is worn for 4 to 6 weeks. This may start as a non-walking cast and be changed to a walking cast, or may be a walking cast from the start, depending on the fracture pattern.</w:t>
      </w:r>
    </w:p>
    <w:p w14:paraId="5CA14BED"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CAM (fracture) boot: For some fracture patterns, a removable walking boot is used instead of a cast for the full 4 to 6 weeks. The boot can be removed for bathing and for gentle motion exercises as directed.</w:t>
      </w:r>
    </w:p>
    <w:p w14:paraId="32EAA5A1"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Weight-bearing: Unless told otherwise, children are weight-bearing as tolerated (WBAT) in the cast or boot — meaning it is safe to put as much weight on the leg as is comfortable.</w:t>
      </w:r>
    </w:p>
    <w:p w14:paraId="6EE0E5DB" w14:textId="77777777" w:rsidR="0001232F" w:rsidRDefault="0001232F">
      <w:pPr>
        <w:spacing w:after="160"/>
      </w:pPr>
    </w:p>
    <w:tbl>
      <w:tblPr>
        <w:tblW w:w="10800" w:type="dxa"/>
        <w:tblBorders>
          <w:top w:val="single" w:sz="4" w:space="0" w:color="1A63CC"/>
          <w:left w:val="single" w:sz="24" w:space="0" w:color="1A63CC"/>
          <w:bottom w:val="single" w:sz="4" w:space="0" w:color="1A63CC"/>
          <w:right w:val="single" w:sz="4" w:space="0" w:color="1A63C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01232F" w14:paraId="2DE77550" w14:textId="77777777">
        <w:tc>
          <w:tcPr>
            <w:tcW w:w="10800" w:type="dxa"/>
            <w:shd w:val="clear" w:color="auto" w:fill="E8F0FC"/>
            <w:tcMar>
              <w:top w:w="200" w:type="dxa"/>
              <w:left w:w="260" w:type="dxa"/>
              <w:bottom w:w="200" w:type="dxa"/>
              <w:right w:w="260" w:type="dxa"/>
            </w:tcMar>
          </w:tcPr>
          <w:p w14:paraId="44DEF0A1" w14:textId="77777777" w:rsidR="0001232F" w:rsidRDefault="00645F88">
            <w:pPr>
              <w:spacing w:after="80"/>
            </w:pPr>
            <w:r>
              <w:rPr>
                <w:rFonts w:ascii="Merriweather" w:eastAsia="Merriweather" w:hAnsi="Merriweather" w:cs="Merriweather"/>
                <w:b/>
                <w:bCs/>
                <w:color w:val="0F4A9C"/>
                <w:sz w:val="22"/>
                <w:szCs w:val="22"/>
              </w:rPr>
              <w:t>MRI Is Not Routinely Needed</w:t>
            </w:r>
          </w:p>
          <w:p w14:paraId="37C223E2" w14:textId="77777777" w:rsidR="0001232F" w:rsidRDefault="00645F88">
            <w:pPr>
              <w:spacing w:line="280" w:lineRule="auto"/>
            </w:pPr>
            <w:r>
              <w:rPr>
                <w:rFonts w:ascii="Source Sans 3" w:eastAsia="Source Sans 3" w:hAnsi="Source Sans 3" w:cs="Source Sans 3"/>
                <w:color w:val="1A1A1A"/>
                <w:sz w:val="21"/>
                <w:szCs w:val="21"/>
              </w:rPr>
              <w:t>Plain X-rays are sufficient to diagnose and follow this type of fracture. MRI does not change treatment for a stable, non-displaced fracture and is not part of routine care.</w:t>
            </w:r>
          </w:p>
        </w:tc>
      </w:tr>
    </w:tbl>
    <w:p w14:paraId="238C3A3B" w14:textId="77777777" w:rsidR="0001232F" w:rsidRDefault="0001232F">
      <w:pPr>
        <w:spacing w:after="200"/>
      </w:pPr>
    </w:p>
    <w:p w14:paraId="55A2BDCD" w14:textId="77777777"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t>Rehabilitation Phases</w:t>
      </w:r>
    </w:p>
    <w:p w14:paraId="5F584F8A" w14:textId="77777777" w:rsidR="0001232F" w:rsidRDefault="00645F88">
      <w:pPr>
        <w:spacing w:after="160" w:line="300" w:lineRule="auto"/>
      </w:pPr>
      <w:r>
        <w:rPr>
          <w:rFonts w:ascii="Source Sans 3" w:eastAsia="Source Sans 3" w:hAnsi="Source Sans 3" w:cs="Source Sans 3"/>
          <w:color w:val="1A1A1A"/>
          <w:sz w:val="21"/>
          <w:szCs w:val="21"/>
        </w:rPr>
        <w:t>Rehabilitation is guided by healing milestones, not strictly by the calendar. Your child progresses to the next phase once the goals of the current phase are met.</w:t>
      </w:r>
    </w:p>
    <w:p w14:paraId="59F05AD1" w14:textId="77777777" w:rsidR="0001232F" w:rsidRDefault="0001232F">
      <w:pPr>
        <w:spacing w:after="120"/>
      </w:pPr>
    </w:p>
    <w:tbl>
      <w:tblPr>
        <w:tblW w:w="10800" w:type="dxa"/>
        <w:tblBorders>
          <w:top w:val="single" w:sz="4" w:space="0" w:color="D0D7E2"/>
          <w:left w:val="single" w:sz="4" w:space="0" w:color="D0D7E2"/>
          <w:bottom w:val="single" w:sz="4" w:space="0" w:color="D0D7E2"/>
          <w:right w:val="single" w:sz="4" w:space="0" w:color="D0D7E2"/>
          <w:insideH w:val="single" w:sz="4" w:space="0" w:color="D0D7E2"/>
          <w:insideV w:val="single" w:sz="4" w:space="0" w:color="D0D7E2"/>
        </w:tblBorders>
        <w:tblCellMar>
          <w:left w:w="10" w:type="dxa"/>
          <w:right w:w="10" w:type="dxa"/>
        </w:tblCellMar>
        <w:tblLook w:val="0000" w:firstRow="0" w:lastRow="0" w:firstColumn="0" w:lastColumn="0" w:noHBand="0" w:noVBand="0"/>
      </w:tblPr>
      <w:tblGrid>
        <w:gridCol w:w="3600"/>
        <w:gridCol w:w="7200"/>
      </w:tblGrid>
      <w:tr w:rsidR="0001232F" w14:paraId="3EA97AE9" w14:textId="77777777">
        <w:tc>
          <w:tcPr>
            <w:tcW w:w="10800" w:type="dxa"/>
            <w:gridSpan w:val="2"/>
            <w:shd w:val="clear" w:color="auto" w:fill="0F4A9C"/>
            <w:tcMar>
              <w:top w:w="140" w:type="dxa"/>
              <w:left w:w="260" w:type="dxa"/>
              <w:bottom w:w="140" w:type="dxa"/>
              <w:right w:w="260" w:type="dxa"/>
            </w:tcMar>
          </w:tcPr>
          <w:p w14:paraId="74D8DD2A" w14:textId="77777777" w:rsidR="0001232F" w:rsidRDefault="00645F88">
            <w:r>
              <w:rPr>
                <w:rFonts w:ascii="Merriweather" w:eastAsia="Merriweather" w:hAnsi="Merriweather" w:cs="Merriweather"/>
                <w:b/>
                <w:bCs/>
                <w:color w:val="FFFFFF"/>
                <w:sz w:val="24"/>
                <w:szCs w:val="24"/>
              </w:rPr>
              <w:t>Phase 1 — Protection Phase</w:t>
            </w:r>
            <w:r>
              <w:rPr>
                <w:rFonts w:ascii="Source Sans 3" w:eastAsia="Source Sans 3" w:hAnsi="Source Sans 3" w:cs="Source Sans 3"/>
                <w:i/>
                <w:iCs/>
                <w:color w:val="FFFFFF"/>
              </w:rPr>
              <w:t xml:space="preserve"> </w:t>
            </w:r>
            <w:proofErr w:type="gramStart"/>
            <w:r>
              <w:rPr>
                <w:rFonts w:ascii="Source Sans 3" w:eastAsia="Source Sans 3" w:hAnsi="Source Sans 3" w:cs="Source Sans 3"/>
                <w:i/>
                <w:iCs/>
                <w:color w:val="FFFFFF"/>
              </w:rPr>
              <w:t xml:space="preserve">   (</w:t>
            </w:r>
            <w:proofErr w:type="gramEnd"/>
            <w:r>
              <w:rPr>
                <w:rFonts w:ascii="Source Sans 3" w:eastAsia="Source Sans 3" w:hAnsi="Source Sans 3" w:cs="Source Sans 3"/>
                <w:i/>
                <w:iCs/>
                <w:color w:val="FFFFFF"/>
              </w:rPr>
              <w:t>Weeks 0–4 to 6)</w:t>
            </w:r>
          </w:p>
        </w:tc>
      </w:tr>
      <w:tr w:rsidR="0001232F" w14:paraId="24EC45F0" w14:textId="77777777">
        <w:tc>
          <w:tcPr>
            <w:tcW w:w="3600" w:type="dxa"/>
            <w:shd w:val="clear" w:color="auto" w:fill="F7F9FD"/>
            <w:tcMar>
              <w:top w:w="160" w:type="dxa"/>
              <w:left w:w="220" w:type="dxa"/>
              <w:bottom w:w="160" w:type="dxa"/>
              <w:right w:w="200" w:type="dxa"/>
            </w:tcMar>
          </w:tcPr>
          <w:p w14:paraId="06DD10CB" w14:textId="77777777" w:rsidR="0001232F" w:rsidRDefault="00645F88">
            <w:pPr>
              <w:spacing w:after="60"/>
            </w:pPr>
            <w:r>
              <w:rPr>
                <w:rFonts w:ascii="Merriweather" w:eastAsia="Merriweather" w:hAnsi="Merriweather" w:cs="Merriweather"/>
                <w:b/>
                <w:bCs/>
                <w:color w:val="0F4A9C"/>
              </w:rPr>
              <w:t>Weight-Bearing / Immobilization</w:t>
            </w:r>
          </w:p>
          <w:p w14:paraId="69D9EE8C"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 xml:space="preserve">Weight-bearing as tolerated (WBAT) in </w:t>
            </w:r>
            <w:proofErr w:type="spellStart"/>
            <w:r>
              <w:rPr>
                <w:rFonts w:ascii="Source Sans 3" w:eastAsia="Source Sans 3" w:hAnsi="Source Sans 3" w:cs="Source Sans 3"/>
                <w:color w:val="1A1A1A"/>
                <w:sz w:val="21"/>
                <w:szCs w:val="21"/>
              </w:rPr>
              <w:t>cast</w:t>
            </w:r>
            <w:proofErr w:type="spellEnd"/>
            <w:r>
              <w:rPr>
                <w:rFonts w:ascii="Source Sans 3" w:eastAsia="Source Sans 3" w:hAnsi="Source Sans 3" w:cs="Source Sans 3"/>
                <w:color w:val="1A1A1A"/>
                <w:sz w:val="21"/>
                <w:szCs w:val="21"/>
              </w:rPr>
              <w:t xml:space="preserve"> or boot, unless directed otherwise</w:t>
            </w:r>
          </w:p>
          <w:p w14:paraId="68A1508A"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 xml:space="preserve">Cast or CAM boot </w:t>
            </w:r>
            <w:proofErr w:type="gramStart"/>
            <w:r>
              <w:rPr>
                <w:rFonts w:ascii="Source Sans 3" w:eastAsia="Source Sans 3" w:hAnsi="Source Sans 3" w:cs="Source Sans 3"/>
                <w:color w:val="1A1A1A"/>
                <w:sz w:val="21"/>
                <w:szCs w:val="21"/>
              </w:rPr>
              <w:t>worn at all times</w:t>
            </w:r>
            <w:proofErr w:type="gramEnd"/>
            <w:r>
              <w:rPr>
                <w:rFonts w:ascii="Source Sans 3" w:eastAsia="Source Sans 3" w:hAnsi="Source Sans 3" w:cs="Source Sans 3"/>
                <w:color w:val="1A1A1A"/>
                <w:sz w:val="21"/>
                <w:szCs w:val="21"/>
              </w:rPr>
              <w:t xml:space="preserve"> (boot may be removed for hygiene and directed exercises only)</w:t>
            </w:r>
          </w:p>
        </w:tc>
        <w:tc>
          <w:tcPr>
            <w:tcW w:w="7200" w:type="dxa"/>
            <w:shd w:val="clear" w:color="auto" w:fill="FFFFFF"/>
            <w:tcMar>
              <w:top w:w="160" w:type="dxa"/>
              <w:left w:w="200" w:type="dxa"/>
              <w:bottom w:w="160" w:type="dxa"/>
              <w:right w:w="220" w:type="dxa"/>
            </w:tcMar>
          </w:tcPr>
          <w:p w14:paraId="0F9BBC9D" w14:textId="77777777" w:rsidR="0001232F" w:rsidRDefault="00645F88">
            <w:pPr>
              <w:spacing w:after="60"/>
            </w:pPr>
            <w:r>
              <w:rPr>
                <w:rFonts w:ascii="Merriweather" w:eastAsia="Merriweather" w:hAnsi="Merriweather" w:cs="Merriweather"/>
                <w:b/>
                <w:bCs/>
                <w:color w:val="0F4A9C"/>
              </w:rPr>
              <w:t>Goals &amp; Interventions</w:t>
            </w:r>
          </w:p>
          <w:p w14:paraId="649F9DE3" w14:textId="77777777" w:rsidR="0001232F" w:rsidRDefault="00645F88">
            <w:pPr>
              <w:pStyle w:val="ListParagraph"/>
              <w:numPr>
                <w:ilvl w:val="0"/>
                <w:numId w:val="2"/>
              </w:numPr>
              <w:spacing w:after="90" w:line="290" w:lineRule="auto"/>
            </w:pPr>
            <w:proofErr w:type="gramStart"/>
            <w:r>
              <w:rPr>
                <w:rFonts w:ascii="Source Sans 3" w:eastAsia="Source Sans 3" w:hAnsi="Source Sans 3" w:cs="Source Sans 3"/>
                <w:color w:val="1A1A1A"/>
                <w:sz w:val="21"/>
                <w:szCs w:val="21"/>
              </w:rPr>
              <w:t>Protect</w:t>
            </w:r>
            <w:proofErr w:type="gramEnd"/>
            <w:r>
              <w:rPr>
                <w:rFonts w:ascii="Source Sans 3" w:eastAsia="Source Sans 3" w:hAnsi="Source Sans 3" w:cs="Source Sans 3"/>
                <w:color w:val="1A1A1A"/>
                <w:sz w:val="21"/>
                <w:szCs w:val="21"/>
              </w:rPr>
              <w:t xml:space="preserve"> the healing fracture</w:t>
            </w:r>
          </w:p>
          <w:p w14:paraId="5A78F8E9"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Control swelling and pain</w:t>
            </w:r>
          </w:p>
          <w:p w14:paraId="6DF1EE9D"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Maintain comfort with daily activities</w:t>
            </w:r>
          </w:p>
          <w:p w14:paraId="755BF36B" w14:textId="77777777" w:rsidR="0001232F" w:rsidRDefault="00645F88">
            <w:pPr>
              <w:spacing w:before="80" w:after="60"/>
            </w:pPr>
            <w:r>
              <w:rPr>
                <w:rFonts w:ascii="Merriweather" w:eastAsia="Merriweather" w:hAnsi="Merriweather" w:cs="Merriweather"/>
                <w:b/>
                <w:bCs/>
                <w:color w:val="0F4A9C"/>
              </w:rPr>
              <w:t>Interventions</w:t>
            </w:r>
          </w:p>
          <w:p w14:paraId="63964FC6"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Elevate the leg above heart level when resting, especially in the first 1–2 weeks</w:t>
            </w:r>
          </w:p>
          <w:p w14:paraId="187F3B2B"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Ice over the cast/boot for swelling as needed</w:t>
            </w:r>
          </w:p>
          <w:p w14:paraId="640DAB19"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Toe and knee motion within the cast/boot to discourage stiffness</w:t>
            </w:r>
          </w:p>
          <w:p w14:paraId="7B69CD0C"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Formal physical therapy is not needed during this phase for most children</w:t>
            </w:r>
          </w:p>
        </w:tc>
      </w:tr>
      <w:tr w:rsidR="0001232F" w14:paraId="20828C64" w14:textId="77777777">
        <w:tc>
          <w:tcPr>
            <w:tcW w:w="10800" w:type="dxa"/>
            <w:gridSpan w:val="2"/>
            <w:shd w:val="clear" w:color="auto" w:fill="E8F0FC"/>
            <w:tcMar>
              <w:top w:w="120" w:type="dxa"/>
              <w:left w:w="260" w:type="dxa"/>
              <w:bottom w:w="120" w:type="dxa"/>
              <w:right w:w="260" w:type="dxa"/>
            </w:tcMar>
          </w:tcPr>
          <w:p w14:paraId="1743D657" w14:textId="77777777" w:rsidR="0001232F" w:rsidRDefault="00645F88">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Scheduled follow-up X-ray shows adequate healing to discontinue immobilization.</w:t>
            </w:r>
          </w:p>
        </w:tc>
      </w:tr>
    </w:tbl>
    <w:p w14:paraId="4B50A86D" w14:textId="6A361076" w:rsidR="00D710F7" w:rsidRDefault="00D710F7">
      <w:pPr>
        <w:spacing w:after="200"/>
      </w:pPr>
    </w:p>
    <w:p w14:paraId="37226093" w14:textId="77777777" w:rsidR="00D710F7" w:rsidRDefault="00D710F7">
      <w:r>
        <w:br w:type="page"/>
      </w:r>
    </w:p>
    <w:p w14:paraId="4A66F0F0" w14:textId="77777777" w:rsidR="0001232F" w:rsidRDefault="0001232F">
      <w:pPr>
        <w:spacing w:after="200"/>
      </w:pPr>
    </w:p>
    <w:tbl>
      <w:tblPr>
        <w:tblW w:w="10800" w:type="dxa"/>
        <w:tblBorders>
          <w:top w:val="single" w:sz="4" w:space="0" w:color="D0D7E2"/>
          <w:left w:val="single" w:sz="4" w:space="0" w:color="D0D7E2"/>
          <w:bottom w:val="single" w:sz="4" w:space="0" w:color="D0D7E2"/>
          <w:right w:val="single" w:sz="4" w:space="0" w:color="D0D7E2"/>
          <w:insideH w:val="single" w:sz="4" w:space="0" w:color="D0D7E2"/>
          <w:insideV w:val="single" w:sz="4" w:space="0" w:color="D0D7E2"/>
        </w:tblBorders>
        <w:tblCellMar>
          <w:left w:w="10" w:type="dxa"/>
          <w:right w:w="10" w:type="dxa"/>
        </w:tblCellMar>
        <w:tblLook w:val="0000" w:firstRow="0" w:lastRow="0" w:firstColumn="0" w:lastColumn="0" w:noHBand="0" w:noVBand="0"/>
      </w:tblPr>
      <w:tblGrid>
        <w:gridCol w:w="3600"/>
        <w:gridCol w:w="7200"/>
      </w:tblGrid>
      <w:tr w:rsidR="0001232F" w14:paraId="510D69D9" w14:textId="77777777">
        <w:tc>
          <w:tcPr>
            <w:tcW w:w="10800" w:type="dxa"/>
            <w:gridSpan w:val="2"/>
            <w:shd w:val="clear" w:color="auto" w:fill="1A63CC"/>
            <w:tcMar>
              <w:top w:w="140" w:type="dxa"/>
              <w:left w:w="260" w:type="dxa"/>
              <w:bottom w:w="140" w:type="dxa"/>
              <w:right w:w="260" w:type="dxa"/>
            </w:tcMar>
          </w:tcPr>
          <w:p w14:paraId="705A3E1A" w14:textId="77777777" w:rsidR="0001232F" w:rsidRDefault="00645F88">
            <w:r>
              <w:rPr>
                <w:rFonts w:ascii="Merriweather" w:eastAsia="Merriweather" w:hAnsi="Merriweather" w:cs="Merriweather"/>
                <w:b/>
                <w:bCs/>
                <w:color w:val="FFFFFF"/>
                <w:sz w:val="24"/>
                <w:szCs w:val="24"/>
              </w:rPr>
              <w:t>Phase 2 — Early Motion Phase</w:t>
            </w:r>
            <w:r>
              <w:rPr>
                <w:rFonts w:ascii="Source Sans 3" w:eastAsia="Source Sans 3" w:hAnsi="Source Sans 3" w:cs="Source Sans 3"/>
                <w:i/>
                <w:iCs/>
                <w:color w:val="FFFFFF"/>
              </w:rPr>
              <w:t xml:space="preserve"> </w:t>
            </w:r>
            <w:proofErr w:type="gramStart"/>
            <w:r>
              <w:rPr>
                <w:rFonts w:ascii="Source Sans 3" w:eastAsia="Source Sans 3" w:hAnsi="Source Sans 3" w:cs="Source Sans 3"/>
                <w:i/>
                <w:iCs/>
                <w:color w:val="FFFFFF"/>
              </w:rPr>
              <w:t xml:space="preserve">   (</w:t>
            </w:r>
            <w:proofErr w:type="gramEnd"/>
            <w:r>
              <w:rPr>
                <w:rFonts w:ascii="Source Sans 3" w:eastAsia="Source Sans 3" w:hAnsi="Source Sans 3" w:cs="Source Sans 3"/>
                <w:i/>
                <w:iCs/>
                <w:color w:val="FFFFFF"/>
              </w:rPr>
              <w:t>First 1–2 weeks after cast/boot is discontinued)</w:t>
            </w:r>
          </w:p>
        </w:tc>
      </w:tr>
      <w:tr w:rsidR="0001232F" w14:paraId="400D5A42" w14:textId="77777777">
        <w:tc>
          <w:tcPr>
            <w:tcW w:w="3600" w:type="dxa"/>
            <w:shd w:val="clear" w:color="auto" w:fill="F7F9FD"/>
            <w:tcMar>
              <w:top w:w="160" w:type="dxa"/>
              <w:left w:w="220" w:type="dxa"/>
              <w:bottom w:w="160" w:type="dxa"/>
              <w:right w:w="200" w:type="dxa"/>
            </w:tcMar>
          </w:tcPr>
          <w:p w14:paraId="0AA29429" w14:textId="77777777" w:rsidR="0001232F" w:rsidRDefault="00645F88">
            <w:pPr>
              <w:spacing w:after="60"/>
            </w:pPr>
            <w:r>
              <w:rPr>
                <w:rFonts w:ascii="Merriweather" w:eastAsia="Merriweather" w:hAnsi="Merriweather" w:cs="Merriweather"/>
                <w:b/>
                <w:bCs/>
                <w:color w:val="0F4A9C"/>
              </w:rPr>
              <w:t>Weight-Bearing / Immobilization</w:t>
            </w:r>
          </w:p>
          <w:p w14:paraId="1A1A92B5"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Progress to full weight-bearing out of the cast/boot as tolerated</w:t>
            </w:r>
          </w:p>
          <w:p w14:paraId="087AEADF"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 xml:space="preserve">No brace </w:t>
            </w:r>
            <w:proofErr w:type="gramStart"/>
            <w:r>
              <w:rPr>
                <w:rFonts w:ascii="Source Sans 3" w:eastAsia="Source Sans 3" w:hAnsi="Source Sans 3" w:cs="Source Sans 3"/>
                <w:color w:val="1A1A1A"/>
                <w:sz w:val="21"/>
                <w:szCs w:val="21"/>
              </w:rPr>
              <w:t>required</w:t>
            </w:r>
            <w:proofErr w:type="gramEnd"/>
            <w:r>
              <w:rPr>
                <w:rFonts w:ascii="Source Sans 3" w:eastAsia="Source Sans 3" w:hAnsi="Source Sans 3" w:cs="Source Sans 3"/>
                <w:color w:val="1A1A1A"/>
                <w:sz w:val="21"/>
                <w:szCs w:val="21"/>
              </w:rPr>
              <w:t xml:space="preserve"> for most children; a boot may be used briefly for comfort with walking</w:t>
            </w:r>
          </w:p>
        </w:tc>
        <w:tc>
          <w:tcPr>
            <w:tcW w:w="7200" w:type="dxa"/>
            <w:shd w:val="clear" w:color="auto" w:fill="FFFFFF"/>
            <w:tcMar>
              <w:top w:w="160" w:type="dxa"/>
              <w:left w:w="200" w:type="dxa"/>
              <w:bottom w:w="160" w:type="dxa"/>
              <w:right w:w="220" w:type="dxa"/>
            </w:tcMar>
          </w:tcPr>
          <w:p w14:paraId="6E911A91" w14:textId="77777777" w:rsidR="0001232F" w:rsidRDefault="00645F88">
            <w:pPr>
              <w:spacing w:after="60"/>
            </w:pPr>
            <w:r>
              <w:rPr>
                <w:rFonts w:ascii="Merriweather" w:eastAsia="Merriweather" w:hAnsi="Merriweather" w:cs="Merriweather"/>
                <w:b/>
                <w:bCs/>
                <w:color w:val="0F4A9C"/>
              </w:rPr>
              <w:t>Goals &amp; Interventions</w:t>
            </w:r>
          </w:p>
          <w:p w14:paraId="4FB5174C"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Restore ankle range of motion</w:t>
            </w:r>
          </w:p>
          <w:p w14:paraId="714BAABA"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Normalize walking pattern (resolve limp)</w:t>
            </w:r>
          </w:p>
          <w:p w14:paraId="7EE1A5E4"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Reduce residual swelling</w:t>
            </w:r>
          </w:p>
          <w:p w14:paraId="31A613A4" w14:textId="77777777" w:rsidR="0001232F" w:rsidRDefault="00645F88">
            <w:pPr>
              <w:spacing w:before="80" w:after="60"/>
            </w:pPr>
            <w:r>
              <w:rPr>
                <w:rFonts w:ascii="Merriweather" w:eastAsia="Merriweather" w:hAnsi="Merriweather" w:cs="Merriweather"/>
                <w:b/>
                <w:bCs/>
                <w:color w:val="0F4A9C"/>
              </w:rPr>
              <w:t>Interventions</w:t>
            </w:r>
          </w:p>
          <w:p w14:paraId="4B4C3F23"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Active ankle range-of-motion exercises (circles, alphabet tracing, up/down, side-to-side)</w:t>
            </w:r>
          </w:p>
          <w:p w14:paraId="471F0345"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Gentle stretching of the calf and Achilles tendon</w:t>
            </w:r>
          </w:p>
          <w:p w14:paraId="0BCD5AF1"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Stationary bike or pool walking for low-impact motion</w:t>
            </w:r>
          </w:p>
          <w:p w14:paraId="6026801A"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Gait training if a limp persists beyond 1–2 weeks</w:t>
            </w:r>
          </w:p>
        </w:tc>
      </w:tr>
      <w:tr w:rsidR="0001232F" w14:paraId="1F700AD5" w14:textId="77777777">
        <w:tc>
          <w:tcPr>
            <w:tcW w:w="10800" w:type="dxa"/>
            <w:gridSpan w:val="2"/>
            <w:shd w:val="clear" w:color="auto" w:fill="E8F0FC"/>
            <w:tcMar>
              <w:top w:w="120" w:type="dxa"/>
              <w:left w:w="260" w:type="dxa"/>
              <w:bottom w:w="120" w:type="dxa"/>
              <w:right w:w="260" w:type="dxa"/>
            </w:tcMar>
          </w:tcPr>
          <w:p w14:paraId="5B4C76A2" w14:textId="77777777" w:rsidR="0001232F" w:rsidRDefault="00645F88">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Near-full, pain-free ankle range of motion and a normal walking pattern without a limp.</w:t>
            </w:r>
          </w:p>
        </w:tc>
      </w:tr>
    </w:tbl>
    <w:p w14:paraId="285C4906" w14:textId="77777777" w:rsidR="0001232F" w:rsidRDefault="0001232F">
      <w:pPr>
        <w:spacing w:after="200"/>
      </w:pPr>
    </w:p>
    <w:p w14:paraId="6E364281" w14:textId="77777777" w:rsidR="00D710F7" w:rsidRDefault="00D710F7">
      <w:pPr>
        <w:spacing w:after="200"/>
      </w:pPr>
    </w:p>
    <w:tbl>
      <w:tblPr>
        <w:tblW w:w="10800" w:type="dxa"/>
        <w:tblBorders>
          <w:top w:val="single" w:sz="4" w:space="0" w:color="D0D7E2"/>
          <w:left w:val="single" w:sz="4" w:space="0" w:color="D0D7E2"/>
          <w:bottom w:val="single" w:sz="4" w:space="0" w:color="D0D7E2"/>
          <w:right w:val="single" w:sz="4" w:space="0" w:color="D0D7E2"/>
          <w:insideH w:val="single" w:sz="4" w:space="0" w:color="D0D7E2"/>
          <w:insideV w:val="single" w:sz="4" w:space="0" w:color="D0D7E2"/>
        </w:tblBorders>
        <w:tblCellMar>
          <w:left w:w="10" w:type="dxa"/>
          <w:right w:w="10" w:type="dxa"/>
        </w:tblCellMar>
        <w:tblLook w:val="0000" w:firstRow="0" w:lastRow="0" w:firstColumn="0" w:lastColumn="0" w:noHBand="0" w:noVBand="0"/>
      </w:tblPr>
      <w:tblGrid>
        <w:gridCol w:w="3600"/>
        <w:gridCol w:w="7200"/>
      </w:tblGrid>
      <w:tr w:rsidR="0001232F" w14:paraId="40853DE8" w14:textId="77777777">
        <w:tc>
          <w:tcPr>
            <w:tcW w:w="10800" w:type="dxa"/>
            <w:gridSpan w:val="2"/>
            <w:shd w:val="clear" w:color="auto" w:fill="2360F8"/>
            <w:tcMar>
              <w:top w:w="140" w:type="dxa"/>
              <w:left w:w="260" w:type="dxa"/>
              <w:bottom w:w="140" w:type="dxa"/>
              <w:right w:w="260" w:type="dxa"/>
            </w:tcMar>
          </w:tcPr>
          <w:p w14:paraId="776A3521" w14:textId="77777777" w:rsidR="0001232F" w:rsidRDefault="00645F88">
            <w:r>
              <w:rPr>
                <w:rFonts w:ascii="Merriweather" w:eastAsia="Merriweather" w:hAnsi="Merriweather" w:cs="Merriweather"/>
                <w:b/>
                <w:bCs/>
                <w:color w:val="FFFFFF"/>
                <w:sz w:val="24"/>
                <w:szCs w:val="24"/>
              </w:rPr>
              <w:t>Phase 3 — Strengthening &amp; Balance Phase</w:t>
            </w:r>
            <w:r>
              <w:rPr>
                <w:rFonts w:ascii="Source Sans 3" w:eastAsia="Source Sans 3" w:hAnsi="Source Sans 3" w:cs="Source Sans 3"/>
                <w:i/>
                <w:iCs/>
                <w:color w:val="FFFFFF"/>
              </w:rPr>
              <w:t xml:space="preserve"> </w:t>
            </w:r>
            <w:proofErr w:type="gramStart"/>
            <w:r>
              <w:rPr>
                <w:rFonts w:ascii="Source Sans 3" w:eastAsia="Source Sans 3" w:hAnsi="Source Sans 3" w:cs="Source Sans 3"/>
                <w:i/>
                <w:iCs/>
                <w:color w:val="FFFFFF"/>
              </w:rPr>
              <w:t xml:space="preserve">   (</w:t>
            </w:r>
            <w:proofErr w:type="gramEnd"/>
            <w:r>
              <w:rPr>
                <w:rFonts w:ascii="Source Sans 3" w:eastAsia="Source Sans 3" w:hAnsi="Source Sans 3" w:cs="Source Sans 3"/>
                <w:i/>
                <w:iCs/>
                <w:color w:val="FFFFFF"/>
              </w:rPr>
              <w:t>Roughly weeks 6–9 (2–4 weeks after cast/boot removal))</w:t>
            </w:r>
          </w:p>
        </w:tc>
      </w:tr>
      <w:tr w:rsidR="0001232F" w14:paraId="5305A02F" w14:textId="77777777">
        <w:tc>
          <w:tcPr>
            <w:tcW w:w="3600" w:type="dxa"/>
            <w:shd w:val="clear" w:color="auto" w:fill="F7F9FD"/>
            <w:tcMar>
              <w:top w:w="160" w:type="dxa"/>
              <w:left w:w="220" w:type="dxa"/>
              <w:bottom w:w="160" w:type="dxa"/>
              <w:right w:w="200" w:type="dxa"/>
            </w:tcMar>
          </w:tcPr>
          <w:p w14:paraId="52A4BE21" w14:textId="77777777" w:rsidR="0001232F" w:rsidRDefault="00645F88">
            <w:pPr>
              <w:spacing w:after="60"/>
            </w:pPr>
            <w:r>
              <w:rPr>
                <w:rFonts w:ascii="Merriweather" w:eastAsia="Merriweather" w:hAnsi="Merriweather" w:cs="Merriweather"/>
                <w:b/>
                <w:bCs/>
                <w:color w:val="0F4A9C"/>
              </w:rPr>
              <w:t>Weight-Bearing / Immobilization</w:t>
            </w:r>
          </w:p>
          <w:p w14:paraId="151ED175"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Full weight-bearing, no assistive device</w:t>
            </w:r>
          </w:p>
          <w:p w14:paraId="5A562455"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None</w:t>
            </w:r>
          </w:p>
        </w:tc>
        <w:tc>
          <w:tcPr>
            <w:tcW w:w="7200" w:type="dxa"/>
            <w:shd w:val="clear" w:color="auto" w:fill="FFFFFF"/>
            <w:tcMar>
              <w:top w:w="160" w:type="dxa"/>
              <w:left w:w="200" w:type="dxa"/>
              <w:bottom w:w="160" w:type="dxa"/>
              <w:right w:w="220" w:type="dxa"/>
            </w:tcMar>
          </w:tcPr>
          <w:p w14:paraId="35BCBEE0" w14:textId="77777777" w:rsidR="0001232F" w:rsidRDefault="00645F88">
            <w:pPr>
              <w:spacing w:after="60"/>
            </w:pPr>
            <w:r>
              <w:rPr>
                <w:rFonts w:ascii="Merriweather" w:eastAsia="Merriweather" w:hAnsi="Merriweather" w:cs="Merriweather"/>
                <w:b/>
                <w:bCs/>
                <w:color w:val="0F4A9C"/>
              </w:rPr>
              <w:t>Goals &amp; Interventions</w:t>
            </w:r>
          </w:p>
          <w:p w14:paraId="24F363BB"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Rebuild calf, ankle, and foot intrinsic strength</w:t>
            </w:r>
          </w:p>
          <w:p w14:paraId="2845B3EF"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Restore balance and proprioception</w:t>
            </w:r>
          </w:p>
          <w:p w14:paraId="151497BE"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Prepare for higher-impact activity</w:t>
            </w:r>
          </w:p>
          <w:p w14:paraId="520E052D" w14:textId="77777777" w:rsidR="0001232F" w:rsidRDefault="00645F88">
            <w:pPr>
              <w:spacing w:before="80" w:after="60"/>
            </w:pPr>
            <w:r>
              <w:rPr>
                <w:rFonts w:ascii="Merriweather" w:eastAsia="Merriweather" w:hAnsi="Merriweather" w:cs="Merriweather"/>
                <w:b/>
                <w:bCs/>
                <w:color w:val="0F4A9C"/>
              </w:rPr>
              <w:t>Interventions</w:t>
            </w:r>
          </w:p>
          <w:p w14:paraId="7EE96F2D"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Resisted ankle exercises (</w:t>
            </w:r>
            <w:proofErr w:type="spellStart"/>
            <w:r>
              <w:rPr>
                <w:rFonts w:ascii="Source Sans 3" w:eastAsia="Source Sans 3" w:hAnsi="Source Sans 3" w:cs="Source Sans 3"/>
                <w:color w:val="1A1A1A"/>
                <w:sz w:val="21"/>
                <w:szCs w:val="21"/>
              </w:rPr>
              <w:t>theraband</w:t>
            </w:r>
            <w:proofErr w:type="spellEnd"/>
            <w:r>
              <w:rPr>
                <w:rFonts w:ascii="Source Sans 3" w:eastAsia="Source Sans 3" w:hAnsi="Source Sans 3" w:cs="Source Sans 3"/>
                <w:color w:val="1A1A1A"/>
                <w:sz w:val="21"/>
                <w:szCs w:val="21"/>
              </w:rPr>
              <w:t>) in all directions</w:t>
            </w:r>
          </w:p>
          <w:p w14:paraId="5C5B1DC3"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Single-leg balance progressing to unstable-surface balance work</w:t>
            </w:r>
          </w:p>
          <w:p w14:paraId="2E91AAF7"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 xml:space="preserve">Heel </w:t>
            </w:r>
            <w:proofErr w:type="gramStart"/>
            <w:r>
              <w:rPr>
                <w:rFonts w:ascii="Source Sans 3" w:eastAsia="Source Sans 3" w:hAnsi="Source Sans 3" w:cs="Source Sans 3"/>
                <w:color w:val="1A1A1A"/>
                <w:sz w:val="21"/>
                <w:szCs w:val="21"/>
              </w:rPr>
              <w:t>raises</w:t>
            </w:r>
            <w:proofErr w:type="gramEnd"/>
            <w:r>
              <w:rPr>
                <w:rFonts w:ascii="Source Sans 3" w:eastAsia="Source Sans 3" w:hAnsi="Source Sans 3" w:cs="Source Sans 3"/>
                <w:color w:val="1A1A1A"/>
                <w:sz w:val="21"/>
                <w:szCs w:val="21"/>
              </w:rPr>
              <w:t>, progressing from double-leg to single-leg</w:t>
            </w:r>
          </w:p>
          <w:p w14:paraId="25589981"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Low-impact conditioning: bike, elliptical, swimming</w:t>
            </w:r>
          </w:p>
        </w:tc>
      </w:tr>
      <w:tr w:rsidR="0001232F" w14:paraId="1FC30908" w14:textId="77777777">
        <w:tc>
          <w:tcPr>
            <w:tcW w:w="10800" w:type="dxa"/>
            <w:gridSpan w:val="2"/>
            <w:shd w:val="clear" w:color="auto" w:fill="E8F0FC"/>
            <w:tcMar>
              <w:top w:w="120" w:type="dxa"/>
              <w:left w:w="260" w:type="dxa"/>
              <w:bottom w:w="120" w:type="dxa"/>
              <w:right w:w="260" w:type="dxa"/>
            </w:tcMar>
          </w:tcPr>
          <w:p w14:paraId="19DF1F5E" w14:textId="77777777" w:rsidR="0001232F" w:rsidRDefault="00645F88">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Strength and balance approaching symmetry with the uninjured side; no pain with daily activity.</w:t>
            </w:r>
          </w:p>
        </w:tc>
      </w:tr>
    </w:tbl>
    <w:p w14:paraId="183E2E02" w14:textId="1347519F" w:rsidR="00D710F7" w:rsidRDefault="00D710F7">
      <w:pPr>
        <w:spacing w:after="200"/>
      </w:pPr>
    </w:p>
    <w:p w14:paraId="3212FC08" w14:textId="77777777" w:rsidR="00D710F7" w:rsidRDefault="00D710F7">
      <w:r>
        <w:br w:type="page"/>
      </w:r>
    </w:p>
    <w:p w14:paraId="1627E34A" w14:textId="77777777" w:rsidR="0001232F" w:rsidRDefault="0001232F">
      <w:pPr>
        <w:spacing w:after="200"/>
      </w:pPr>
    </w:p>
    <w:tbl>
      <w:tblPr>
        <w:tblW w:w="10800" w:type="dxa"/>
        <w:tblBorders>
          <w:top w:val="single" w:sz="4" w:space="0" w:color="D0D7E2"/>
          <w:left w:val="single" w:sz="4" w:space="0" w:color="D0D7E2"/>
          <w:bottom w:val="single" w:sz="4" w:space="0" w:color="D0D7E2"/>
          <w:right w:val="single" w:sz="4" w:space="0" w:color="D0D7E2"/>
          <w:insideH w:val="single" w:sz="4" w:space="0" w:color="D0D7E2"/>
          <w:insideV w:val="single" w:sz="4" w:space="0" w:color="D0D7E2"/>
        </w:tblBorders>
        <w:tblCellMar>
          <w:left w:w="10" w:type="dxa"/>
          <w:right w:w="10" w:type="dxa"/>
        </w:tblCellMar>
        <w:tblLook w:val="0000" w:firstRow="0" w:lastRow="0" w:firstColumn="0" w:lastColumn="0" w:noHBand="0" w:noVBand="0"/>
      </w:tblPr>
      <w:tblGrid>
        <w:gridCol w:w="3600"/>
        <w:gridCol w:w="7200"/>
      </w:tblGrid>
      <w:tr w:rsidR="0001232F" w14:paraId="206A70FF" w14:textId="77777777">
        <w:tc>
          <w:tcPr>
            <w:tcW w:w="10800" w:type="dxa"/>
            <w:gridSpan w:val="2"/>
            <w:shd w:val="clear" w:color="auto" w:fill="2E8B57"/>
            <w:tcMar>
              <w:top w:w="140" w:type="dxa"/>
              <w:left w:w="260" w:type="dxa"/>
              <w:bottom w:w="140" w:type="dxa"/>
              <w:right w:w="260" w:type="dxa"/>
            </w:tcMar>
          </w:tcPr>
          <w:p w14:paraId="2477BBC0" w14:textId="77777777" w:rsidR="0001232F" w:rsidRDefault="00645F88">
            <w:r>
              <w:rPr>
                <w:rFonts w:ascii="Merriweather" w:eastAsia="Merriweather" w:hAnsi="Merriweather" w:cs="Merriweather"/>
                <w:b/>
                <w:bCs/>
                <w:color w:val="FFFFFF"/>
                <w:sz w:val="24"/>
                <w:szCs w:val="24"/>
              </w:rPr>
              <w:t>Phase 4 — Return to Activity / Sport Phase</w:t>
            </w:r>
            <w:r>
              <w:rPr>
                <w:rFonts w:ascii="Source Sans 3" w:eastAsia="Source Sans 3" w:hAnsi="Source Sans 3" w:cs="Source Sans 3"/>
                <w:i/>
                <w:iCs/>
                <w:color w:val="FFFFFF"/>
              </w:rPr>
              <w:t xml:space="preserve"> </w:t>
            </w:r>
            <w:proofErr w:type="gramStart"/>
            <w:r>
              <w:rPr>
                <w:rFonts w:ascii="Source Sans 3" w:eastAsia="Source Sans 3" w:hAnsi="Source Sans 3" w:cs="Source Sans 3"/>
                <w:i/>
                <w:iCs/>
                <w:color w:val="FFFFFF"/>
              </w:rPr>
              <w:t xml:space="preserve">   (</w:t>
            </w:r>
            <w:proofErr w:type="gramEnd"/>
            <w:r>
              <w:rPr>
                <w:rFonts w:ascii="Source Sans 3" w:eastAsia="Source Sans 3" w:hAnsi="Source Sans 3" w:cs="Source Sans 3"/>
                <w:i/>
                <w:iCs/>
                <w:color w:val="FFFFFF"/>
              </w:rPr>
              <w:t>Roughly weeks 8–12)</w:t>
            </w:r>
          </w:p>
        </w:tc>
      </w:tr>
      <w:tr w:rsidR="0001232F" w14:paraId="668E4D99" w14:textId="77777777">
        <w:tc>
          <w:tcPr>
            <w:tcW w:w="3600" w:type="dxa"/>
            <w:shd w:val="clear" w:color="auto" w:fill="F7F9FD"/>
            <w:tcMar>
              <w:top w:w="160" w:type="dxa"/>
              <w:left w:w="220" w:type="dxa"/>
              <w:bottom w:w="160" w:type="dxa"/>
              <w:right w:w="200" w:type="dxa"/>
            </w:tcMar>
          </w:tcPr>
          <w:p w14:paraId="2E7D9B9D" w14:textId="77777777" w:rsidR="0001232F" w:rsidRDefault="00645F88">
            <w:pPr>
              <w:spacing w:after="60"/>
            </w:pPr>
            <w:r>
              <w:rPr>
                <w:rFonts w:ascii="Merriweather" w:eastAsia="Merriweather" w:hAnsi="Merriweather" w:cs="Merriweather"/>
                <w:b/>
                <w:bCs/>
                <w:color w:val="0F4A9C"/>
              </w:rPr>
              <w:t>Weight-Bearing / Immobilization</w:t>
            </w:r>
          </w:p>
          <w:p w14:paraId="23C7999F"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Full, unrestricted</w:t>
            </w:r>
          </w:p>
          <w:p w14:paraId="3B5D3C75"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Ankle brace or lace-up support optional for early return to sport, per surgeon preference</w:t>
            </w:r>
          </w:p>
        </w:tc>
        <w:tc>
          <w:tcPr>
            <w:tcW w:w="7200" w:type="dxa"/>
            <w:shd w:val="clear" w:color="auto" w:fill="FFFFFF"/>
            <w:tcMar>
              <w:top w:w="160" w:type="dxa"/>
              <w:left w:w="200" w:type="dxa"/>
              <w:bottom w:w="160" w:type="dxa"/>
              <w:right w:w="220" w:type="dxa"/>
            </w:tcMar>
          </w:tcPr>
          <w:p w14:paraId="02E52A3A" w14:textId="77777777" w:rsidR="0001232F" w:rsidRDefault="00645F88">
            <w:pPr>
              <w:spacing w:after="60"/>
            </w:pPr>
            <w:r>
              <w:rPr>
                <w:rFonts w:ascii="Merriweather" w:eastAsia="Merriweather" w:hAnsi="Merriweather" w:cs="Merriweather"/>
                <w:b/>
                <w:bCs/>
                <w:color w:val="0F4A9C"/>
              </w:rPr>
              <w:t>Goals &amp; Interventions</w:t>
            </w:r>
          </w:p>
          <w:p w14:paraId="2C919EC1"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Return to running, cutting, and jumping activities</w:t>
            </w:r>
          </w:p>
          <w:p w14:paraId="698427FB"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Return to sport-specific movement and full unrestricted play</w:t>
            </w:r>
          </w:p>
          <w:p w14:paraId="0DFEBF2C" w14:textId="77777777" w:rsidR="0001232F" w:rsidRDefault="00645F88">
            <w:pPr>
              <w:spacing w:before="80" w:after="60"/>
            </w:pPr>
            <w:r>
              <w:rPr>
                <w:rFonts w:ascii="Merriweather" w:eastAsia="Merriweather" w:hAnsi="Merriweather" w:cs="Merriweather"/>
                <w:b/>
                <w:bCs/>
                <w:color w:val="0F4A9C"/>
              </w:rPr>
              <w:t>Interventions</w:t>
            </w:r>
          </w:p>
          <w:p w14:paraId="00F8BF8C"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Progressive running program (straight-line before cutting/pivoting)</w:t>
            </w:r>
          </w:p>
          <w:p w14:paraId="61D9190D"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Plyometric and agility drills</w:t>
            </w:r>
          </w:p>
          <w:p w14:paraId="60A2F498" w14:textId="77777777" w:rsidR="0001232F" w:rsidRDefault="00645F88">
            <w:pPr>
              <w:pStyle w:val="ListParagraph"/>
              <w:numPr>
                <w:ilvl w:val="0"/>
                <w:numId w:val="2"/>
              </w:numPr>
              <w:spacing w:after="90" w:line="290" w:lineRule="auto"/>
            </w:pPr>
            <w:r>
              <w:rPr>
                <w:rFonts w:ascii="Source Sans 3" w:eastAsia="Source Sans 3" w:hAnsi="Source Sans 3" w:cs="Source Sans 3"/>
                <w:color w:val="1A1A1A"/>
                <w:sz w:val="21"/>
                <w:szCs w:val="21"/>
              </w:rPr>
              <w:t>Sport-specific drills before full return to competitive play</w:t>
            </w:r>
          </w:p>
        </w:tc>
      </w:tr>
      <w:tr w:rsidR="0001232F" w14:paraId="51110030" w14:textId="77777777">
        <w:tc>
          <w:tcPr>
            <w:tcW w:w="10800" w:type="dxa"/>
            <w:gridSpan w:val="2"/>
            <w:shd w:val="clear" w:color="auto" w:fill="E8F0FC"/>
            <w:tcMar>
              <w:top w:w="120" w:type="dxa"/>
              <w:left w:w="260" w:type="dxa"/>
              <w:bottom w:w="120" w:type="dxa"/>
              <w:right w:w="260" w:type="dxa"/>
            </w:tcMar>
          </w:tcPr>
          <w:p w14:paraId="7C43D360" w14:textId="77777777" w:rsidR="0001232F" w:rsidRDefault="00645F88">
            <w:r>
              <w:rPr>
                <w:rFonts w:ascii="Source Sans 3" w:eastAsia="Source Sans 3" w:hAnsi="Source Sans 3" w:cs="Source Sans 3"/>
                <w:b/>
                <w:bCs/>
                <w:color w:val="0F4A9C"/>
              </w:rPr>
              <w:t xml:space="preserve">Criteria to advance: </w:t>
            </w:r>
            <w:r>
              <w:rPr>
                <w:rFonts w:ascii="Source Sans 3" w:eastAsia="Source Sans 3" w:hAnsi="Source Sans 3" w:cs="Source Sans 3"/>
                <w:color w:val="1A1A1A"/>
              </w:rPr>
              <w:t>Full, pain-free strength, balance, and confidence with sport-specific movement; cleared by the treating surgeon.</w:t>
            </w:r>
          </w:p>
        </w:tc>
      </w:tr>
    </w:tbl>
    <w:p w14:paraId="14410416" w14:textId="77777777" w:rsidR="0001232F" w:rsidRDefault="0001232F">
      <w:pPr>
        <w:spacing w:after="260"/>
      </w:pPr>
    </w:p>
    <w:p w14:paraId="1D4680E2" w14:textId="77777777"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t>Quick-Reference Timeline</w:t>
      </w:r>
    </w:p>
    <w:tbl>
      <w:tblPr>
        <w:tblW w:w="10800" w:type="dxa"/>
        <w:tblBorders>
          <w:top w:val="single" w:sz="4" w:space="0" w:color="D0D7E2"/>
          <w:left w:val="single" w:sz="4" w:space="0" w:color="D0D7E2"/>
          <w:bottom w:val="single" w:sz="4" w:space="0" w:color="D0D7E2"/>
          <w:right w:val="single" w:sz="4" w:space="0" w:color="D0D7E2"/>
          <w:insideH w:val="single" w:sz="4" w:space="0" w:color="D0D7E2"/>
          <w:insideV w:val="single" w:sz="4" w:space="0" w:color="D0D7E2"/>
        </w:tblBorders>
        <w:tblCellMar>
          <w:left w:w="10" w:type="dxa"/>
          <w:right w:w="10" w:type="dxa"/>
        </w:tblCellMar>
        <w:tblLook w:val="0000" w:firstRow="0" w:lastRow="0" w:firstColumn="0" w:lastColumn="0" w:noHBand="0" w:noVBand="0"/>
      </w:tblPr>
      <w:tblGrid>
        <w:gridCol w:w="3200"/>
        <w:gridCol w:w="2600"/>
        <w:gridCol w:w="5000"/>
      </w:tblGrid>
      <w:tr w:rsidR="0001232F" w14:paraId="6CC472CA" w14:textId="77777777">
        <w:tc>
          <w:tcPr>
            <w:tcW w:w="3200" w:type="dxa"/>
            <w:shd w:val="clear" w:color="auto" w:fill="0F4A9C"/>
            <w:tcMar>
              <w:top w:w="120" w:type="dxa"/>
              <w:left w:w="180" w:type="dxa"/>
              <w:bottom w:w="120" w:type="dxa"/>
              <w:right w:w="180" w:type="dxa"/>
            </w:tcMar>
          </w:tcPr>
          <w:p w14:paraId="34CB1D1E" w14:textId="77777777" w:rsidR="0001232F" w:rsidRDefault="00645F88">
            <w:r>
              <w:rPr>
                <w:rFonts w:ascii="Merriweather" w:eastAsia="Merriweather" w:hAnsi="Merriweather" w:cs="Merriweather"/>
                <w:b/>
                <w:bCs/>
                <w:color w:val="FFFFFF"/>
              </w:rPr>
              <w:t>Phase</w:t>
            </w:r>
          </w:p>
        </w:tc>
        <w:tc>
          <w:tcPr>
            <w:tcW w:w="2600" w:type="dxa"/>
            <w:shd w:val="clear" w:color="auto" w:fill="0F4A9C"/>
            <w:tcMar>
              <w:top w:w="120" w:type="dxa"/>
              <w:left w:w="180" w:type="dxa"/>
              <w:bottom w:w="120" w:type="dxa"/>
              <w:right w:w="180" w:type="dxa"/>
            </w:tcMar>
          </w:tcPr>
          <w:p w14:paraId="6F28D885" w14:textId="77777777" w:rsidR="0001232F" w:rsidRDefault="00645F88">
            <w:r>
              <w:rPr>
                <w:rFonts w:ascii="Merriweather" w:eastAsia="Merriweather" w:hAnsi="Merriweather" w:cs="Merriweather"/>
                <w:b/>
                <w:bCs/>
                <w:color w:val="FFFFFF"/>
              </w:rPr>
              <w:t>Timeframe</w:t>
            </w:r>
          </w:p>
        </w:tc>
        <w:tc>
          <w:tcPr>
            <w:tcW w:w="5000" w:type="dxa"/>
            <w:shd w:val="clear" w:color="auto" w:fill="0F4A9C"/>
            <w:tcMar>
              <w:top w:w="120" w:type="dxa"/>
              <w:left w:w="180" w:type="dxa"/>
              <w:bottom w:w="120" w:type="dxa"/>
              <w:right w:w="180" w:type="dxa"/>
            </w:tcMar>
          </w:tcPr>
          <w:p w14:paraId="0D07513E" w14:textId="77777777" w:rsidR="0001232F" w:rsidRDefault="00645F88">
            <w:r>
              <w:rPr>
                <w:rFonts w:ascii="Merriweather" w:eastAsia="Merriweather" w:hAnsi="Merriweather" w:cs="Merriweather"/>
                <w:b/>
                <w:bCs/>
                <w:color w:val="FFFFFF"/>
              </w:rPr>
              <w:t>Focus</w:t>
            </w:r>
          </w:p>
        </w:tc>
      </w:tr>
      <w:tr w:rsidR="0001232F" w14:paraId="61A0FBDA" w14:textId="77777777">
        <w:tc>
          <w:tcPr>
            <w:tcW w:w="3200" w:type="dxa"/>
            <w:shd w:val="clear" w:color="auto" w:fill="F7F9FD"/>
            <w:tcMar>
              <w:top w:w="100" w:type="dxa"/>
              <w:left w:w="180" w:type="dxa"/>
              <w:bottom w:w="100" w:type="dxa"/>
              <w:right w:w="180" w:type="dxa"/>
            </w:tcMar>
          </w:tcPr>
          <w:p w14:paraId="4774A339" w14:textId="77777777" w:rsidR="0001232F" w:rsidRDefault="00645F88">
            <w:r>
              <w:rPr>
                <w:rFonts w:ascii="Source Sans 3" w:eastAsia="Source Sans 3" w:hAnsi="Source Sans 3" w:cs="Source Sans 3"/>
                <w:b/>
                <w:bCs/>
                <w:color w:val="1A1A1A"/>
              </w:rPr>
              <w:t>Phase 1</w:t>
            </w:r>
          </w:p>
        </w:tc>
        <w:tc>
          <w:tcPr>
            <w:tcW w:w="2600" w:type="dxa"/>
            <w:shd w:val="clear" w:color="auto" w:fill="F7F9FD"/>
            <w:tcMar>
              <w:top w:w="100" w:type="dxa"/>
              <w:left w:w="180" w:type="dxa"/>
              <w:bottom w:w="100" w:type="dxa"/>
              <w:right w:w="180" w:type="dxa"/>
            </w:tcMar>
          </w:tcPr>
          <w:p w14:paraId="60A694A7" w14:textId="77777777" w:rsidR="0001232F" w:rsidRDefault="00645F88">
            <w:r>
              <w:rPr>
                <w:rFonts w:ascii="Source Sans 3" w:eastAsia="Source Sans 3" w:hAnsi="Source Sans 3" w:cs="Source Sans 3"/>
                <w:color w:val="1A1A1A"/>
              </w:rPr>
              <w:t>Weeks 0–6</w:t>
            </w:r>
          </w:p>
        </w:tc>
        <w:tc>
          <w:tcPr>
            <w:tcW w:w="5000" w:type="dxa"/>
            <w:shd w:val="clear" w:color="auto" w:fill="F7F9FD"/>
            <w:tcMar>
              <w:top w:w="100" w:type="dxa"/>
              <w:left w:w="180" w:type="dxa"/>
              <w:bottom w:w="100" w:type="dxa"/>
              <w:right w:w="180" w:type="dxa"/>
            </w:tcMar>
          </w:tcPr>
          <w:p w14:paraId="71A1A76D" w14:textId="77777777" w:rsidR="0001232F" w:rsidRDefault="00645F88">
            <w:r>
              <w:rPr>
                <w:rFonts w:ascii="Source Sans 3" w:eastAsia="Source Sans 3" w:hAnsi="Source Sans 3" w:cs="Source Sans 3"/>
                <w:color w:val="1A1A1A"/>
              </w:rPr>
              <w:t>Cast or boot, WBAT, swelling control; formal PT not typically needed</w:t>
            </w:r>
          </w:p>
        </w:tc>
      </w:tr>
      <w:tr w:rsidR="0001232F" w14:paraId="220D3AEA" w14:textId="77777777">
        <w:tc>
          <w:tcPr>
            <w:tcW w:w="3200" w:type="dxa"/>
            <w:shd w:val="clear" w:color="auto" w:fill="FFFFFF"/>
            <w:tcMar>
              <w:top w:w="100" w:type="dxa"/>
              <w:left w:w="180" w:type="dxa"/>
              <w:bottom w:w="100" w:type="dxa"/>
              <w:right w:w="180" w:type="dxa"/>
            </w:tcMar>
          </w:tcPr>
          <w:p w14:paraId="77EAD2C0" w14:textId="77777777" w:rsidR="0001232F" w:rsidRDefault="00645F88">
            <w:r>
              <w:rPr>
                <w:rFonts w:ascii="Source Sans 3" w:eastAsia="Source Sans 3" w:hAnsi="Source Sans 3" w:cs="Source Sans 3"/>
                <w:b/>
                <w:bCs/>
                <w:color w:val="1A1A1A"/>
              </w:rPr>
              <w:t>Phase 2</w:t>
            </w:r>
          </w:p>
        </w:tc>
        <w:tc>
          <w:tcPr>
            <w:tcW w:w="2600" w:type="dxa"/>
            <w:shd w:val="clear" w:color="auto" w:fill="FFFFFF"/>
            <w:tcMar>
              <w:top w:w="100" w:type="dxa"/>
              <w:left w:w="180" w:type="dxa"/>
              <w:bottom w:w="100" w:type="dxa"/>
              <w:right w:w="180" w:type="dxa"/>
            </w:tcMar>
          </w:tcPr>
          <w:p w14:paraId="06A419EC" w14:textId="77777777" w:rsidR="0001232F" w:rsidRDefault="00645F88">
            <w:r>
              <w:rPr>
                <w:rFonts w:ascii="Source Sans 3" w:eastAsia="Source Sans 3" w:hAnsi="Source Sans 3" w:cs="Source Sans 3"/>
                <w:color w:val="1A1A1A"/>
              </w:rPr>
              <w:t>Weeks ~4–7</w:t>
            </w:r>
          </w:p>
        </w:tc>
        <w:tc>
          <w:tcPr>
            <w:tcW w:w="5000" w:type="dxa"/>
            <w:shd w:val="clear" w:color="auto" w:fill="FFFFFF"/>
            <w:tcMar>
              <w:top w:w="100" w:type="dxa"/>
              <w:left w:w="180" w:type="dxa"/>
              <w:bottom w:w="100" w:type="dxa"/>
              <w:right w:w="180" w:type="dxa"/>
            </w:tcMar>
          </w:tcPr>
          <w:p w14:paraId="6083241C" w14:textId="77777777" w:rsidR="0001232F" w:rsidRDefault="00645F88">
            <w:r>
              <w:rPr>
                <w:rFonts w:ascii="Source Sans 3" w:eastAsia="Source Sans 3" w:hAnsi="Source Sans 3" w:cs="Source Sans 3"/>
                <w:color w:val="1A1A1A"/>
              </w:rPr>
              <w:t>Motion restored, normal gait, swelling resolving</w:t>
            </w:r>
          </w:p>
        </w:tc>
      </w:tr>
      <w:tr w:rsidR="0001232F" w14:paraId="4A5AAB9E" w14:textId="77777777">
        <w:tc>
          <w:tcPr>
            <w:tcW w:w="3200" w:type="dxa"/>
            <w:shd w:val="clear" w:color="auto" w:fill="F7F9FD"/>
            <w:tcMar>
              <w:top w:w="100" w:type="dxa"/>
              <w:left w:w="180" w:type="dxa"/>
              <w:bottom w:w="100" w:type="dxa"/>
              <w:right w:w="180" w:type="dxa"/>
            </w:tcMar>
          </w:tcPr>
          <w:p w14:paraId="7099D655" w14:textId="77777777" w:rsidR="0001232F" w:rsidRDefault="00645F88">
            <w:r>
              <w:rPr>
                <w:rFonts w:ascii="Source Sans 3" w:eastAsia="Source Sans 3" w:hAnsi="Source Sans 3" w:cs="Source Sans 3"/>
                <w:b/>
                <w:bCs/>
                <w:color w:val="1A1A1A"/>
              </w:rPr>
              <w:t>Phase 3</w:t>
            </w:r>
          </w:p>
        </w:tc>
        <w:tc>
          <w:tcPr>
            <w:tcW w:w="2600" w:type="dxa"/>
            <w:shd w:val="clear" w:color="auto" w:fill="F7F9FD"/>
            <w:tcMar>
              <w:top w:w="100" w:type="dxa"/>
              <w:left w:w="180" w:type="dxa"/>
              <w:bottom w:w="100" w:type="dxa"/>
              <w:right w:w="180" w:type="dxa"/>
            </w:tcMar>
          </w:tcPr>
          <w:p w14:paraId="58C064FA" w14:textId="77777777" w:rsidR="0001232F" w:rsidRDefault="00645F88">
            <w:r>
              <w:rPr>
                <w:rFonts w:ascii="Source Sans 3" w:eastAsia="Source Sans 3" w:hAnsi="Source Sans 3" w:cs="Source Sans 3"/>
                <w:color w:val="1A1A1A"/>
              </w:rPr>
              <w:t>Weeks ~6–9</w:t>
            </w:r>
          </w:p>
        </w:tc>
        <w:tc>
          <w:tcPr>
            <w:tcW w:w="5000" w:type="dxa"/>
            <w:shd w:val="clear" w:color="auto" w:fill="F7F9FD"/>
            <w:tcMar>
              <w:top w:w="100" w:type="dxa"/>
              <w:left w:w="180" w:type="dxa"/>
              <w:bottom w:w="100" w:type="dxa"/>
              <w:right w:w="180" w:type="dxa"/>
            </w:tcMar>
          </w:tcPr>
          <w:p w14:paraId="67EEAC73" w14:textId="77777777" w:rsidR="0001232F" w:rsidRDefault="00645F88">
            <w:r>
              <w:rPr>
                <w:rFonts w:ascii="Source Sans 3" w:eastAsia="Source Sans 3" w:hAnsi="Source Sans 3" w:cs="Source Sans 3"/>
                <w:color w:val="1A1A1A"/>
              </w:rPr>
              <w:t>Strengthening and balance/proprioception</w:t>
            </w:r>
          </w:p>
        </w:tc>
      </w:tr>
      <w:tr w:rsidR="0001232F" w14:paraId="139FAFBC" w14:textId="77777777">
        <w:tc>
          <w:tcPr>
            <w:tcW w:w="3200" w:type="dxa"/>
            <w:shd w:val="clear" w:color="auto" w:fill="FFFFFF"/>
            <w:tcMar>
              <w:top w:w="100" w:type="dxa"/>
              <w:left w:w="180" w:type="dxa"/>
              <w:bottom w:w="100" w:type="dxa"/>
              <w:right w:w="180" w:type="dxa"/>
            </w:tcMar>
          </w:tcPr>
          <w:p w14:paraId="13769F32" w14:textId="77777777" w:rsidR="0001232F" w:rsidRDefault="00645F88">
            <w:r>
              <w:rPr>
                <w:rFonts w:ascii="Source Sans 3" w:eastAsia="Source Sans 3" w:hAnsi="Source Sans 3" w:cs="Source Sans 3"/>
                <w:b/>
                <w:bCs/>
                <w:color w:val="1A1A1A"/>
              </w:rPr>
              <w:t>Phase 4</w:t>
            </w:r>
          </w:p>
        </w:tc>
        <w:tc>
          <w:tcPr>
            <w:tcW w:w="2600" w:type="dxa"/>
            <w:shd w:val="clear" w:color="auto" w:fill="FFFFFF"/>
            <w:tcMar>
              <w:top w:w="100" w:type="dxa"/>
              <w:left w:w="180" w:type="dxa"/>
              <w:bottom w:w="100" w:type="dxa"/>
              <w:right w:w="180" w:type="dxa"/>
            </w:tcMar>
          </w:tcPr>
          <w:p w14:paraId="48C60FFD" w14:textId="77777777" w:rsidR="0001232F" w:rsidRDefault="00645F88">
            <w:r>
              <w:rPr>
                <w:rFonts w:ascii="Source Sans 3" w:eastAsia="Source Sans 3" w:hAnsi="Source Sans 3" w:cs="Source Sans 3"/>
                <w:color w:val="1A1A1A"/>
              </w:rPr>
              <w:t>Weeks ~8–12</w:t>
            </w:r>
          </w:p>
        </w:tc>
        <w:tc>
          <w:tcPr>
            <w:tcW w:w="5000" w:type="dxa"/>
            <w:shd w:val="clear" w:color="auto" w:fill="FFFFFF"/>
            <w:tcMar>
              <w:top w:w="100" w:type="dxa"/>
              <w:left w:w="180" w:type="dxa"/>
              <w:bottom w:w="100" w:type="dxa"/>
              <w:right w:w="180" w:type="dxa"/>
            </w:tcMar>
          </w:tcPr>
          <w:p w14:paraId="71603A0B" w14:textId="77777777" w:rsidR="0001232F" w:rsidRDefault="00645F88">
            <w:r>
              <w:rPr>
                <w:rFonts w:ascii="Source Sans 3" w:eastAsia="Source Sans 3" w:hAnsi="Source Sans 3" w:cs="Source Sans 3"/>
                <w:color w:val="1A1A1A"/>
              </w:rPr>
              <w:t>Running, agility, and return to sport</w:t>
            </w:r>
          </w:p>
        </w:tc>
      </w:tr>
    </w:tbl>
    <w:p w14:paraId="70257CF6" w14:textId="77777777" w:rsidR="0001232F" w:rsidRDefault="00645F88">
      <w:pPr>
        <w:spacing w:line="300" w:lineRule="auto"/>
      </w:pPr>
      <w:r>
        <w:rPr>
          <w:rFonts w:ascii="Source Sans 3" w:eastAsia="Source Sans 3" w:hAnsi="Source Sans 3" w:cs="Source Sans 3"/>
          <w:i/>
          <w:iCs/>
          <w:color w:val="1A1A1A"/>
          <w:sz w:val="21"/>
          <w:szCs w:val="21"/>
        </w:rPr>
        <w:t>Timeline reflects typical healing; your child's surgeon will confirm readiness to advance at each follow-up visit based on exam and X-ray findings, not the calendar alone.</w:t>
      </w:r>
    </w:p>
    <w:p w14:paraId="6937D603" w14:textId="77777777" w:rsidR="0001232F" w:rsidRDefault="0001232F">
      <w:pPr>
        <w:spacing w:after="220"/>
      </w:pPr>
    </w:p>
    <w:p w14:paraId="1E1A199E" w14:textId="77777777"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t>Clinical Pearls</w:t>
      </w:r>
    </w:p>
    <w:tbl>
      <w:tblPr>
        <w:tblW w:w="10800" w:type="dxa"/>
        <w:tblBorders>
          <w:top w:val="single" w:sz="4" w:space="0" w:color="C98A00"/>
          <w:left w:val="single" w:sz="24" w:space="0" w:color="C98A00"/>
          <w:bottom w:val="single" w:sz="4" w:space="0" w:color="C98A00"/>
          <w:right w:val="single" w:sz="4" w:space="0" w:color="C98A00"/>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01232F" w14:paraId="258E1514" w14:textId="77777777">
        <w:tc>
          <w:tcPr>
            <w:tcW w:w="10800" w:type="dxa"/>
            <w:shd w:val="clear" w:color="auto" w:fill="FFF6E0"/>
            <w:tcMar>
              <w:top w:w="200" w:type="dxa"/>
              <w:left w:w="260" w:type="dxa"/>
              <w:bottom w:w="200" w:type="dxa"/>
              <w:right w:w="260" w:type="dxa"/>
            </w:tcMar>
          </w:tcPr>
          <w:p w14:paraId="6A5584C8" w14:textId="77777777" w:rsidR="0001232F" w:rsidRDefault="00645F88">
            <w:pPr>
              <w:spacing w:after="80"/>
            </w:pPr>
            <w:r>
              <w:rPr>
                <w:rFonts w:ascii="Merriweather" w:eastAsia="Merriweather" w:hAnsi="Merriweather" w:cs="Merriweather"/>
                <w:b/>
                <w:bCs/>
                <w:color w:val="8A5A00"/>
                <w:sz w:val="22"/>
                <w:szCs w:val="22"/>
              </w:rPr>
              <w:t>Helpful Tips</w:t>
            </w:r>
          </w:p>
          <w:p w14:paraId="6DD3EA4F" w14:textId="77777777" w:rsidR="0001232F" w:rsidRDefault="00645F88">
            <w:pPr>
              <w:spacing w:after="60" w:line="280" w:lineRule="auto"/>
              <w:rPr>
                <w:rFonts w:ascii="Source Sans 3" w:eastAsia="Source Sans 3" w:hAnsi="Source Sans 3" w:cs="Source Sans 3"/>
                <w:color w:val="1A1A1A"/>
                <w:sz w:val="21"/>
                <w:szCs w:val="21"/>
              </w:rPr>
            </w:pPr>
            <w:r>
              <w:rPr>
                <w:rFonts w:ascii="Source Sans 3" w:eastAsia="Source Sans 3" w:hAnsi="Source Sans 3" w:cs="Source Sans 3"/>
                <w:color w:val="1A1A1A"/>
                <w:sz w:val="21"/>
                <w:szCs w:val="21"/>
              </w:rPr>
              <w:t>A twisting ankle injury in a child that is tender directly over the growth plate (above the ankle joint itself) should be treated as a possible fracture, not assumed to be "just a sprain."</w:t>
            </w:r>
          </w:p>
          <w:p w14:paraId="528D3ABB" w14:textId="77777777" w:rsidR="00D710F7" w:rsidRDefault="00D710F7">
            <w:pPr>
              <w:spacing w:after="60" w:line="280" w:lineRule="auto"/>
            </w:pPr>
          </w:p>
          <w:p w14:paraId="75D0C9FD" w14:textId="77777777" w:rsidR="0001232F" w:rsidRDefault="00645F88">
            <w:pPr>
              <w:spacing w:after="60" w:line="280" w:lineRule="auto"/>
              <w:rPr>
                <w:rFonts w:ascii="Source Sans 3" w:eastAsia="Source Sans 3" w:hAnsi="Source Sans 3" w:cs="Source Sans 3"/>
                <w:color w:val="1A1A1A"/>
                <w:sz w:val="21"/>
                <w:szCs w:val="21"/>
              </w:rPr>
            </w:pPr>
            <w:r>
              <w:rPr>
                <w:rFonts w:ascii="Source Sans 3" w:eastAsia="Source Sans 3" w:hAnsi="Source Sans 3" w:cs="Source Sans 3"/>
                <w:color w:val="1A1A1A"/>
                <w:sz w:val="21"/>
                <w:szCs w:val="21"/>
              </w:rPr>
              <w:t xml:space="preserve">Formal physical therapy is not required for every child </w:t>
            </w:r>
            <w:proofErr w:type="gramStart"/>
            <w:r>
              <w:rPr>
                <w:rFonts w:ascii="Source Sans 3" w:eastAsia="Source Sans 3" w:hAnsi="Source Sans 3" w:cs="Source Sans 3"/>
                <w:color w:val="1A1A1A"/>
                <w:sz w:val="21"/>
                <w:szCs w:val="21"/>
              </w:rPr>
              <w:t>— many regain</w:t>
            </w:r>
            <w:proofErr w:type="gramEnd"/>
            <w:r>
              <w:rPr>
                <w:rFonts w:ascii="Source Sans 3" w:eastAsia="Source Sans 3" w:hAnsi="Source Sans 3" w:cs="Source Sans 3"/>
                <w:color w:val="1A1A1A"/>
                <w:sz w:val="21"/>
                <w:szCs w:val="21"/>
              </w:rPr>
              <w:t xml:space="preserve"> motion and strength on their own through normal daily activity. PT is most useful for children with persistent stiffness, a lingering limp, or an organized sport to return to.</w:t>
            </w:r>
          </w:p>
          <w:p w14:paraId="68670158" w14:textId="77777777" w:rsidR="00D710F7" w:rsidRDefault="00D710F7">
            <w:pPr>
              <w:spacing w:after="60" w:line="280" w:lineRule="auto"/>
            </w:pPr>
          </w:p>
          <w:p w14:paraId="65E1E153" w14:textId="01BF58A5" w:rsidR="0001232F" w:rsidRDefault="00D710F7">
            <w:pPr>
              <w:spacing w:line="280" w:lineRule="auto"/>
            </w:pPr>
            <w:r>
              <w:rPr>
                <w:rFonts w:ascii="Source Sans 3" w:eastAsia="Source Sans 3" w:hAnsi="Source Sans 3" w:cs="Source Sans 3"/>
                <w:color w:val="1A1A1A"/>
                <w:sz w:val="21"/>
                <w:szCs w:val="21"/>
              </w:rPr>
              <w:t>Residual swelling around the ankle for several weeks to a few months after cast removal is normal and not a sign of a problem.</w:t>
            </w:r>
          </w:p>
        </w:tc>
      </w:tr>
    </w:tbl>
    <w:p w14:paraId="56CB77A2" w14:textId="77777777" w:rsidR="0001232F" w:rsidRDefault="0001232F">
      <w:pPr>
        <w:spacing w:after="220"/>
      </w:pPr>
    </w:p>
    <w:p w14:paraId="5C255E65" w14:textId="77777777" w:rsidR="00D710F7" w:rsidRDefault="00D710F7">
      <w:pPr>
        <w:rPr>
          <w:rFonts w:ascii="Merriweather" w:eastAsia="Merriweather" w:hAnsi="Merriweather" w:cs="Merriweather"/>
          <w:b/>
          <w:bCs/>
          <w:color w:val="0F4A9C"/>
          <w:sz w:val="26"/>
          <w:szCs w:val="26"/>
        </w:rPr>
      </w:pPr>
      <w:r>
        <w:rPr>
          <w:rFonts w:ascii="Merriweather" w:eastAsia="Merriweather" w:hAnsi="Merriweather" w:cs="Merriweather"/>
          <w:b/>
          <w:bCs/>
          <w:color w:val="0F4A9C"/>
          <w:sz w:val="26"/>
          <w:szCs w:val="26"/>
        </w:rPr>
        <w:br w:type="page"/>
      </w:r>
    </w:p>
    <w:p w14:paraId="56B953BF" w14:textId="1D5B8C62" w:rsidR="0001232F" w:rsidRDefault="00645F88">
      <w:pPr>
        <w:pBdr>
          <w:bottom w:val="single" w:sz="6" w:space="4" w:color="1A63CC"/>
        </w:pBdr>
        <w:spacing w:before="320" w:after="140"/>
      </w:pPr>
      <w:r>
        <w:rPr>
          <w:rFonts w:ascii="Merriweather" w:eastAsia="Merriweather" w:hAnsi="Merriweather" w:cs="Merriweather"/>
          <w:b/>
          <w:bCs/>
          <w:color w:val="0F4A9C"/>
          <w:sz w:val="26"/>
          <w:szCs w:val="26"/>
        </w:rPr>
        <w:lastRenderedPageBreak/>
        <w:t>Potential Risks &amp; Complications</w:t>
      </w:r>
    </w:p>
    <w:tbl>
      <w:tblPr>
        <w:tblW w:w="10800" w:type="dxa"/>
        <w:tblBorders>
          <w:top w:val="single" w:sz="4" w:space="0" w:color="C0392B"/>
          <w:left w:val="single" w:sz="24" w:space="0" w:color="C0392B"/>
          <w:bottom w:val="single" w:sz="4" w:space="0" w:color="C0392B"/>
          <w:right w:val="single" w:sz="4" w:space="0" w:color="C0392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01232F" w14:paraId="53570FF0" w14:textId="77777777">
        <w:tc>
          <w:tcPr>
            <w:tcW w:w="10800" w:type="dxa"/>
            <w:shd w:val="clear" w:color="auto" w:fill="FDEAEA"/>
            <w:tcMar>
              <w:top w:w="200" w:type="dxa"/>
              <w:left w:w="260" w:type="dxa"/>
              <w:bottom w:w="200" w:type="dxa"/>
              <w:right w:w="260" w:type="dxa"/>
            </w:tcMar>
          </w:tcPr>
          <w:p w14:paraId="1ECEB4AF" w14:textId="77777777" w:rsidR="0001232F" w:rsidRDefault="00645F88">
            <w:pPr>
              <w:spacing w:after="80"/>
            </w:pPr>
            <w:r>
              <w:rPr>
                <w:rFonts w:ascii="Merriweather" w:eastAsia="Merriweather" w:hAnsi="Merriweather" w:cs="Merriweather"/>
                <w:b/>
                <w:bCs/>
                <w:color w:val="8A1F1F"/>
                <w:sz w:val="22"/>
                <w:szCs w:val="22"/>
              </w:rPr>
              <w:t>What to Watch For</w:t>
            </w:r>
          </w:p>
          <w:p w14:paraId="7AF65F6F" w14:textId="77777777" w:rsidR="0001232F" w:rsidRDefault="00645F88">
            <w:pPr>
              <w:spacing w:after="60" w:line="280" w:lineRule="auto"/>
            </w:pPr>
            <w:r>
              <w:rPr>
                <w:rFonts w:ascii="Source Sans 3" w:eastAsia="Source Sans 3" w:hAnsi="Source Sans 3" w:cs="Source Sans 3"/>
                <w:color w:val="1A1A1A"/>
                <w:sz w:val="21"/>
                <w:szCs w:val="21"/>
              </w:rPr>
              <w:t>Growth disturbance: very uncommon with this type and location of growth-plate injury; if it were to occur, it would be identified and addressed at routine follow-up.</w:t>
            </w:r>
          </w:p>
          <w:p w14:paraId="58B81890" w14:textId="77777777" w:rsidR="0001232F" w:rsidRDefault="00645F88">
            <w:pPr>
              <w:spacing w:after="60" w:line="280" w:lineRule="auto"/>
            </w:pPr>
            <w:r>
              <w:rPr>
                <w:rFonts w:ascii="Source Sans 3" w:eastAsia="Source Sans 3" w:hAnsi="Source Sans 3" w:cs="Source Sans 3"/>
                <w:color w:val="1A1A1A"/>
                <w:sz w:val="21"/>
                <w:szCs w:val="21"/>
              </w:rPr>
              <w:t>Stiffness: mild, temporary stiffness after immobilization is common and improves with motion exercises.</w:t>
            </w:r>
          </w:p>
          <w:p w14:paraId="2993343D" w14:textId="77777777" w:rsidR="0001232F" w:rsidRDefault="00645F88">
            <w:pPr>
              <w:spacing w:after="60" w:line="280" w:lineRule="auto"/>
            </w:pPr>
            <w:r>
              <w:rPr>
                <w:rFonts w:ascii="Source Sans 3" w:eastAsia="Source Sans 3" w:hAnsi="Source Sans 3" w:cs="Source Sans 3"/>
                <w:color w:val="1A1A1A"/>
                <w:sz w:val="21"/>
                <w:szCs w:val="21"/>
              </w:rPr>
              <w:t xml:space="preserve">Re-injury: returning to running, cutting, or </w:t>
            </w:r>
            <w:proofErr w:type="gramStart"/>
            <w:r>
              <w:rPr>
                <w:rFonts w:ascii="Source Sans 3" w:eastAsia="Source Sans 3" w:hAnsi="Source Sans 3" w:cs="Source Sans 3"/>
                <w:color w:val="1A1A1A"/>
                <w:sz w:val="21"/>
                <w:szCs w:val="21"/>
              </w:rPr>
              <w:t>contact</w:t>
            </w:r>
            <w:proofErr w:type="gramEnd"/>
            <w:r>
              <w:rPr>
                <w:rFonts w:ascii="Source Sans 3" w:eastAsia="Source Sans 3" w:hAnsi="Source Sans 3" w:cs="Source Sans 3"/>
                <w:color w:val="1A1A1A"/>
                <w:sz w:val="21"/>
                <w:szCs w:val="21"/>
              </w:rPr>
              <w:t xml:space="preserve"> sports before strength and balance have recovered increases the risk of re-injury.</w:t>
            </w:r>
          </w:p>
          <w:p w14:paraId="0F47DF88" w14:textId="77777777" w:rsidR="0001232F" w:rsidRDefault="00645F88">
            <w:pPr>
              <w:spacing w:line="280" w:lineRule="auto"/>
            </w:pPr>
            <w:r>
              <w:rPr>
                <w:rFonts w:ascii="Source Sans 3" w:eastAsia="Source Sans 3" w:hAnsi="Source Sans 3" w:cs="Source Sans 3"/>
                <w:color w:val="1A1A1A"/>
                <w:sz w:val="21"/>
                <w:szCs w:val="21"/>
              </w:rPr>
              <w:t>Cast or boot problems: skin irritation, excessive tightness/numbness, or a cast that becomes wet or damaged should be reported promptly.</w:t>
            </w:r>
          </w:p>
        </w:tc>
      </w:tr>
    </w:tbl>
    <w:p w14:paraId="4E0B587B" w14:textId="77777777" w:rsidR="0001232F" w:rsidRDefault="0001232F">
      <w:pPr>
        <w:spacing w:after="240"/>
      </w:pPr>
    </w:p>
    <w:p w14:paraId="3189BDE0" w14:textId="77777777" w:rsidR="00D710F7" w:rsidRDefault="00D710F7">
      <w:pPr>
        <w:spacing w:after="240"/>
      </w:pPr>
    </w:p>
    <w:p w14:paraId="763D8243" w14:textId="77777777" w:rsidR="00D710F7" w:rsidRDefault="00D710F7">
      <w:pPr>
        <w:spacing w:after="240"/>
      </w:pPr>
    </w:p>
    <w:p w14:paraId="1BFC31C4" w14:textId="77777777" w:rsidR="00D710F7" w:rsidRDefault="00D710F7">
      <w:pPr>
        <w:spacing w:after="240"/>
      </w:pPr>
    </w:p>
    <w:p w14:paraId="7053877E" w14:textId="77777777" w:rsidR="00D710F7" w:rsidRDefault="00D710F7">
      <w:pPr>
        <w:spacing w:after="240"/>
      </w:pPr>
    </w:p>
    <w:p w14:paraId="44817A9B" w14:textId="77777777" w:rsidR="00D710F7" w:rsidRDefault="00D710F7">
      <w:pPr>
        <w:spacing w:after="240"/>
      </w:pPr>
    </w:p>
    <w:p w14:paraId="3AEE99CF" w14:textId="77777777" w:rsidR="00D710F7" w:rsidRDefault="00D710F7">
      <w:pPr>
        <w:spacing w:after="240"/>
      </w:pPr>
    </w:p>
    <w:p w14:paraId="12493F74" w14:textId="77777777" w:rsidR="00D710F7" w:rsidRDefault="00D710F7">
      <w:pPr>
        <w:spacing w:after="240"/>
      </w:pPr>
    </w:p>
    <w:p w14:paraId="5B4421EF" w14:textId="77777777" w:rsidR="00D710F7" w:rsidRDefault="00D710F7">
      <w:pPr>
        <w:spacing w:after="240"/>
      </w:pPr>
    </w:p>
    <w:p w14:paraId="48FC35A7" w14:textId="77777777" w:rsidR="00D710F7" w:rsidRDefault="00D710F7">
      <w:pPr>
        <w:spacing w:after="240"/>
      </w:pPr>
    </w:p>
    <w:p w14:paraId="25433324" w14:textId="77777777" w:rsidR="00D710F7" w:rsidRDefault="00D710F7">
      <w:pPr>
        <w:spacing w:after="240"/>
      </w:pPr>
    </w:p>
    <w:p w14:paraId="0C2796D4" w14:textId="77777777" w:rsidR="00D710F7" w:rsidRDefault="00D710F7">
      <w:pPr>
        <w:spacing w:after="240"/>
      </w:pPr>
    </w:p>
    <w:p w14:paraId="45A771E4" w14:textId="77777777" w:rsidR="00D710F7" w:rsidRDefault="00D710F7">
      <w:pPr>
        <w:spacing w:after="240"/>
      </w:pPr>
    </w:p>
    <w:p w14:paraId="126FED8A" w14:textId="77777777" w:rsidR="00D710F7" w:rsidRDefault="00D710F7">
      <w:pPr>
        <w:spacing w:after="240"/>
      </w:pPr>
    </w:p>
    <w:p w14:paraId="5ADD74D3" w14:textId="77777777" w:rsidR="00D710F7" w:rsidRDefault="00D710F7">
      <w:pPr>
        <w:spacing w:after="240"/>
      </w:pPr>
    </w:p>
    <w:p w14:paraId="7730D8B8" w14:textId="77777777" w:rsidR="00D710F7" w:rsidRDefault="00D710F7">
      <w:pPr>
        <w:spacing w:after="240"/>
      </w:pPr>
    </w:p>
    <w:p w14:paraId="4805C46C" w14:textId="77777777" w:rsidR="00D710F7" w:rsidRDefault="00D710F7">
      <w:pPr>
        <w:spacing w:after="240"/>
      </w:pPr>
    </w:p>
    <w:p w14:paraId="648762EC" w14:textId="77777777" w:rsidR="00D710F7" w:rsidRDefault="00D710F7">
      <w:pPr>
        <w:spacing w:after="240"/>
      </w:pPr>
    </w:p>
    <w:p w14:paraId="281430EC" w14:textId="77777777" w:rsidR="00D710F7" w:rsidRDefault="00D710F7">
      <w:pPr>
        <w:spacing w:after="240"/>
      </w:pPr>
    </w:p>
    <w:p w14:paraId="4D2CFF15" w14:textId="77777777" w:rsidR="00D710F7" w:rsidRDefault="00D710F7">
      <w:pPr>
        <w:spacing w:after="24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800"/>
      </w:tblGrid>
      <w:tr w:rsidR="0001232F" w14:paraId="13B18F18" w14:textId="77777777">
        <w:tc>
          <w:tcPr>
            <w:tcW w:w="10800" w:type="dxa"/>
            <w:shd w:val="clear" w:color="auto" w:fill="0F4A9C"/>
            <w:tcMar>
              <w:top w:w="180" w:type="dxa"/>
              <w:left w:w="300" w:type="dxa"/>
              <w:bottom w:w="180" w:type="dxa"/>
              <w:right w:w="300" w:type="dxa"/>
            </w:tcMar>
          </w:tcPr>
          <w:p w14:paraId="244E4EE9" w14:textId="77777777" w:rsidR="0001232F" w:rsidRDefault="00645F88">
            <w:pPr>
              <w:jc w:val="center"/>
            </w:pPr>
            <w:r>
              <w:rPr>
                <w:rFonts w:ascii="Source Sans 3" w:eastAsia="Source Sans 3" w:hAnsi="Source Sans 3" w:cs="Source Sans 3"/>
                <w:b/>
                <w:bCs/>
                <w:color w:val="FFFFFF"/>
                <w:sz w:val="18"/>
                <w:szCs w:val="18"/>
              </w:rPr>
              <w:t xml:space="preserve">David Roberts, MD </w:t>
            </w:r>
            <w:proofErr w:type="gramStart"/>
            <w:r>
              <w:rPr>
                <w:rFonts w:ascii="Source Sans 3" w:eastAsia="Source Sans 3" w:hAnsi="Source Sans 3" w:cs="Source Sans 3"/>
                <w:b/>
                <w:bCs/>
                <w:color w:val="FFFFFF"/>
                <w:sz w:val="18"/>
                <w:szCs w:val="18"/>
              </w:rPr>
              <w:t>FAAOS  ·</w:t>
            </w:r>
            <w:proofErr w:type="gramEnd"/>
            <w:r>
              <w:rPr>
                <w:rFonts w:ascii="Source Sans 3" w:eastAsia="Source Sans 3" w:hAnsi="Source Sans 3" w:cs="Source Sans 3"/>
                <w:b/>
                <w:bCs/>
                <w:color w:val="FFFFFF"/>
                <w:sz w:val="18"/>
                <w:szCs w:val="18"/>
              </w:rPr>
              <w:t xml:space="preserve">  Pediatric Orthopedic Surgery</w:t>
            </w:r>
          </w:p>
          <w:p w14:paraId="6B360D85" w14:textId="77777777" w:rsidR="0001232F" w:rsidRDefault="00645F88">
            <w:pPr>
              <w:spacing w:before="40"/>
              <w:jc w:val="center"/>
            </w:pPr>
            <w:r>
              <w:rPr>
                <w:rFonts w:ascii="Source Sans 3" w:eastAsia="Source Sans 3" w:hAnsi="Source Sans 3" w:cs="Source Sans 3"/>
                <w:color w:val="D9E6FA"/>
                <w:sz w:val="18"/>
                <w:szCs w:val="18"/>
              </w:rPr>
              <w:t xml:space="preserve">9650 Gross Point Road, Suite 2900, Skokie, IL </w:t>
            </w:r>
            <w:proofErr w:type="gramStart"/>
            <w:r>
              <w:rPr>
                <w:rFonts w:ascii="Source Sans 3" w:eastAsia="Source Sans 3" w:hAnsi="Source Sans 3" w:cs="Source Sans 3"/>
                <w:color w:val="D9E6FA"/>
                <w:sz w:val="18"/>
                <w:szCs w:val="18"/>
              </w:rPr>
              <w:t>60076  ·</w:t>
            </w:r>
            <w:proofErr w:type="gramEnd"/>
            <w:r>
              <w:rPr>
                <w:rFonts w:ascii="Source Sans 3" w:eastAsia="Source Sans 3" w:hAnsi="Source Sans 3" w:cs="Source Sans 3"/>
                <w:color w:val="D9E6FA"/>
                <w:sz w:val="18"/>
                <w:szCs w:val="18"/>
              </w:rPr>
              <w:t xml:space="preserve">  (847) 866-7846</w:t>
            </w:r>
          </w:p>
        </w:tc>
      </w:tr>
    </w:tbl>
    <w:p w14:paraId="1DCB553A" w14:textId="77777777" w:rsidR="008F6824" w:rsidRDefault="008F6824"/>
    <w:sectPr w:rsidR="008F6824">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20B7A"/>
    <w:multiLevelType w:val="hybridMultilevel"/>
    <w:tmpl w:val="ED489756"/>
    <w:lvl w:ilvl="0" w:tplc="2AF67D84">
      <w:start w:val="1"/>
      <w:numFmt w:val="bullet"/>
      <w:lvlText w:val="•"/>
      <w:lvlJc w:val="left"/>
      <w:pPr>
        <w:ind w:left="360" w:hanging="260"/>
      </w:pPr>
    </w:lvl>
    <w:lvl w:ilvl="1" w:tplc="B5F85B8C">
      <w:numFmt w:val="decimal"/>
      <w:lvlText w:val=""/>
      <w:lvlJc w:val="left"/>
    </w:lvl>
    <w:lvl w:ilvl="2" w:tplc="67F6E840">
      <w:numFmt w:val="decimal"/>
      <w:lvlText w:val=""/>
      <w:lvlJc w:val="left"/>
    </w:lvl>
    <w:lvl w:ilvl="3" w:tplc="7FC40E06">
      <w:numFmt w:val="decimal"/>
      <w:lvlText w:val=""/>
      <w:lvlJc w:val="left"/>
    </w:lvl>
    <w:lvl w:ilvl="4" w:tplc="7786CD78">
      <w:numFmt w:val="decimal"/>
      <w:lvlText w:val=""/>
      <w:lvlJc w:val="left"/>
    </w:lvl>
    <w:lvl w:ilvl="5" w:tplc="27A40D2A">
      <w:numFmt w:val="decimal"/>
      <w:lvlText w:val=""/>
      <w:lvlJc w:val="left"/>
    </w:lvl>
    <w:lvl w:ilvl="6" w:tplc="4190C20C">
      <w:numFmt w:val="decimal"/>
      <w:lvlText w:val=""/>
      <w:lvlJc w:val="left"/>
    </w:lvl>
    <w:lvl w:ilvl="7" w:tplc="BC3AB242">
      <w:numFmt w:val="decimal"/>
      <w:lvlText w:val=""/>
      <w:lvlJc w:val="left"/>
    </w:lvl>
    <w:lvl w:ilvl="8" w:tplc="3B628794">
      <w:numFmt w:val="decimal"/>
      <w:lvlText w:val=""/>
      <w:lvlJc w:val="left"/>
    </w:lvl>
  </w:abstractNum>
  <w:abstractNum w:abstractNumId="1" w15:restartNumberingAfterBreak="0">
    <w:nsid w:val="3F4E5FDA"/>
    <w:multiLevelType w:val="hybridMultilevel"/>
    <w:tmpl w:val="EDB60AC2"/>
    <w:lvl w:ilvl="0" w:tplc="F3F6E4BE">
      <w:start w:val="1"/>
      <w:numFmt w:val="bullet"/>
      <w:lvlText w:val="●"/>
      <w:lvlJc w:val="left"/>
      <w:pPr>
        <w:ind w:left="720" w:hanging="360"/>
      </w:pPr>
    </w:lvl>
    <w:lvl w:ilvl="1" w:tplc="D61EE48E">
      <w:start w:val="1"/>
      <w:numFmt w:val="bullet"/>
      <w:lvlText w:val="○"/>
      <w:lvlJc w:val="left"/>
      <w:pPr>
        <w:ind w:left="1440" w:hanging="360"/>
      </w:pPr>
    </w:lvl>
    <w:lvl w:ilvl="2" w:tplc="DC9034C6">
      <w:start w:val="1"/>
      <w:numFmt w:val="bullet"/>
      <w:lvlText w:val="■"/>
      <w:lvlJc w:val="left"/>
      <w:pPr>
        <w:ind w:left="2160" w:hanging="360"/>
      </w:pPr>
    </w:lvl>
    <w:lvl w:ilvl="3" w:tplc="EAB0E7D6">
      <w:start w:val="1"/>
      <w:numFmt w:val="bullet"/>
      <w:lvlText w:val="●"/>
      <w:lvlJc w:val="left"/>
      <w:pPr>
        <w:ind w:left="2880" w:hanging="360"/>
      </w:pPr>
    </w:lvl>
    <w:lvl w:ilvl="4" w:tplc="A1E697E6">
      <w:start w:val="1"/>
      <w:numFmt w:val="bullet"/>
      <w:lvlText w:val="○"/>
      <w:lvlJc w:val="left"/>
      <w:pPr>
        <w:ind w:left="3600" w:hanging="360"/>
      </w:pPr>
    </w:lvl>
    <w:lvl w:ilvl="5" w:tplc="B928B0EA">
      <w:start w:val="1"/>
      <w:numFmt w:val="bullet"/>
      <w:lvlText w:val="■"/>
      <w:lvlJc w:val="left"/>
      <w:pPr>
        <w:ind w:left="4320" w:hanging="360"/>
      </w:pPr>
    </w:lvl>
    <w:lvl w:ilvl="6" w:tplc="B61861CE">
      <w:start w:val="1"/>
      <w:numFmt w:val="bullet"/>
      <w:lvlText w:val="●"/>
      <w:lvlJc w:val="left"/>
      <w:pPr>
        <w:ind w:left="5040" w:hanging="360"/>
      </w:pPr>
    </w:lvl>
    <w:lvl w:ilvl="7" w:tplc="A0D230EC">
      <w:start w:val="1"/>
      <w:numFmt w:val="bullet"/>
      <w:lvlText w:val="●"/>
      <w:lvlJc w:val="left"/>
      <w:pPr>
        <w:ind w:left="5760" w:hanging="360"/>
      </w:pPr>
    </w:lvl>
    <w:lvl w:ilvl="8" w:tplc="5BCC07A2">
      <w:start w:val="1"/>
      <w:numFmt w:val="bullet"/>
      <w:lvlText w:val="●"/>
      <w:lvlJc w:val="left"/>
      <w:pPr>
        <w:ind w:left="6480" w:hanging="360"/>
      </w:pPr>
    </w:lvl>
  </w:abstractNum>
  <w:num w:numId="1" w16cid:durableId="11958359">
    <w:abstractNumId w:val="1"/>
    <w:lvlOverride w:ilvl="0">
      <w:startOverride w:val="1"/>
    </w:lvlOverride>
  </w:num>
  <w:num w:numId="2" w16cid:durableId="1111045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32F"/>
    <w:rsid w:val="0001232F"/>
    <w:rsid w:val="004D76EE"/>
    <w:rsid w:val="00645F88"/>
    <w:rsid w:val="007E3BAA"/>
    <w:rsid w:val="008F6824"/>
    <w:rsid w:val="00D71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66169"/>
  <w15:docId w15:val="{22010C00-B73A-4ED8-8973-2BB09887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90E80-DA28-40F2-AC5F-BCBB912E8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1241</Words>
  <Characters>6706</Characters>
  <Application>Microsoft Office Word</Application>
  <DocSecurity>0</DocSecurity>
  <Lines>171</Lines>
  <Paragraphs>128</Paragraphs>
  <ScaleCrop>false</ScaleCrop>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Roberts</cp:lastModifiedBy>
  <cp:revision>2</cp:revision>
  <dcterms:created xsi:type="dcterms:W3CDTF">2026-08-01T18:16:00Z</dcterms:created>
  <dcterms:modified xsi:type="dcterms:W3CDTF">2026-08-01T18:16:00Z</dcterms:modified>
</cp:coreProperties>
</file>