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40"/>
      </w:tblGrid>
      <w:tr w:rsidR="00897382" w14:paraId="4D0FE65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0F4A9C"/>
            <w:tcMar>
              <w:top w:w="400" w:type="dxa"/>
              <w:left w:w="400" w:type="dxa"/>
              <w:bottom w:w="400" w:type="dxa"/>
              <w:right w:w="400" w:type="dxa"/>
            </w:tcMar>
          </w:tcPr>
          <w:p w14:paraId="09F07B7B" w14:textId="77777777" w:rsidR="00897382" w:rsidRDefault="00000000">
            <w:pPr>
              <w:spacing w:after="160"/>
            </w:pPr>
            <w:r>
              <w:rPr>
                <w:noProof/>
              </w:rPr>
              <w:drawing>
                <wp:inline distT="0" distB="0" distL="0" distR="0" wp14:anchorId="72B201C9" wp14:editId="31FB7FD2">
                  <wp:extent cx="1809750" cy="381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BDCA1D" w14:textId="77777777" w:rsidR="00897382" w:rsidRDefault="00000000">
            <w:pPr>
              <w:spacing w:after="60"/>
            </w:pPr>
            <w:r>
              <w:rPr>
                <w:rFonts w:ascii="Source Sans 3" w:eastAsia="Source Sans 3" w:hAnsi="Source Sans 3" w:cs="Source Sans 3"/>
                <w:b/>
                <w:bCs/>
                <w:color w:val="E8F0FC"/>
                <w:spacing w:val="20"/>
                <w:sz w:val="18"/>
                <w:szCs w:val="18"/>
              </w:rPr>
              <w:t>PHYSICAL THERAPY PROTOCOL</w:t>
            </w:r>
          </w:p>
          <w:p w14:paraId="30FFAFB9" w14:textId="64B5A770" w:rsidR="00897382" w:rsidRDefault="00000000">
            <w:pPr>
              <w:spacing w:after="80"/>
            </w:pPr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44"/>
                <w:szCs w:val="44"/>
              </w:rPr>
              <w:t xml:space="preserve">Achilles </w:t>
            </w:r>
            <w:r w:rsidR="009B19A2">
              <w:rPr>
                <w:rFonts w:ascii="Merriweather" w:eastAsia="Merriweather" w:hAnsi="Merriweather" w:cs="Merriweather"/>
                <w:b/>
                <w:bCs/>
                <w:color w:val="FFFFFF"/>
                <w:sz w:val="44"/>
                <w:szCs w:val="44"/>
              </w:rPr>
              <w:t>Tendin</w:t>
            </w:r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44"/>
                <w:szCs w:val="44"/>
              </w:rPr>
              <w:t>opathy</w:t>
            </w:r>
          </w:p>
          <w:p w14:paraId="5C052957" w14:textId="77777777" w:rsidR="00897382" w:rsidRDefault="00000000">
            <w:r>
              <w:rPr>
                <w:rFonts w:ascii="Source Sans 3" w:eastAsia="Source Sans 3" w:hAnsi="Source Sans 3" w:cs="Source Sans 3"/>
                <w:i/>
                <w:iCs/>
                <w:color w:val="E8F0FC"/>
                <w:sz w:val="24"/>
                <w:szCs w:val="24"/>
              </w:rPr>
              <w:t>Nonoperative Rehabilitation — Pediatric &amp; Adolescent Athletes</w:t>
            </w:r>
          </w:p>
        </w:tc>
      </w:tr>
    </w:tbl>
    <w:p w14:paraId="76047B7B" w14:textId="3180A16D" w:rsidR="00897382" w:rsidRDefault="00897382">
      <w:pPr>
        <w:spacing w:after="280"/>
      </w:pPr>
    </w:p>
    <w:tbl>
      <w:tblPr>
        <w:tblW w:w="5000" w:type="pct"/>
        <w:tblBorders>
          <w:top w:val="none" w:sz="0" w:space="0" w:color="FFFFFF"/>
          <w:left w:val="single" w:sz="24" w:space="0" w:color="1A63CC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10"/>
      </w:tblGrid>
      <w:tr w:rsidR="00897382" w14:paraId="5DFC36B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8F0FC"/>
            <w:tcMar>
              <w:top w:w="220" w:type="dxa"/>
              <w:left w:w="300" w:type="dxa"/>
              <w:bottom w:w="220" w:type="dxa"/>
              <w:right w:w="300" w:type="dxa"/>
            </w:tcMar>
          </w:tcPr>
          <w:p w14:paraId="250222C2" w14:textId="4DF65F94" w:rsidR="00897382" w:rsidRDefault="00000000">
            <w:pPr>
              <w:pStyle w:val="ListParagraph"/>
              <w:numPr>
                <w:ilvl w:val="0"/>
                <w:numId w:val="2"/>
              </w:numPr>
              <w:spacing w:line="28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 xml:space="preserve">This is an overuse (chronic load) tendon injury, not a tear or fracture. With activity modification and a structured, criteria-based loading program, </w:t>
            </w:r>
            <w:proofErr w:type="gramStart"/>
            <w:r w:rsidR="003E1495"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>the vast majority of</w:t>
            </w:r>
            <w:proofErr w:type="gramEnd"/>
            <w:r w:rsidR="003E1495"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 xml:space="preserve"> </w:t>
            </w:r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>pediatric and adolescent patients recover fully and return to sport without surgery.</w:t>
            </w:r>
          </w:p>
        </w:tc>
      </w:tr>
    </w:tbl>
    <w:p w14:paraId="2FCC7E00" w14:textId="5D3363B0" w:rsidR="00897382" w:rsidRDefault="00897382" w:rsidP="009B19A2">
      <w:pPr>
        <w:spacing w:after="200"/>
        <w:jc w:val="center"/>
      </w:pPr>
    </w:p>
    <w:p w14:paraId="530A8636" w14:textId="084B54D8" w:rsidR="00897382" w:rsidRDefault="00000000">
      <w:pPr>
        <w:pBdr>
          <w:bottom w:val="single" w:sz="6" w:space="4" w:color="1A63CC"/>
        </w:pBdr>
        <w:spacing w:before="320" w:after="140"/>
      </w:pPr>
      <w:r>
        <w:rPr>
          <w:rFonts w:ascii="Merriweather" w:eastAsia="Merriweather" w:hAnsi="Merriweather" w:cs="Merriweather"/>
          <w:b/>
          <w:bCs/>
          <w:color w:val="0F4A9C"/>
          <w:sz w:val="28"/>
          <w:szCs w:val="28"/>
        </w:rPr>
        <w:t>Diagnosis &amp; Anatomy</w:t>
      </w:r>
    </w:p>
    <w:p w14:paraId="55CBB901" w14:textId="6FA7E209" w:rsidR="00897382" w:rsidRDefault="00000000">
      <w:pPr>
        <w:spacing w:after="180" w:line="300" w:lineRule="auto"/>
      </w:pPr>
      <w:r>
        <w:rPr>
          <w:rFonts w:ascii="Source Sans 3" w:eastAsia="Source Sans 3" w:hAnsi="Source Sans 3" w:cs="Source Sans 3"/>
          <w:color w:val="1A1A1A"/>
          <w:sz w:val="22"/>
          <w:szCs w:val="22"/>
        </w:rPr>
        <w:t>The Achilles tendon connects the calf muscles (gastrocnemius and soleus) to the heel bone (calcaneus) and transmits the force that allows push-off during walking, running, and jumping. Achilles tendinopathy is an overuse condition caused by repetitive tensile load — most often from rapid increases in running or jumping volume — that outpaces the tendon's ability to adapt and repair.</w:t>
      </w:r>
    </w:p>
    <w:p w14:paraId="03855114" w14:textId="1697549B" w:rsidR="00897382" w:rsidRDefault="009B19A2">
      <w:pPr>
        <w:spacing w:after="180" w:line="30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62596FC" wp14:editId="1A79BA00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4846955" cy="3876675"/>
            <wp:effectExtent l="0" t="0" r="0" b="9525"/>
            <wp:wrapSquare wrapText="bothSides"/>
            <wp:docPr id="13806579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955" cy="387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Source Sans 3" w:eastAsia="Source Sans 3" w:hAnsi="Source Sans 3" w:cs="Source Sans 3"/>
          <w:color w:val="1A1A1A"/>
          <w:sz w:val="22"/>
          <w:szCs w:val="22"/>
        </w:rPr>
        <w:t>Tendinopathy can occur mid-substance (2–6 cm above the heel) or at the insertion onto the calcaneus. It is a different problem from Sever's disease (calcaneal apophysitis), which involves the growth plate at the back of the heel rather than the tendon itself; the two can occasionally coexist and should be distinguished on exam.</w:t>
      </w:r>
    </w:p>
    <w:p w14:paraId="2C842D74" w14:textId="48002701" w:rsidR="00897382" w:rsidRDefault="00897382" w:rsidP="009B19A2">
      <w:pPr>
        <w:spacing w:after="220"/>
        <w:jc w:val="center"/>
      </w:pPr>
    </w:p>
    <w:p w14:paraId="787EC9AE" w14:textId="77777777" w:rsidR="009B19A2" w:rsidRDefault="009B19A2">
      <w:pPr>
        <w:rPr>
          <w:rFonts w:ascii="Merriweather" w:eastAsia="Merriweather" w:hAnsi="Merriweather" w:cs="Merriweather"/>
          <w:b/>
          <w:bCs/>
          <w:color w:val="0F4A9C"/>
          <w:sz w:val="28"/>
          <w:szCs w:val="28"/>
        </w:rPr>
      </w:pPr>
      <w:r>
        <w:rPr>
          <w:rFonts w:ascii="Merriweather" w:eastAsia="Merriweather" w:hAnsi="Merriweather" w:cs="Merriweather"/>
          <w:b/>
          <w:bCs/>
          <w:color w:val="0F4A9C"/>
          <w:sz w:val="28"/>
          <w:szCs w:val="28"/>
        </w:rPr>
        <w:br w:type="page"/>
      </w:r>
    </w:p>
    <w:p w14:paraId="65D09607" w14:textId="6B0D4E39" w:rsidR="00897382" w:rsidRDefault="00000000">
      <w:pPr>
        <w:pBdr>
          <w:bottom w:val="single" w:sz="6" w:space="4" w:color="1A63CC"/>
        </w:pBdr>
        <w:spacing w:before="320" w:after="140"/>
      </w:pPr>
      <w:r>
        <w:rPr>
          <w:rFonts w:ascii="Merriweather" w:eastAsia="Merriweather" w:hAnsi="Merriweather" w:cs="Merriweather"/>
          <w:b/>
          <w:bCs/>
          <w:color w:val="0F4A9C"/>
          <w:sz w:val="28"/>
          <w:szCs w:val="28"/>
        </w:rPr>
        <w:lastRenderedPageBreak/>
        <w:t>Natural History</w:t>
      </w:r>
    </w:p>
    <w:p w14:paraId="0E18710C" w14:textId="77777777" w:rsidR="00897382" w:rsidRDefault="00000000">
      <w:pPr>
        <w:spacing w:after="180" w:line="300" w:lineRule="auto"/>
      </w:pPr>
      <w:r>
        <w:rPr>
          <w:rFonts w:ascii="Source Sans 3" w:eastAsia="Source Sans 3" w:hAnsi="Source Sans 3" w:cs="Source Sans 3"/>
          <w:color w:val="1A1A1A"/>
          <w:sz w:val="22"/>
          <w:szCs w:val="22"/>
        </w:rPr>
        <w:t>Pediatric and adolescent Achilles tendinopathy is a self-limited overuse condition in the great majority of cases. Symptoms typically improve over 6–12 weeks with relative rest from aggravating impact activity and a progressive loading program. Continuing high-volume running or jumping through significant pain slows recovery and is the most common reason symptoms become prolonged or recurrent.</w:t>
      </w:r>
    </w:p>
    <w:p w14:paraId="5AB59F6B" w14:textId="77777777" w:rsidR="00897382" w:rsidRDefault="00897382">
      <w:pPr>
        <w:spacing w:after="220"/>
      </w:pPr>
    </w:p>
    <w:p w14:paraId="04B19F58" w14:textId="77777777" w:rsidR="00897382" w:rsidRDefault="00000000">
      <w:pPr>
        <w:pBdr>
          <w:bottom w:val="single" w:sz="6" w:space="4" w:color="1A63CC"/>
        </w:pBdr>
        <w:spacing w:before="320" w:after="140"/>
      </w:pPr>
      <w:r>
        <w:rPr>
          <w:rFonts w:ascii="Merriweather" w:eastAsia="Merriweather" w:hAnsi="Merriweather" w:cs="Merriweather"/>
          <w:b/>
          <w:bCs/>
          <w:color w:val="0F4A9C"/>
          <w:sz w:val="28"/>
          <w:szCs w:val="28"/>
        </w:rPr>
        <w:t>Diagnostic Notes</w:t>
      </w:r>
    </w:p>
    <w:tbl>
      <w:tblPr>
        <w:tblW w:w="5000" w:type="pct"/>
        <w:tblBorders>
          <w:top w:val="none" w:sz="0" w:space="0" w:color="FFFFFF"/>
          <w:left w:val="single" w:sz="24" w:space="0" w:color="1A63CC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10"/>
      </w:tblGrid>
      <w:tr w:rsidR="00897382" w14:paraId="5D614FE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8F0FC"/>
            <w:tcMar>
              <w:top w:w="220" w:type="dxa"/>
              <w:left w:w="300" w:type="dxa"/>
              <w:bottom w:w="220" w:type="dxa"/>
              <w:right w:w="300" w:type="dxa"/>
            </w:tcMar>
          </w:tcPr>
          <w:p w14:paraId="2D3AB3C8" w14:textId="77777777" w:rsidR="00897382" w:rsidRDefault="00000000">
            <w:pPr>
              <w:spacing w:after="10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  <w:sz w:val="23"/>
                <w:szCs w:val="23"/>
              </w:rPr>
              <w:t>Imaging</w:t>
            </w:r>
          </w:p>
          <w:p w14:paraId="400FDE11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90" w:line="28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>MRI is not routinely needed. The diagnosis is made clinically based on history and exam findings.</w:t>
            </w:r>
          </w:p>
          <w:p w14:paraId="3BC706EC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line="28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>Imaging (ultrasound or MRI) is reserved for atypical presentations, suspicion of partial tendon tear, or failure to improve with an adequate trial of structured rehabilitation.</w:t>
            </w:r>
          </w:p>
        </w:tc>
      </w:tr>
    </w:tbl>
    <w:p w14:paraId="7943CF72" w14:textId="77777777" w:rsidR="00897382" w:rsidRDefault="00897382">
      <w:pPr>
        <w:spacing w:after="240"/>
      </w:pPr>
    </w:p>
    <w:p w14:paraId="397A49E4" w14:textId="77777777" w:rsidR="00897382" w:rsidRDefault="00000000">
      <w:pPr>
        <w:pBdr>
          <w:bottom w:val="single" w:sz="6" w:space="4" w:color="1A63CC"/>
        </w:pBdr>
        <w:spacing w:before="320" w:after="140"/>
      </w:pPr>
      <w:r>
        <w:rPr>
          <w:rFonts w:ascii="Merriweather" w:eastAsia="Merriweather" w:hAnsi="Merriweather" w:cs="Merriweather"/>
          <w:b/>
          <w:bCs/>
          <w:color w:val="0F4A9C"/>
          <w:sz w:val="28"/>
          <w:szCs w:val="28"/>
        </w:rPr>
        <w:t>Treatment Overview</w:t>
      </w:r>
    </w:p>
    <w:p w14:paraId="237184E0" w14:textId="0ECD694A" w:rsidR="00897382" w:rsidRDefault="00000000">
      <w:pPr>
        <w:spacing w:after="180" w:line="300" w:lineRule="auto"/>
      </w:pPr>
      <w:r>
        <w:rPr>
          <w:rFonts w:ascii="Source Sans 3" w:eastAsia="Source Sans 3" w:hAnsi="Source Sans 3" w:cs="Source Sans 3"/>
          <w:color w:val="1A1A1A"/>
          <w:sz w:val="22"/>
          <w:szCs w:val="22"/>
        </w:rPr>
        <w:t xml:space="preserve">Rehabilitation progresses through four phases based on the patient meeting specific clinical criteria, not on a fixed calendar. </w:t>
      </w:r>
      <w:r w:rsidRPr="003E1495">
        <w:rPr>
          <w:rFonts w:ascii="Source Sans 3" w:eastAsia="Source Sans 3" w:hAnsi="Source Sans 3" w:cs="Source Sans 3"/>
          <w:b/>
          <w:bCs/>
          <w:color w:val="1A1A1A"/>
          <w:sz w:val="22"/>
          <w:szCs w:val="22"/>
        </w:rPr>
        <w:t>Progressive tendon loading</w:t>
      </w:r>
      <w:r>
        <w:rPr>
          <w:rFonts w:ascii="Source Sans 3" w:eastAsia="Source Sans 3" w:hAnsi="Source Sans 3" w:cs="Source Sans 3"/>
          <w:color w:val="1A1A1A"/>
          <w:sz w:val="22"/>
          <w:szCs w:val="22"/>
        </w:rPr>
        <w:t xml:space="preserve"> — beginning with isometrics and advancing through eccentric and then plyometric exercise — is the evidence-based cornerstone of treatment and is what </w:t>
      </w:r>
      <w:proofErr w:type="gramStart"/>
      <w:r>
        <w:rPr>
          <w:rFonts w:ascii="Source Sans 3" w:eastAsia="Source Sans 3" w:hAnsi="Source Sans 3" w:cs="Source Sans 3"/>
          <w:color w:val="1A1A1A"/>
          <w:sz w:val="22"/>
          <w:szCs w:val="22"/>
        </w:rPr>
        <w:t>actually drives</w:t>
      </w:r>
      <w:proofErr w:type="gramEnd"/>
      <w:r>
        <w:rPr>
          <w:rFonts w:ascii="Source Sans 3" w:eastAsia="Source Sans 3" w:hAnsi="Source Sans 3" w:cs="Source Sans 3"/>
          <w:color w:val="1A1A1A"/>
          <w:sz w:val="22"/>
          <w:szCs w:val="22"/>
        </w:rPr>
        <w:t xml:space="preserve"> tendon healing. Adjunctive measures such as short-term CAM boot immobilization, an ASO ankle brace,</w:t>
      </w:r>
      <w:r w:rsidR="003E1495">
        <w:rPr>
          <w:rFonts w:ascii="Source Sans 3" w:eastAsia="Source Sans 3" w:hAnsi="Source Sans 3" w:cs="Source Sans 3"/>
          <w:color w:val="1A1A1A"/>
          <w:sz w:val="22"/>
          <w:szCs w:val="22"/>
        </w:rPr>
        <w:t xml:space="preserve"> and/or</w:t>
      </w:r>
      <w:r>
        <w:rPr>
          <w:rFonts w:ascii="Source Sans 3" w:eastAsia="Source Sans 3" w:hAnsi="Source Sans 3" w:cs="Source Sans 3"/>
          <w:color w:val="1A1A1A"/>
          <w:sz w:val="22"/>
          <w:szCs w:val="22"/>
        </w:rPr>
        <w:t xml:space="preserve"> night splinting</w:t>
      </w:r>
      <w:r w:rsidR="003E1495">
        <w:rPr>
          <w:rFonts w:ascii="Source Sans 3" w:eastAsia="Source Sans 3" w:hAnsi="Source Sans 3" w:cs="Source Sans 3"/>
          <w:color w:val="1A1A1A"/>
          <w:sz w:val="22"/>
          <w:szCs w:val="22"/>
        </w:rPr>
        <w:t xml:space="preserve"> </w:t>
      </w:r>
      <w:r>
        <w:rPr>
          <w:rFonts w:ascii="Source Sans 3" w:eastAsia="Source Sans 3" w:hAnsi="Source Sans 3" w:cs="Source Sans 3"/>
          <w:color w:val="1A1A1A"/>
          <w:sz w:val="22"/>
          <w:szCs w:val="22"/>
        </w:rPr>
        <w:t>may be used at the treating clinician's discretion to manage severe symptoms or enforce rest, but they do not replace the loading program.</w:t>
      </w:r>
    </w:p>
    <w:p w14:paraId="55033F12" w14:textId="77777777" w:rsidR="00897382" w:rsidRDefault="00897382">
      <w:pPr>
        <w:spacing w:after="240"/>
      </w:pPr>
    </w:p>
    <w:tbl>
      <w:tblPr>
        <w:tblW w:w="9360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97382" w14:paraId="63CF76F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C0392B"/>
            <w:tcMar>
              <w:top w:w="160" w:type="dxa"/>
              <w:left w:w="260" w:type="dxa"/>
              <w:bottom w:w="160" w:type="dxa"/>
              <w:right w:w="260" w:type="dxa"/>
            </w:tcMar>
          </w:tcPr>
          <w:p w14:paraId="78976A21" w14:textId="77777777" w:rsidR="00897382" w:rsidRDefault="00000000"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 xml:space="preserve">PHASE </w:t>
            </w:r>
            <w:proofErr w:type="gramStart"/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1  ·</w:t>
            </w:r>
            <w:proofErr w:type="gramEnd"/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 xml:space="preserve">  </w:t>
            </w:r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24"/>
                <w:szCs w:val="24"/>
              </w:rPr>
              <w:t>Protection &amp; Symptom Modulation</w:t>
            </w:r>
          </w:p>
        </w:tc>
      </w:tr>
      <w:tr w:rsidR="00897382" w14:paraId="6982DF8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right w:val="single" w:sz="4" w:space="0" w:color="DDDDDD"/>
            </w:tcBorders>
            <w:shd w:val="clear" w:color="auto" w:fill="FBFBFB"/>
            <w:tcMar>
              <w:top w:w="200" w:type="dxa"/>
              <w:left w:w="260" w:type="dxa"/>
              <w:bottom w:w="200" w:type="dxa"/>
              <w:right w:w="200" w:type="dxa"/>
            </w:tcMar>
          </w:tcPr>
          <w:p w14:paraId="2913A8B0" w14:textId="77777777" w:rsidR="00897382" w:rsidRDefault="00000000">
            <w:pPr>
              <w:spacing w:after="9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</w:rPr>
              <w:t>Weight-Bearing / Immobilization</w:t>
            </w:r>
          </w:p>
          <w:p w14:paraId="666B600F" w14:textId="1A1110DE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For severe symptoms: a short period (typically 1–</w:t>
            </w:r>
            <w:r w:rsidR="003E1495"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3</w:t>
            </w: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 xml:space="preserve"> weeks) of CAM boot immobilization may be used to "force rest" and de-load the tendon</w:t>
            </w:r>
          </w:p>
          <w:p w14:paraId="4051026E" w14:textId="76B50B26" w:rsidR="00897382" w:rsidRDefault="009B19A2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For mild symptoms</w:t>
            </w:r>
            <w:proofErr w:type="gramStart"/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:  a</w:t>
            </w:r>
            <w:r w:rsidR="00000000"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n</w:t>
            </w:r>
            <w:proofErr w:type="gramEnd"/>
            <w:r w:rsidR="00000000"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 xml:space="preserve"> ASO-style ankle brace can be used instead </w:t>
            </w:r>
          </w:p>
          <w:p w14:paraId="7ED70DC6" w14:textId="07787101" w:rsidR="00897382" w:rsidRDefault="003E1495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A h</w:t>
            </w:r>
            <w:r w:rsidR="00000000"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 xml:space="preserve">eel lift/insert may be used </w:t>
            </w: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 xml:space="preserve">to decrease tendon </w:t>
            </w:r>
            <w:proofErr w:type="gramStart"/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stretch</w:t>
            </w:r>
            <w:proofErr w:type="gramEnd"/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 xml:space="preserve"> </w:t>
            </w:r>
            <w:r w:rsidR="00000000"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during ambulation</w:t>
            </w:r>
          </w:p>
          <w:p w14:paraId="1B3860A4" w14:textId="6C02F0F3" w:rsidR="00897382" w:rsidRDefault="003E1495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 xml:space="preserve">A </w:t>
            </w:r>
            <w:r w:rsidR="00000000"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Night splint (dorsiflexion stretch splint) optional if morning stiffness or first-step pain is prominent</w:t>
            </w:r>
          </w:p>
        </w:tc>
        <w:tc>
          <w:tcPr>
            <w:tcW w:w="4680" w:type="dxa"/>
            <w:shd w:val="clear" w:color="auto" w:fill="FBFBFB"/>
            <w:tcMar>
              <w:top w:w="200" w:type="dxa"/>
              <w:left w:w="260" w:type="dxa"/>
              <w:bottom w:w="200" w:type="dxa"/>
              <w:right w:w="200" w:type="dxa"/>
            </w:tcMar>
          </w:tcPr>
          <w:p w14:paraId="5CE022DB" w14:textId="77777777" w:rsidR="00897382" w:rsidRDefault="00000000">
            <w:pPr>
              <w:spacing w:after="9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</w:rPr>
              <w:t>Goals &amp; Interventions</w:t>
            </w:r>
          </w:p>
          <w:p w14:paraId="1DA61D01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 xml:space="preserve">Relative rest from aggravating impact activity (running, jumping, </w:t>
            </w:r>
            <w:proofErr w:type="gramStart"/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cutting) —</w:t>
            </w:r>
            <w:proofErr w:type="gramEnd"/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 xml:space="preserve"> this is not complete immobilization; pain-free daily activity is encouraged</w:t>
            </w:r>
          </w:p>
          <w:p w14:paraId="08B362FE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Ice after activity for pain and irritation as needed</w:t>
            </w:r>
          </w:p>
          <w:p w14:paraId="64E96384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Pain-free ankle range of motion</w:t>
            </w:r>
          </w:p>
          <w:p w14:paraId="689BB676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 xml:space="preserve">Gentle, pain-free </w:t>
            </w:r>
            <w:proofErr w:type="spellStart"/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gastroc</w:t>
            </w:r>
            <w:proofErr w:type="spellEnd"/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-soleus stretching (avoid aggressive stretch into pain)</w:t>
            </w:r>
          </w:p>
          <w:p w14:paraId="38B3C235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lastRenderedPageBreak/>
              <w:t>Begin submaximal isometric calf holds for pain modulation</w:t>
            </w:r>
          </w:p>
          <w:p w14:paraId="632E2FF6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Ultrasound may be used as an adjunctive modality for symptom relief at therapist discretion</w:t>
            </w:r>
          </w:p>
          <w:p w14:paraId="7DF2DFDB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Patient/family education on load management and footwear/training-surface factors</w:t>
            </w:r>
          </w:p>
        </w:tc>
      </w:tr>
      <w:tr w:rsidR="00897382" w14:paraId="58BD011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E8F0FC"/>
            <w:tcMar>
              <w:top w:w="140" w:type="dxa"/>
              <w:left w:w="260" w:type="dxa"/>
              <w:bottom w:w="140" w:type="dxa"/>
              <w:right w:w="260" w:type="dxa"/>
            </w:tcMar>
          </w:tcPr>
          <w:p w14:paraId="5CC6FBF6" w14:textId="77777777" w:rsidR="00897382" w:rsidRDefault="00000000">
            <w:r>
              <w:rPr>
                <w:rFonts w:ascii="Source Sans 3" w:eastAsia="Source Sans 3" w:hAnsi="Source Sans 3" w:cs="Source Sans 3"/>
                <w:b/>
                <w:bCs/>
                <w:color w:val="0F4A9C"/>
              </w:rPr>
              <w:t>Criteria to Advance</w:t>
            </w:r>
            <w:proofErr w:type="gramStart"/>
            <w:r>
              <w:rPr>
                <w:rFonts w:ascii="Source Sans 3" w:eastAsia="Source Sans 3" w:hAnsi="Source Sans 3" w:cs="Source Sans 3"/>
                <w:b/>
                <w:bCs/>
                <w:color w:val="0F4A9C"/>
              </w:rPr>
              <w:t xml:space="preserve">:  </w:t>
            </w:r>
            <w:r>
              <w:rPr>
                <w:rFonts w:ascii="Source Sans 3" w:eastAsia="Source Sans 3" w:hAnsi="Source Sans 3" w:cs="Source Sans 3"/>
                <w:color w:val="1A1A1A"/>
              </w:rPr>
              <w:t>Pain</w:t>
            </w:r>
            <w:proofErr w:type="gramEnd"/>
            <w:r>
              <w:rPr>
                <w:rFonts w:ascii="Source Sans 3" w:eastAsia="Source Sans 3" w:hAnsi="Source Sans 3" w:cs="Source Sans 3"/>
                <w:color w:val="1A1A1A"/>
              </w:rPr>
              <w:t xml:space="preserve"> with daily activity &lt; 3/10, no pain at rest, isometric calf holds well tolerated.</w:t>
            </w:r>
          </w:p>
        </w:tc>
      </w:tr>
    </w:tbl>
    <w:p w14:paraId="65E0427F" w14:textId="77777777" w:rsidR="00897382" w:rsidRDefault="00897382">
      <w:pPr>
        <w:spacing w:after="260"/>
      </w:pPr>
    </w:p>
    <w:tbl>
      <w:tblPr>
        <w:tblW w:w="9360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8"/>
        <w:gridCol w:w="4932"/>
      </w:tblGrid>
      <w:tr w:rsidR="00897382" w14:paraId="7F6A9B6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B8860B"/>
            <w:tcMar>
              <w:top w:w="160" w:type="dxa"/>
              <w:left w:w="260" w:type="dxa"/>
              <w:bottom w:w="160" w:type="dxa"/>
              <w:right w:w="260" w:type="dxa"/>
            </w:tcMar>
          </w:tcPr>
          <w:p w14:paraId="6763EC3C" w14:textId="77777777" w:rsidR="00897382" w:rsidRDefault="00000000"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 xml:space="preserve">PHASE </w:t>
            </w:r>
            <w:proofErr w:type="gramStart"/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2  ·</w:t>
            </w:r>
            <w:proofErr w:type="gramEnd"/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 xml:space="preserve">  </w:t>
            </w:r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24"/>
                <w:szCs w:val="24"/>
              </w:rPr>
              <w:t>Eccentric Loading &amp; Progressive Strengthening</w:t>
            </w:r>
          </w:p>
        </w:tc>
      </w:tr>
      <w:tr w:rsidR="00897382" w14:paraId="44ADB4D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right w:val="single" w:sz="4" w:space="0" w:color="DDDDDD"/>
            </w:tcBorders>
            <w:shd w:val="clear" w:color="auto" w:fill="FBFBFB"/>
            <w:tcMar>
              <w:top w:w="200" w:type="dxa"/>
              <w:left w:w="260" w:type="dxa"/>
              <w:bottom w:w="200" w:type="dxa"/>
              <w:right w:w="200" w:type="dxa"/>
            </w:tcMar>
          </w:tcPr>
          <w:p w14:paraId="37D99870" w14:textId="77777777" w:rsidR="00897382" w:rsidRDefault="00000000">
            <w:pPr>
              <w:spacing w:after="9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</w:rPr>
              <w:t>Weight-Bearing / Immobilization</w:t>
            </w:r>
          </w:p>
          <w:p w14:paraId="31B9D3A2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Full weight-bearing, no brace required</w:t>
            </w:r>
          </w:p>
          <w:p w14:paraId="40F8CA9D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Continue night splint if it has been helpful for morning stiffness</w:t>
            </w:r>
          </w:p>
        </w:tc>
        <w:tc>
          <w:tcPr>
            <w:tcW w:w="4680" w:type="dxa"/>
            <w:shd w:val="clear" w:color="auto" w:fill="FBFBFB"/>
            <w:tcMar>
              <w:top w:w="200" w:type="dxa"/>
              <w:left w:w="260" w:type="dxa"/>
              <w:bottom w:w="200" w:type="dxa"/>
              <w:right w:w="200" w:type="dxa"/>
            </w:tcMar>
          </w:tcPr>
          <w:p w14:paraId="2381BDEE" w14:textId="77777777" w:rsidR="00897382" w:rsidRDefault="00000000">
            <w:pPr>
              <w:spacing w:after="9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</w:rPr>
              <w:t>Goals &amp; Interventions</w:t>
            </w:r>
          </w:p>
          <w:p w14:paraId="43602595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 xml:space="preserve">Introduce eccentric heel-drop program (both straight-knee and bent-knee), beginning with </w:t>
            </w:r>
            <w:proofErr w:type="gramStart"/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body-weight</w:t>
            </w:r>
            <w:proofErr w:type="gramEnd"/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 xml:space="preserve"> loading and low repetitions, progressing gradually as tolerated</w:t>
            </w:r>
          </w:p>
          <w:p w14:paraId="5A8EA1F7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Progress concentric and eccentric calf strengthening (double-leg → single-leg as tolerated)</w:t>
            </w:r>
          </w:p>
          <w:p w14:paraId="2CE85C98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 xml:space="preserve">Continue </w:t>
            </w:r>
            <w:proofErr w:type="spellStart"/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gastroc</w:t>
            </w:r>
            <w:proofErr w:type="spellEnd"/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-soleus and soleus-specific stretching</w:t>
            </w:r>
          </w:p>
          <w:p w14:paraId="69350138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Add hip and core strengthening to support lower-extremity mechanics</w:t>
            </w:r>
          </w:p>
          <w:p w14:paraId="317C9E8E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Begin proprioception/balance training</w:t>
            </w:r>
          </w:p>
          <w:p w14:paraId="14DB85EE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proofErr w:type="gramStart"/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Continue</w:t>
            </w:r>
            <w:proofErr w:type="gramEnd"/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 xml:space="preserve"> activity modification for high-impact sport; low-impact conditioning (cycling, swimming, pool running) may continue throughout</w:t>
            </w:r>
          </w:p>
        </w:tc>
      </w:tr>
      <w:tr w:rsidR="00897382" w14:paraId="3924C4A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E8F0FC"/>
            <w:tcMar>
              <w:top w:w="140" w:type="dxa"/>
              <w:left w:w="260" w:type="dxa"/>
              <w:bottom w:w="140" w:type="dxa"/>
              <w:right w:w="260" w:type="dxa"/>
            </w:tcMar>
          </w:tcPr>
          <w:p w14:paraId="570014A4" w14:textId="77777777" w:rsidR="00897382" w:rsidRDefault="00000000">
            <w:r>
              <w:rPr>
                <w:rFonts w:ascii="Source Sans 3" w:eastAsia="Source Sans 3" w:hAnsi="Source Sans 3" w:cs="Source Sans 3"/>
                <w:b/>
                <w:bCs/>
                <w:color w:val="0F4A9C"/>
              </w:rPr>
              <w:t xml:space="preserve">Criteria to Advance:  </w:t>
            </w:r>
            <w:r>
              <w:rPr>
                <w:rFonts w:ascii="Source Sans 3" w:eastAsia="Source Sans 3" w:hAnsi="Source Sans 3" w:cs="Source Sans 3"/>
                <w:color w:val="1A1A1A"/>
              </w:rPr>
              <w:t>Pain-free single-leg heel raise x 10–15 reps, minimal discomfort (&lt; 3/10) during eccentric program, improving tendon load tolerance.</w:t>
            </w:r>
          </w:p>
        </w:tc>
      </w:tr>
    </w:tbl>
    <w:p w14:paraId="5299E64E" w14:textId="5F4967DC" w:rsidR="006149D0" w:rsidRDefault="006149D0">
      <w:pPr>
        <w:spacing w:after="260"/>
      </w:pPr>
    </w:p>
    <w:p w14:paraId="1E22532B" w14:textId="77777777" w:rsidR="006149D0" w:rsidRDefault="006149D0">
      <w:r>
        <w:br w:type="page"/>
      </w:r>
    </w:p>
    <w:p w14:paraId="10CB38A9" w14:textId="77777777" w:rsidR="00897382" w:rsidRDefault="00897382">
      <w:pPr>
        <w:spacing w:after="260"/>
      </w:pPr>
    </w:p>
    <w:tbl>
      <w:tblPr>
        <w:tblW w:w="9360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6"/>
        <w:gridCol w:w="4694"/>
      </w:tblGrid>
      <w:tr w:rsidR="00897382" w14:paraId="2D4DCEC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1A63CC"/>
            <w:tcMar>
              <w:top w:w="160" w:type="dxa"/>
              <w:left w:w="260" w:type="dxa"/>
              <w:bottom w:w="160" w:type="dxa"/>
              <w:right w:w="260" w:type="dxa"/>
            </w:tcMar>
          </w:tcPr>
          <w:p w14:paraId="752526C8" w14:textId="77777777" w:rsidR="00897382" w:rsidRDefault="00000000"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 xml:space="preserve">PHASE </w:t>
            </w:r>
            <w:proofErr w:type="gramStart"/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3  ·</w:t>
            </w:r>
            <w:proofErr w:type="gramEnd"/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 xml:space="preserve">  </w:t>
            </w:r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24"/>
                <w:szCs w:val="24"/>
              </w:rPr>
              <w:t>Functional Strengthening &amp; Return to Running</w:t>
            </w:r>
          </w:p>
        </w:tc>
      </w:tr>
      <w:tr w:rsidR="00897382" w14:paraId="12707C6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right w:val="single" w:sz="4" w:space="0" w:color="DDDDDD"/>
            </w:tcBorders>
            <w:shd w:val="clear" w:color="auto" w:fill="FBFBFB"/>
            <w:tcMar>
              <w:top w:w="200" w:type="dxa"/>
              <w:left w:w="260" w:type="dxa"/>
              <w:bottom w:w="200" w:type="dxa"/>
              <w:right w:w="200" w:type="dxa"/>
            </w:tcMar>
          </w:tcPr>
          <w:p w14:paraId="1D0369F6" w14:textId="77777777" w:rsidR="00897382" w:rsidRDefault="00000000">
            <w:pPr>
              <w:spacing w:after="9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</w:rPr>
              <w:t>Weight-Bearing / Immobilization</w:t>
            </w:r>
          </w:p>
          <w:p w14:paraId="2704D3E4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Full weight-bearing, no restrictions</w:t>
            </w:r>
          </w:p>
          <w:p w14:paraId="7F419D47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Night splint typically discontinued</w:t>
            </w:r>
          </w:p>
        </w:tc>
        <w:tc>
          <w:tcPr>
            <w:tcW w:w="4680" w:type="dxa"/>
            <w:shd w:val="clear" w:color="auto" w:fill="FBFBFB"/>
            <w:tcMar>
              <w:top w:w="200" w:type="dxa"/>
              <w:left w:w="260" w:type="dxa"/>
              <w:bottom w:w="200" w:type="dxa"/>
              <w:right w:w="200" w:type="dxa"/>
            </w:tcMar>
          </w:tcPr>
          <w:p w14:paraId="133BA9A0" w14:textId="77777777" w:rsidR="00897382" w:rsidRDefault="00000000">
            <w:pPr>
              <w:spacing w:after="9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</w:rPr>
              <w:t>Goals &amp; Interventions</w:t>
            </w:r>
          </w:p>
          <w:p w14:paraId="72E72A46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Progressive resistance calf strengthening (weighted heel raises)</w:t>
            </w:r>
          </w:p>
          <w:p w14:paraId="294DC6C0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Single-leg strength and control work; address any side-to-side asymmetry</w:t>
            </w:r>
          </w:p>
          <w:p w14:paraId="27CE8F64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Gait and running mechanics assessment and correction</w:t>
            </w:r>
          </w:p>
          <w:p w14:paraId="3A5FA86D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Structured walk-to-run progression</w:t>
            </w:r>
          </w:p>
          <w:p w14:paraId="02CD20D0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Sport-specific drills without jumping, cutting, or plyometric loading yet</w:t>
            </w:r>
          </w:p>
        </w:tc>
      </w:tr>
      <w:tr w:rsidR="00897382" w14:paraId="44C84A8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E8F0FC"/>
            <w:tcMar>
              <w:top w:w="140" w:type="dxa"/>
              <w:left w:w="260" w:type="dxa"/>
              <w:bottom w:w="140" w:type="dxa"/>
              <w:right w:w="260" w:type="dxa"/>
            </w:tcMar>
          </w:tcPr>
          <w:p w14:paraId="0061D8D6" w14:textId="77777777" w:rsidR="00897382" w:rsidRDefault="00000000">
            <w:r>
              <w:rPr>
                <w:rFonts w:ascii="Source Sans 3" w:eastAsia="Source Sans 3" w:hAnsi="Source Sans 3" w:cs="Source Sans 3"/>
                <w:b/>
                <w:bCs/>
                <w:color w:val="0F4A9C"/>
              </w:rPr>
              <w:t>Criteria to Advance</w:t>
            </w:r>
            <w:proofErr w:type="gramStart"/>
            <w:r>
              <w:rPr>
                <w:rFonts w:ascii="Source Sans 3" w:eastAsia="Source Sans 3" w:hAnsi="Source Sans 3" w:cs="Source Sans 3"/>
                <w:b/>
                <w:bCs/>
                <w:color w:val="0F4A9C"/>
              </w:rPr>
              <w:t xml:space="preserve">:  </w:t>
            </w:r>
            <w:r>
              <w:rPr>
                <w:rFonts w:ascii="Source Sans 3" w:eastAsia="Source Sans 3" w:hAnsi="Source Sans 3" w:cs="Source Sans 3"/>
                <w:color w:val="1A1A1A"/>
              </w:rPr>
              <w:t>Pain</w:t>
            </w:r>
            <w:proofErr w:type="gramEnd"/>
            <w:r>
              <w:rPr>
                <w:rFonts w:ascii="Source Sans 3" w:eastAsia="Source Sans 3" w:hAnsi="Source Sans 3" w:cs="Source Sans 3"/>
                <w:color w:val="1A1A1A"/>
              </w:rPr>
              <w:t>-free jogging, single-leg heel raise strength approximately symmetric to the uninvolved side, no swelling or delayed soreness after activity.</w:t>
            </w:r>
          </w:p>
        </w:tc>
      </w:tr>
    </w:tbl>
    <w:p w14:paraId="52E107FF" w14:textId="77777777" w:rsidR="00897382" w:rsidRDefault="00897382">
      <w:pPr>
        <w:spacing w:after="260"/>
      </w:pPr>
    </w:p>
    <w:tbl>
      <w:tblPr>
        <w:tblW w:w="9360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0"/>
        <w:gridCol w:w="4930"/>
      </w:tblGrid>
      <w:tr w:rsidR="00897382" w14:paraId="0049D8F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2E7D32"/>
            <w:tcMar>
              <w:top w:w="160" w:type="dxa"/>
              <w:left w:w="260" w:type="dxa"/>
              <w:bottom w:w="160" w:type="dxa"/>
              <w:right w:w="260" w:type="dxa"/>
            </w:tcMar>
          </w:tcPr>
          <w:p w14:paraId="1DFCA4C5" w14:textId="77777777" w:rsidR="00897382" w:rsidRDefault="00000000"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 xml:space="preserve">PHASE </w:t>
            </w:r>
            <w:proofErr w:type="gramStart"/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>4  ·</w:t>
            </w:r>
            <w:proofErr w:type="gramEnd"/>
            <w:r>
              <w:rPr>
                <w:rFonts w:ascii="Source Sans 3" w:eastAsia="Source Sans 3" w:hAnsi="Source Sans 3" w:cs="Source Sans 3"/>
                <w:b/>
                <w:bCs/>
                <w:color w:val="FFFFFF"/>
              </w:rPr>
              <w:t xml:space="preserve">  </w:t>
            </w:r>
            <w:r>
              <w:rPr>
                <w:rFonts w:ascii="Merriweather" w:eastAsia="Merriweather" w:hAnsi="Merriweather" w:cs="Merriweather"/>
                <w:b/>
                <w:bCs/>
                <w:color w:val="FFFFFF"/>
                <w:sz w:val="24"/>
                <w:szCs w:val="24"/>
              </w:rPr>
              <w:t>Plyometrics &amp; Return to Sport</w:t>
            </w:r>
          </w:p>
        </w:tc>
      </w:tr>
      <w:tr w:rsidR="00897382" w14:paraId="48B7CEA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right w:val="single" w:sz="4" w:space="0" w:color="DDDDDD"/>
            </w:tcBorders>
            <w:shd w:val="clear" w:color="auto" w:fill="FBFBFB"/>
            <w:tcMar>
              <w:top w:w="200" w:type="dxa"/>
              <w:left w:w="260" w:type="dxa"/>
              <w:bottom w:w="200" w:type="dxa"/>
              <w:right w:w="200" w:type="dxa"/>
            </w:tcMar>
          </w:tcPr>
          <w:p w14:paraId="2C14FC1B" w14:textId="77777777" w:rsidR="00897382" w:rsidRDefault="00000000">
            <w:pPr>
              <w:spacing w:after="9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</w:rPr>
              <w:t>Weight-Bearing / Immobilization</w:t>
            </w:r>
          </w:p>
          <w:p w14:paraId="3C186E21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Full weight-bearing, no restrictions</w:t>
            </w:r>
          </w:p>
          <w:p w14:paraId="1045B372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No brace or splint</w:t>
            </w:r>
          </w:p>
        </w:tc>
        <w:tc>
          <w:tcPr>
            <w:tcW w:w="4680" w:type="dxa"/>
            <w:shd w:val="clear" w:color="auto" w:fill="FBFBFB"/>
            <w:tcMar>
              <w:top w:w="200" w:type="dxa"/>
              <w:left w:w="260" w:type="dxa"/>
              <w:bottom w:w="200" w:type="dxa"/>
              <w:right w:w="200" w:type="dxa"/>
            </w:tcMar>
          </w:tcPr>
          <w:p w14:paraId="5D01CC84" w14:textId="77777777" w:rsidR="00897382" w:rsidRDefault="00000000">
            <w:pPr>
              <w:spacing w:after="90"/>
            </w:pPr>
            <w:r>
              <w:rPr>
                <w:rFonts w:ascii="Merriweather" w:eastAsia="Merriweather" w:hAnsi="Merriweather" w:cs="Merriweather"/>
                <w:b/>
                <w:bCs/>
                <w:color w:val="0F4A9C"/>
              </w:rPr>
              <w:t>Goals &amp; Interventions</w:t>
            </w:r>
          </w:p>
          <w:p w14:paraId="290FD552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Progressive plyometric program: double-leg hopping → single-leg hopping → bounding → jump-landing mechanics</w:t>
            </w:r>
          </w:p>
          <w:p w14:paraId="5F777DCF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Sport-specific agility and cutting drills</w:t>
            </w:r>
          </w:p>
          <w:p w14:paraId="062251EF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Gradual, staged return to full-intensity training (increase volume/intensity no more than ~10% per week)</w:t>
            </w:r>
          </w:p>
          <w:p w14:paraId="6DADE83B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Maintenance strengthening (eccentric/concentric calf program) continued 2–3x/week to reduce recurrence</w:t>
            </w:r>
          </w:p>
          <w:p w14:paraId="43B3184B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100" w:line="29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2"/>
                <w:szCs w:val="22"/>
              </w:rPr>
              <w:t>Hop testing and functional symmetry assessment prior to full clearance</w:t>
            </w:r>
          </w:p>
        </w:tc>
      </w:tr>
      <w:tr w:rsidR="00897382" w14:paraId="7BCCE7C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E8F0FC"/>
            <w:tcMar>
              <w:top w:w="140" w:type="dxa"/>
              <w:left w:w="260" w:type="dxa"/>
              <w:bottom w:w="140" w:type="dxa"/>
              <w:right w:w="260" w:type="dxa"/>
            </w:tcMar>
          </w:tcPr>
          <w:p w14:paraId="4E7F1170" w14:textId="77777777" w:rsidR="00897382" w:rsidRDefault="00000000">
            <w:r>
              <w:rPr>
                <w:rFonts w:ascii="Source Sans 3" w:eastAsia="Source Sans 3" w:hAnsi="Source Sans 3" w:cs="Source Sans 3"/>
                <w:b/>
                <w:bCs/>
                <w:color w:val="0F4A9C"/>
              </w:rPr>
              <w:t>Criteria to Advance</w:t>
            </w:r>
            <w:proofErr w:type="gramStart"/>
            <w:r>
              <w:rPr>
                <w:rFonts w:ascii="Source Sans 3" w:eastAsia="Source Sans 3" w:hAnsi="Source Sans 3" w:cs="Source Sans 3"/>
                <w:b/>
                <w:bCs/>
                <w:color w:val="0F4A9C"/>
              </w:rPr>
              <w:t xml:space="preserve">:  </w:t>
            </w:r>
            <w:r>
              <w:rPr>
                <w:rFonts w:ascii="Source Sans 3" w:eastAsia="Source Sans 3" w:hAnsi="Source Sans 3" w:cs="Source Sans 3"/>
                <w:color w:val="1A1A1A"/>
              </w:rPr>
              <w:t>Full</w:t>
            </w:r>
            <w:proofErr w:type="gramEnd"/>
            <w:r>
              <w:rPr>
                <w:rFonts w:ascii="Source Sans 3" w:eastAsia="Source Sans 3" w:hAnsi="Source Sans 3" w:cs="Source Sans 3"/>
                <w:color w:val="1A1A1A"/>
              </w:rPr>
              <w:t>, pain-free participation in sport-specific drills at full intensity; symmetric strength and hop testing; no symptom recurrence through progression → discharge from formal PT.</w:t>
            </w:r>
          </w:p>
        </w:tc>
      </w:tr>
    </w:tbl>
    <w:p w14:paraId="7EE595CF" w14:textId="3F2B7009" w:rsidR="006149D0" w:rsidRDefault="006149D0">
      <w:pPr>
        <w:spacing w:after="300"/>
      </w:pPr>
    </w:p>
    <w:p w14:paraId="0075EA3B" w14:textId="77777777" w:rsidR="006149D0" w:rsidRDefault="006149D0">
      <w:r>
        <w:br w:type="page"/>
      </w:r>
    </w:p>
    <w:p w14:paraId="364CE64A" w14:textId="77777777" w:rsidR="00897382" w:rsidRDefault="00897382">
      <w:pPr>
        <w:spacing w:after="300"/>
      </w:pPr>
    </w:p>
    <w:p w14:paraId="48B12D98" w14:textId="77777777" w:rsidR="00897382" w:rsidRDefault="00000000">
      <w:pPr>
        <w:pBdr>
          <w:bottom w:val="single" w:sz="6" w:space="4" w:color="1A63CC"/>
        </w:pBdr>
        <w:spacing w:before="320" w:after="140"/>
      </w:pPr>
      <w:r>
        <w:rPr>
          <w:rFonts w:ascii="Merriweather" w:eastAsia="Merriweather" w:hAnsi="Merriweather" w:cs="Merriweather"/>
          <w:b/>
          <w:bCs/>
          <w:color w:val="0F4A9C"/>
          <w:sz w:val="28"/>
          <w:szCs w:val="28"/>
        </w:rPr>
        <w:t>Quick-Reference Timeline</w:t>
      </w:r>
    </w:p>
    <w:p w14:paraId="502F02C0" w14:textId="77777777" w:rsidR="00897382" w:rsidRDefault="00000000">
      <w:pPr>
        <w:spacing w:after="160" w:line="300" w:lineRule="auto"/>
      </w:pPr>
      <w:r>
        <w:rPr>
          <w:rFonts w:ascii="Source Sans 3" w:eastAsia="Source Sans 3" w:hAnsi="Source Sans 3" w:cs="Source Sans 3"/>
          <w:i/>
          <w:iCs/>
          <w:color w:val="1A1A1A"/>
          <w:sz w:val="22"/>
          <w:szCs w:val="22"/>
        </w:rPr>
        <w:t>Timeframes are typical ranges for planning purposes only. Every patient must advance based on meeting the clinical criteria above, not by the calendar.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1600"/>
        <w:gridCol w:w="3400"/>
        <w:gridCol w:w="2760"/>
      </w:tblGrid>
      <w:tr w:rsidR="00897382" w14:paraId="2C04CA0A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shd w:val="clear" w:color="auto" w:fill="0F4A9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689541F" w14:textId="77777777" w:rsidR="00897382" w:rsidRDefault="00000000">
            <w:r>
              <w:rPr>
                <w:rFonts w:ascii="Source Sans 3" w:eastAsia="Source Sans 3" w:hAnsi="Source Sans 3" w:cs="Source Sans 3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1600" w:type="dxa"/>
            <w:shd w:val="clear" w:color="auto" w:fill="0F4A9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D6CF0F8" w14:textId="77777777" w:rsidR="00897382" w:rsidRDefault="00000000">
            <w:r>
              <w:rPr>
                <w:rFonts w:ascii="Source Sans 3" w:eastAsia="Source Sans 3" w:hAnsi="Source Sans 3" w:cs="Source Sans 3"/>
                <w:b/>
                <w:bCs/>
                <w:color w:val="FFFFFF"/>
                <w:sz w:val="19"/>
                <w:szCs w:val="19"/>
              </w:rPr>
              <w:t>Typical Timeframe*</w:t>
            </w:r>
          </w:p>
        </w:tc>
        <w:tc>
          <w:tcPr>
            <w:tcW w:w="3400" w:type="dxa"/>
            <w:shd w:val="clear" w:color="auto" w:fill="0F4A9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7652D69" w14:textId="77777777" w:rsidR="00897382" w:rsidRDefault="00000000">
            <w:r>
              <w:rPr>
                <w:rFonts w:ascii="Source Sans 3" w:eastAsia="Source Sans 3" w:hAnsi="Source Sans 3" w:cs="Source Sans 3"/>
                <w:b/>
                <w:bCs/>
                <w:color w:val="FFFFFF"/>
                <w:sz w:val="19"/>
                <w:szCs w:val="19"/>
              </w:rPr>
              <w:t>Key Focus</w:t>
            </w:r>
          </w:p>
        </w:tc>
        <w:tc>
          <w:tcPr>
            <w:tcW w:w="2760" w:type="dxa"/>
            <w:shd w:val="clear" w:color="auto" w:fill="0F4A9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F8C14C0" w14:textId="77777777" w:rsidR="00897382" w:rsidRDefault="00000000">
            <w:r>
              <w:rPr>
                <w:rFonts w:ascii="Source Sans 3" w:eastAsia="Source Sans 3" w:hAnsi="Source Sans 3" w:cs="Source Sans 3"/>
                <w:b/>
                <w:bCs/>
                <w:color w:val="FFFFFF"/>
                <w:sz w:val="19"/>
                <w:szCs w:val="19"/>
              </w:rPr>
              <w:t>Criteria to Advance</w:t>
            </w:r>
          </w:p>
        </w:tc>
      </w:tr>
      <w:tr w:rsidR="00897382" w14:paraId="4C706CB3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shd w:val="clear" w:color="auto" w:fill="FFFFFF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EC7B5A0" w14:textId="77777777" w:rsidR="00897382" w:rsidRDefault="00000000">
            <w:r>
              <w:rPr>
                <w:rFonts w:ascii="Source Sans 3" w:eastAsia="Source Sans 3" w:hAnsi="Source Sans 3" w:cs="Source Sans 3"/>
                <w:b/>
                <w:bCs/>
                <w:color w:val="1A1A1A"/>
                <w:sz w:val="19"/>
                <w:szCs w:val="19"/>
              </w:rPr>
              <w:t>Phase 1</w:t>
            </w:r>
          </w:p>
        </w:tc>
        <w:tc>
          <w:tcPr>
            <w:tcW w:w="1600" w:type="dxa"/>
            <w:shd w:val="clear" w:color="auto" w:fill="FFFFFF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E8FACB7" w14:textId="77777777" w:rsidR="00897382" w:rsidRDefault="00000000"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Weeks 0–2</w:t>
            </w:r>
          </w:p>
        </w:tc>
        <w:tc>
          <w:tcPr>
            <w:tcW w:w="3400" w:type="dxa"/>
            <w:shd w:val="clear" w:color="auto" w:fill="FFFFFF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8E1D068" w14:textId="77777777" w:rsidR="00897382" w:rsidRDefault="00000000"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Relative rest, isometrics, pain control</w:t>
            </w:r>
          </w:p>
        </w:tc>
        <w:tc>
          <w:tcPr>
            <w:tcW w:w="2760" w:type="dxa"/>
            <w:shd w:val="clear" w:color="auto" w:fill="FFFFFF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1A04FD26" w14:textId="77777777" w:rsidR="00897382" w:rsidRDefault="00000000"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Pain &lt; 3/10 with ADLs, none at rest</w:t>
            </w:r>
          </w:p>
        </w:tc>
      </w:tr>
      <w:tr w:rsidR="00897382" w14:paraId="69F5296A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shd w:val="clear" w:color="auto" w:fill="F2F2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1006FD53" w14:textId="77777777" w:rsidR="00897382" w:rsidRDefault="00000000">
            <w:r>
              <w:rPr>
                <w:rFonts w:ascii="Source Sans 3" w:eastAsia="Source Sans 3" w:hAnsi="Source Sans 3" w:cs="Source Sans 3"/>
                <w:b/>
                <w:bCs/>
                <w:color w:val="1A1A1A"/>
                <w:sz w:val="19"/>
                <w:szCs w:val="19"/>
              </w:rPr>
              <w:t>Phase 2</w:t>
            </w:r>
          </w:p>
        </w:tc>
        <w:tc>
          <w:tcPr>
            <w:tcW w:w="1600" w:type="dxa"/>
            <w:shd w:val="clear" w:color="auto" w:fill="F2F2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77311B03" w14:textId="77777777" w:rsidR="00897382" w:rsidRDefault="00000000"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Weeks 2–5</w:t>
            </w:r>
          </w:p>
        </w:tc>
        <w:tc>
          <w:tcPr>
            <w:tcW w:w="3400" w:type="dxa"/>
            <w:shd w:val="clear" w:color="auto" w:fill="F2F2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1E63555" w14:textId="77777777" w:rsidR="00897382" w:rsidRDefault="00000000"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Eccentric loading, calf strengthening</w:t>
            </w:r>
          </w:p>
        </w:tc>
        <w:tc>
          <w:tcPr>
            <w:tcW w:w="2760" w:type="dxa"/>
            <w:shd w:val="clear" w:color="auto" w:fill="F2F2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6798BF70" w14:textId="77777777" w:rsidR="00897382" w:rsidRDefault="00000000"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 xml:space="preserve">Pain-free SL heel </w:t>
            </w:r>
            <w:proofErr w:type="gramStart"/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raise</w:t>
            </w:r>
            <w:proofErr w:type="gramEnd"/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 xml:space="preserve"> x10–15</w:t>
            </w:r>
          </w:p>
        </w:tc>
      </w:tr>
      <w:tr w:rsidR="00897382" w14:paraId="655A672B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shd w:val="clear" w:color="auto" w:fill="FFFFFF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7D42BFC4" w14:textId="77777777" w:rsidR="00897382" w:rsidRDefault="00000000">
            <w:r>
              <w:rPr>
                <w:rFonts w:ascii="Source Sans 3" w:eastAsia="Source Sans 3" w:hAnsi="Source Sans 3" w:cs="Source Sans 3"/>
                <w:b/>
                <w:bCs/>
                <w:color w:val="1A1A1A"/>
                <w:sz w:val="19"/>
                <w:szCs w:val="19"/>
              </w:rPr>
              <w:t>Phase 3</w:t>
            </w:r>
          </w:p>
        </w:tc>
        <w:tc>
          <w:tcPr>
            <w:tcW w:w="1600" w:type="dxa"/>
            <w:shd w:val="clear" w:color="auto" w:fill="FFFFFF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4C3B080" w14:textId="77777777" w:rsidR="00897382" w:rsidRDefault="00000000"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Weeks 5–8</w:t>
            </w:r>
          </w:p>
        </w:tc>
        <w:tc>
          <w:tcPr>
            <w:tcW w:w="3400" w:type="dxa"/>
            <w:shd w:val="clear" w:color="auto" w:fill="FFFFFF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6256E05C" w14:textId="77777777" w:rsidR="00897382" w:rsidRDefault="00000000"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Progressive strength, walk-run progression</w:t>
            </w:r>
          </w:p>
        </w:tc>
        <w:tc>
          <w:tcPr>
            <w:tcW w:w="2760" w:type="dxa"/>
            <w:shd w:val="clear" w:color="auto" w:fill="FFFFFF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9EA1CAA" w14:textId="77777777" w:rsidR="00897382" w:rsidRDefault="00000000"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Pain-free jogging, symmetric strength</w:t>
            </w:r>
          </w:p>
        </w:tc>
      </w:tr>
      <w:tr w:rsidR="00897382" w14:paraId="08A2FDE5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shd w:val="clear" w:color="auto" w:fill="F2F2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834CC6A" w14:textId="77777777" w:rsidR="00897382" w:rsidRDefault="00000000">
            <w:r>
              <w:rPr>
                <w:rFonts w:ascii="Source Sans 3" w:eastAsia="Source Sans 3" w:hAnsi="Source Sans 3" w:cs="Source Sans 3"/>
                <w:b/>
                <w:bCs/>
                <w:color w:val="1A1A1A"/>
                <w:sz w:val="19"/>
                <w:szCs w:val="19"/>
              </w:rPr>
              <w:t>Phase 4</w:t>
            </w:r>
          </w:p>
        </w:tc>
        <w:tc>
          <w:tcPr>
            <w:tcW w:w="1600" w:type="dxa"/>
            <w:shd w:val="clear" w:color="auto" w:fill="F2F2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7C92D8A5" w14:textId="77777777" w:rsidR="00897382" w:rsidRDefault="00000000"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Weeks 8–12+</w:t>
            </w:r>
          </w:p>
        </w:tc>
        <w:tc>
          <w:tcPr>
            <w:tcW w:w="3400" w:type="dxa"/>
            <w:shd w:val="clear" w:color="auto" w:fill="F2F2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288E1F7D" w14:textId="77777777" w:rsidR="00897382" w:rsidRDefault="00000000"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Plyometrics, return to sport</w:t>
            </w:r>
          </w:p>
        </w:tc>
        <w:tc>
          <w:tcPr>
            <w:tcW w:w="2760" w:type="dxa"/>
            <w:shd w:val="clear" w:color="auto" w:fill="F2F2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6F5AC776" w14:textId="77777777" w:rsidR="00897382" w:rsidRDefault="00000000">
            <w:r>
              <w:rPr>
                <w:rFonts w:ascii="Source Sans 3" w:eastAsia="Source Sans 3" w:hAnsi="Source Sans 3" w:cs="Source Sans 3"/>
                <w:color w:val="1A1A1A"/>
                <w:sz w:val="19"/>
                <w:szCs w:val="19"/>
              </w:rPr>
              <w:t>Full-intensity sport drills, symmetric hop testing</w:t>
            </w:r>
          </w:p>
        </w:tc>
      </w:tr>
    </w:tbl>
    <w:p w14:paraId="6FF2EFC3" w14:textId="77777777" w:rsidR="00897382" w:rsidRDefault="00897382">
      <w:pPr>
        <w:spacing w:after="300"/>
      </w:pPr>
    </w:p>
    <w:p w14:paraId="55E5072C" w14:textId="77777777" w:rsidR="00897382" w:rsidRDefault="00000000">
      <w:pPr>
        <w:pBdr>
          <w:bottom w:val="single" w:sz="6" w:space="4" w:color="1A63CC"/>
        </w:pBdr>
        <w:spacing w:before="320" w:after="140"/>
      </w:pPr>
      <w:r>
        <w:rPr>
          <w:rFonts w:ascii="Merriweather" w:eastAsia="Merriweather" w:hAnsi="Merriweather" w:cs="Merriweather"/>
          <w:b/>
          <w:bCs/>
          <w:color w:val="0F4A9C"/>
          <w:sz w:val="28"/>
          <w:szCs w:val="28"/>
        </w:rPr>
        <w:t>Clinical Pearls</w:t>
      </w:r>
    </w:p>
    <w:tbl>
      <w:tblPr>
        <w:tblW w:w="5000" w:type="pct"/>
        <w:tblBorders>
          <w:top w:val="none" w:sz="0" w:space="0" w:color="FFFFFF"/>
          <w:left w:val="single" w:sz="24" w:space="0" w:color="B8860B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10"/>
      </w:tblGrid>
      <w:tr w:rsidR="00897382" w14:paraId="33C27E9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FF6E0"/>
            <w:tcMar>
              <w:top w:w="220" w:type="dxa"/>
              <w:left w:w="300" w:type="dxa"/>
              <w:bottom w:w="220" w:type="dxa"/>
              <w:right w:w="300" w:type="dxa"/>
            </w:tcMar>
          </w:tcPr>
          <w:p w14:paraId="4E50FC39" w14:textId="77777777" w:rsidR="00897382" w:rsidRDefault="00000000">
            <w:pPr>
              <w:spacing w:after="100"/>
            </w:pPr>
            <w:r>
              <w:rPr>
                <w:rFonts w:ascii="Merriweather" w:eastAsia="Merriweather" w:hAnsi="Merriweather" w:cs="Merriweather"/>
                <w:b/>
                <w:bCs/>
                <w:color w:val="8A6512"/>
                <w:sz w:val="23"/>
                <w:szCs w:val="23"/>
              </w:rPr>
              <w:t>For the Treating Therapist</w:t>
            </w:r>
          </w:p>
          <w:p w14:paraId="6C4C866A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90" w:line="28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 xml:space="preserve">Eccentric loading is the strongest evidence-based intervention for tendinopathy; </w:t>
            </w:r>
            <w:proofErr w:type="gramStart"/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>dose</w:t>
            </w:r>
            <w:proofErr w:type="gramEnd"/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 xml:space="preserve"> it conservatively in adolescents </w:t>
            </w:r>
            <w:proofErr w:type="gramStart"/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>compared</w:t>
            </w:r>
            <w:proofErr w:type="gramEnd"/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 xml:space="preserve"> with published adult (Alfredson) protocols and progress by symptom response.</w:t>
            </w:r>
          </w:p>
          <w:p w14:paraId="4ECD8219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90" w:line="28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>"Relative rest" means removing the specific aggravating impact load, not stopping all activity — pain-free low-impact conditioning should continue.</w:t>
            </w:r>
          </w:p>
          <w:p w14:paraId="3D04E102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90" w:line="28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>Screen the contralateral limb; bilateral involvement is common in overuse Achilles tendinopathy.</w:t>
            </w:r>
          </w:p>
          <w:p w14:paraId="7F38E117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90" w:line="28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>Review training load, footwear, and playing surface — a rapid increase in running/jumping volume is the most common modifiable contributor.</w:t>
            </w:r>
          </w:p>
          <w:p w14:paraId="4420279E" w14:textId="6C38974A" w:rsidR="00897382" w:rsidRDefault="00000000">
            <w:pPr>
              <w:pStyle w:val="ListParagraph"/>
              <w:numPr>
                <w:ilvl w:val="0"/>
                <w:numId w:val="2"/>
              </w:numPr>
              <w:spacing w:after="90" w:line="28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>Night splinting and ultrasound are adjuncts that may improve comfort</w:t>
            </w:r>
            <w:r w:rsidR="00347853"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 xml:space="preserve"> and speed healing</w:t>
            </w:r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>.</w:t>
            </w:r>
          </w:p>
          <w:p w14:paraId="209CA068" w14:textId="3339EA4B" w:rsidR="00897382" w:rsidRDefault="00000000">
            <w:pPr>
              <w:pStyle w:val="ListParagraph"/>
              <w:numPr>
                <w:ilvl w:val="0"/>
                <w:numId w:val="2"/>
              </w:numPr>
              <w:spacing w:line="28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>A short course of CAM boot immobilization or an ASO ankle brace can be useful to manage severe symptoms or enforce rest in a child who will not otherwise offload the tendon. Wean out of the boot/brace as soon as symptoms allow and transition promptly into the progressive loading program, which is the actual driver of tendon healing.</w:t>
            </w:r>
          </w:p>
        </w:tc>
      </w:tr>
    </w:tbl>
    <w:p w14:paraId="478015CA" w14:textId="77777777" w:rsidR="00897382" w:rsidRDefault="00897382">
      <w:pPr>
        <w:spacing w:after="260"/>
      </w:pPr>
    </w:p>
    <w:p w14:paraId="67C34739" w14:textId="77777777" w:rsidR="008258B6" w:rsidRDefault="008258B6">
      <w:pPr>
        <w:rPr>
          <w:rFonts w:ascii="Merriweather" w:eastAsia="Merriweather" w:hAnsi="Merriweather" w:cs="Merriweather"/>
          <w:b/>
          <w:bCs/>
          <w:color w:val="0F4A9C"/>
          <w:sz w:val="28"/>
          <w:szCs w:val="28"/>
        </w:rPr>
      </w:pPr>
      <w:r>
        <w:rPr>
          <w:rFonts w:ascii="Merriweather" w:eastAsia="Merriweather" w:hAnsi="Merriweather" w:cs="Merriweather"/>
          <w:b/>
          <w:bCs/>
          <w:color w:val="0F4A9C"/>
          <w:sz w:val="28"/>
          <w:szCs w:val="28"/>
        </w:rPr>
        <w:br w:type="page"/>
      </w:r>
    </w:p>
    <w:p w14:paraId="17D0CE89" w14:textId="74367213" w:rsidR="00897382" w:rsidRDefault="00000000">
      <w:pPr>
        <w:pBdr>
          <w:bottom w:val="single" w:sz="6" w:space="4" w:color="1A63CC"/>
        </w:pBdr>
        <w:spacing w:before="320" w:after="140"/>
      </w:pPr>
      <w:r>
        <w:rPr>
          <w:rFonts w:ascii="Merriweather" w:eastAsia="Merriweather" w:hAnsi="Merriweather" w:cs="Merriweather"/>
          <w:b/>
          <w:bCs/>
          <w:color w:val="0F4A9C"/>
          <w:sz w:val="28"/>
          <w:szCs w:val="28"/>
        </w:rPr>
        <w:lastRenderedPageBreak/>
        <w:t>Potential Risks, Complications &amp; Red Flags</w:t>
      </w:r>
    </w:p>
    <w:tbl>
      <w:tblPr>
        <w:tblW w:w="5000" w:type="pct"/>
        <w:tblBorders>
          <w:top w:val="none" w:sz="0" w:space="0" w:color="FFFFFF"/>
          <w:left w:val="single" w:sz="24" w:space="0" w:color="C0392B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10"/>
      </w:tblGrid>
      <w:tr w:rsidR="00897382" w14:paraId="27C5C52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BEAEA"/>
            <w:tcMar>
              <w:top w:w="220" w:type="dxa"/>
              <w:left w:w="300" w:type="dxa"/>
              <w:bottom w:w="220" w:type="dxa"/>
              <w:right w:w="300" w:type="dxa"/>
            </w:tcMar>
          </w:tcPr>
          <w:p w14:paraId="409023AE" w14:textId="77777777" w:rsidR="00897382" w:rsidRDefault="00000000">
            <w:pPr>
              <w:spacing w:after="100"/>
            </w:pPr>
            <w:proofErr w:type="gramStart"/>
            <w:r>
              <w:rPr>
                <w:rFonts w:ascii="Merriweather" w:eastAsia="Merriweather" w:hAnsi="Merriweather" w:cs="Merriweather"/>
                <w:b/>
                <w:bCs/>
                <w:color w:val="C0392B"/>
                <w:sz w:val="23"/>
                <w:szCs w:val="23"/>
              </w:rPr>
              <w:t>Refer back</w:t>
            </w:r>
            <w:proofErr w:type="gramEnd"/>
            <w:r>
              <w:rPr>
                <w:rFonts w:ascii="Merriweather" w:eastAsia="Merriweather" w:hAnsi="Merriweather" w:cs="Merriweather"/>
                <w:b/>
                <w:bCs/>
                <w:color w:val="C0392B"/>
                <w:sz w:val="23"/>
                <w:szCs w:val="23"/>
              </w:rPr>
              <w:t xml:space="preserve"> to the surgeon if:</w:t>
            </w:r>
          </w:p>
          <w:p w14:paraId="74B58FBE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90" w:line="28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>Sudden "pop," acute severe pain, or inability to perform a single-leg heel raise — evaluate for possible tendon tear/rupture.</w:t>
            </w:r>
          </w:p>
          <w:p w14:paraId="74585B70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90" w:line="28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>Symptoms fail to improve after an adequate trial (roughly 6–8 weeks) of structured, compliant rehabilitation.</w:t>
            </w:r>
          </w:p>
          <w:p w14:paraId="7CB8DBC8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after="90" w:line="28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>Significant swelling, warmth, or symptoms out of proportion to an overuse presentation.</w:t>
            </w:r>
          </w:p>
          <w:p w14:paraId="5AD490D9" w14:textId="77777777" w:rsidR="00897382" w:rsidRDefault="00000000">
            <w:pPr>
              <w:pStyle w:val="ListParagraph"/>
              <w:numPr>
                <w:ilvl w:val="0"/>
                <w:numId w:val="2"/>
              </w:numPr>
              <w:spacing w:line="280" w:lineRule="auto"/>
            </w:pPr>
            <w:r>
              <w:rPr>
                <w:rFonts w:ascii="Source Sans 3" w:eastAsia="Source Sans 3" w:hAnsi="Source Sans 3" w:cs="Source Sans 3"/>
                <w:color w:val="1A1A1A"/>
                <w:sz w:val="21"/>
                <w:szCs w:val="21"/>
              </w:rPr>
              <w:t>Recurrent symptoms with each attempt to return to sport despite appropriate progression.</w:t>
            </w:r>
          </w:p>
        </w:tc>
      </w:tr>
    </w:tbl>
    <w:p w14:paraId="6929275B" w14:textId="77777777" w:rsidR="00897382" w:rsidRDefault="00897382">
      <w:pPr>
        <w:spacing w:after="220"/>
      </w:pPr>
    </w:p>
    <w:p w14:paraId="6AD7C51E" w14:textId="77777777" w:rsidR="00897382" w:rsidRDefault="00000000">
      <w:pPr>
        <w:spacing w:after="180" w:line="300" w:lineRule="auto"/>
      </w:pPr>
      <w:r>
        <w:rPr>
          <w:rFonts w:ascii="Source Sans 3" w:eastAsia="Source Sans 3" w:hAnsi="Source Sans 3" w:cs="Source Sans 3"/>
          <w:color w:val="1A1A1A"/>
          <w:sz w:val="22"/>
          <w:szCs w:val="22"/>
        </w:rPr>
        <w:t>With appropriate activity modification and adherence to a progressive loading program, prognosis is excellent and long-term complications are uncommon.</w:t>
      </w:r>
    </w:p>
    <w:sectPr w:rsidR="00897382">
      <w:footerReference w:type="default" r:id="rId9"/>
      <w:pgSz w:w="12240" w:h="15840"/>
      <w:pgMar w:top="72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C37E7" w14:textId="77777777" w:rsidR="00213FA0" w:rsidRDefault="00213FA0">
      <w:r>
        <w:separator/>
      </w:r>
    </w:p>
  </w:endnote>
  <w:endnote w:type="continuationSeparator" w:id="0">
    <w:p w14:paraId="7072AD80" w14:textId="77777777" w:rsidR="00213FA0" w:rsidRDefault="00213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3">
    <w:altName w:val="Cambria"/>
    <w:panose1 w:val="00000000000000000000"/>
    <w:charset w:val="00"/>
    <w:family w:val="roman"/>
    <w:notTrueType/>
    <w:pitch w:val="default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none" w:sz="0" w:space="0" w:color="FFFFFF"/>
        <w:insideV w:val="none" w:sz="0" w:space="0" w:color="FFFFFF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440"/>
    </w:tblGrid>
    <w:tr w:rsidR="00897382" w14:paraId="51A9165D" w14:textId="77777777">
      <w:tblPrEx>
        <w:tblCellMar>
          <w:top w:w="0" w:type="dxa"/>
          <w:bottom w:w="0" w:type="dxa"/>
        </w:tblCellMar>
      </w:tblPrEx>
      <w:tc>
        <w:tcPr>
          <w:tcW w:w="0" w:type="auto"/>
          <w:shd w:val="clear" w:color="auto" w:fill="0F4A9C"/>
          <w:tcMar>
            <w:top w:w="140" w:type="dxa"/>
            <w:left w:w="300" w:type="dxa"/>
            <w:bottom w:w="140" w:type="dxa"/>
            <w:right w:w="300" w:type="dxa"/>
          </w:tcMar>
        </w:tcPr>
        <w:p w14:paraId="1207D5FD" w14:textId="77777777" w:rsidR="00897382" w:rsidRDefault="00000000">
          <w:pPr>
            <w:jc w:val="center"/>
          </w:pPr>
          <w:r>
            <w:rPr>
              <w:rFonts w:ascii="Source Sans 3" w:eastAsia="Source Sans 3" w:hAnsi="Source Sans 3" w:cs="Source Sans 3"/>
              <w:color w:val="E8F0FC"/>
              <w:sz w:val="15"/>
              <w:szCs w:val="15"/>
            </w:rPr>
            <w:t xml:space="preserve">David Roberts, MD </w:t>
          </w:r>
          <w:proofErr w:type="gramStart"/>
          <w:r>
            <w:rPr>
              <w:rFonts w:ascii="Source Sans 3" w:eastAsia="Source Sans 3" w:hAnsi="Source Sans 3" w:cs="Source Sans 3"/>
              <w:color w:val="E8F0FC"/>
              <w:sz w:val="15"/>
              <w:szCs w:val="15"/>
            </w:rPr>
            <w:t>FAAOS  ·</w:t>
          </w:r>
          <w:proofErr w:type="gramEnd"/>
          <w:r>
            <w:rPr>
              <w:rFonts w:ascii="Source Sans 3" w:eastAsia="Source Sans 3" w:hAnsi="Source Sans 3" w:cs="Source Sans 3"/>
              <w:color w:val="E8F0FC"/>
              <w:sz w:val="15"/>
              <w:szCs w:val="15"/>
            </w:rPr>
            <w:t xml:space="preserve">  Pediatric Orthopedic </w:t>
          </w:r>
          <w:proofErr w:type="gramStart"/>
          <w:r>
            <w:rPr>
              <w:rFonts w:ascii="Source Sans 3" w:eastAsia="Source Sans 3" w:hAnsi="Source Sans 3" w:cs="Source Sans 3"/>
              <w:color w:val="E8F0FC"/>
              <w:sz w:val="15"/>
              <w:szCs w:val="15"/>
            </w:rPr>
            <w:t>Surgery  ·</w:t>
          </w:r>
          <w:proofErr w:type="gramEnd"/>
          <w:r>
            <w:rPr>
              <w:rFonts w:ascii="Source Sans 3" w:eastAsia="Source Sans 3" w:hAnsi="Source Sans 3" w:cs="Source Sans 3"/>
              <w:color w:val="E8F0FC"/>
              <w:sz w:val="15"/>
              <w:szCs w:val="15"/>
            </w:rPr>
            <w:t xml:space="preserve">  9650 Gross Point Road, Suite 2900, Skokie, IL </w:t>
          </w:r>
          <w:proofErr w:type="gramStart"/>
          <w:r>
            <w:rPr>
              <w:rFonts w:ascii="Source Sans 3" w:eastAsia="Source Sans 3" w:hAnsi="Source Sans 3" w:cs="Source Sans 3"/>
              <w:color w:val="E8F0FC"/>
              <w:sz w:val="15"/>
              <w:szCs w:val="15"/>
            </w:rPr>
            <w:t>60076  ·</w:t>
          </w:r>
          <w:proofErr w:type="gramEnd"/>
          <w:r>
            <w:rPr>
              <w:rFonts w:ascii="Source Sans 3" w:eastAsia="Source Sans 3" w:hAnsi="Source Sans 3" w:cs="Source Sans 3"/>
              <w:color w:val="E8F0FC"/>
              <w:sz w:val="15"/>
              <w:szCs w:val="15"/>
            </w:rPr>
            <w:t xml:space="preserve">  (847) 866-7846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95216" w14:textId="77777777" w:rsidR="00213FA0" w:rsidRDefault="00213FA0">
      <w:r>
        <w:separator/>
      </w:r>
    </w:p>
  </w:footnote>
  <w:footnote w:type="continuationSeparator" w:id="0">
    <w:p w14:paraId="2C08B435" w14:textId="77777777" w:rsidR="00213FA0" w:rsidRDefault="00213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760C"/>
    <w:multiLevelType w:val="hybridMultilevel"/>
    <w:tmpl w:val="E4F07674"/>
    <w:lvl w:ilvl="0" w:tplc="CC461692">
      <w:start w:val="1"/>
      <w:numFmt w:val="bullet"/>
      <w:lvlText w:val="●"/>
      <w:lvlJc w:val="left"/>
      <w:pPr>
        <w:ind w:left="720" w:hanging="360"/>
      </w:pPr>
    </w:lvl>
    <w:lvl w:ilvl="1" w:tplc="56AEC3C4">
      <w:start w:val="1"/>
      <w:numFmt w:val="bullet"/>
      <w:lvlText w:val="○"/>
      <w:lvlJc w:val="left"/>
      <w:pPr>
        <w:ind w:left="1440" w:hanging="360"/>
      </w:pPr>
    </w:lvl>
    <w:lvl w:ilvl="2" w:tplc="C2DA97D6">
      <w:start w:val="1"/>
      <w:numFmt w:val="bullet"/>
      <w:lvlText w:val="■"/>
      <w:lvlJc w:val="left"/>
      <w:pPr>
        <w:ind w:left="2160" w:hanging="360"/>
      </w:pPr>
    </w:lvl>
    <w:lvl w:ilvl="3" w:tplc="569C3B3C">
      <w:start w:val="1"/>
      <w:numFmt w:val="bullet"/>
      <w:lvlText w:val="●"/>
      <w:lvlJc w:val="left"/>
      <w:pPr>
        <w:ind w:left="2880" w:hanging="360"/>
      </w:pPr>
    </w:lvl>
    <w:lvl w:ilvl="4" w:tplc="D1EAA74C">
      <w:start w:val="1"/>
      <w:numFmt w:val="bullet"/>
      <w:lvlText w:val="○"/>
      <w:lvlJc w:val="left"/>
      <w:pPr>
        <w:ind w:left="3600" w:hanging="360"/>
      </w:pPr>
    </w:lvl>
    <w:lvl w:ilvl="5" w:tplc="B6625888">
      <w:start w:val="1"/>
      <w:numFmt w:val="bullet"/>
      <w:lvlText w:val="■"/>
      <w:lvlJc w:val="left"/>
      <w:pPr>
        <w:ind w:left="4320" w:hanging="360"/>
      </w:pPr>
    </w:lvl>
    <w:lvl w:ilvl="6" w:tplc="C6F2D226">
      <w:start w:val="1"/>
      <w:numFmt w:val="bullet"/>
      <w:lvlText w:val="●"/>
      <w:lvlJc w:val="left"/>
      <w:pPr>
        <w:ind w:left="5040" w:hanging="360"/>
      </w:pPr>
    </w:lvl>
    <w:lvl w:ilvl="7" w:tplc="A9C68BB0">
      <w:start w:val="1"/>
      <w:numFmt w:val="bullet"/>
      <w:lvlText w:val="●"/>
      <w:lvlJc w:val="left"/>
      <w:pPr>
        <w:ind w:left="5760" w:hanging="360"/>
      </w:pPr>
    </w:lvl>
    <w:lvl w:ilvl="8" w:tplc="57F4832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F971FC4"/>
    <w:multiLevelType w:val="hybridMultilevel"/>
    <w:tmpl w:val="9AF6587C"/>
    <w:lvl w:ilvl="0" w:tplc="E67E1A36">
      <w:start w:val="1"/>
      <w:numFmt w:val="bullet"/>
      <w:lvlText w:val="•"/>
      <w:lvlJc w:val="left"/>
      <w:pPr>
        <w:ind w:left="320" w:hanging="220"/>
      </w:pPr>
    </w:lvl>
    <w:lvl w:ilvl="1" w:tplc="00644498">
      <w:start w:val="1"/>
      <w:numFmt w:val="bullet"/>
      <w:lvlText w:val="◦"/>
      <w:lvlJc w:val="left"/>
      <w:pPr>
        <w:ind w:left="620" w:hanging="220"/>
      </w:pPr>
    </w:lvl>
    <w:lvl w:ilvl="2" w:tplc="D1264E52">
      <w:numFmt w:val="decimal"/>
      <w:lvlText w:val=""/>
      <w:lvlJc w:val="left"/>
    </w:lvl>
    <w:lvl w:ilvl="3" w:tplc="214A77E6">
      <w:numFmt w:val="decimal"/>
      <w:lvlText w:val=""/>
      <w:lvlJc w:val="left"/>
    </w:lvl>
    <w:lvl w:ilvl="4" w:tplc="0EF4EC38">
      <w:numFmt w:val="decimal"/>
      <w:lvlText w:val=""/>
      <w:lvlJc w:val="left"/>
    </w:lvl>
    <w:lvl w:ilvl="5" w:tplc="D7C080E4">
      <w:numFmt w:val="decimal"/>
      <w:lvlText w:val=""/>
      <w:lvlJc w:val="left"/>
    </w:lvl>
    <w:lvl w:ilvl="6" w:tplc="43103D6A">
      <w:numFmt w:val="decimal"/>
      <w:lvlText w:val=""/>
      <w:lvlJc w:val="left"/>
    </w:lvl>
    <w:lvl w:ilvl="7" w:tplc="780E2DE6">
      <w:numFmt w:val="decimal"/>
      <w:lvlText w:val=""/>
      <w:lvlJc w:val="left"/>
    </w:lvl>
    <w:lvl w:ilvl="8" w:tplc="1E806E7E">
      <w:numFmt w:val="decimal"/>
      <w:lvlText w:val=""/>
      <w:lvlJc w:val="left"/>
    </w:lvl>
  </w:abstractNum>
  <w:num w:numId="1" w16cid:durableId="800223578">
    <w:abstractNumId w:val="0"/>
    <w:lvlOverride w:ilvl="0">
      <w:startOverride w:val="1"/>
    </w:lvlOverride>
  </w:num>
  <w:num w:numId="2" w16cid:durableId="168447381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382"/>
    <w:rsid w:val="00213FA0"/>
    <w:rsid w:val="00347853"/>
    <w:rsid w:val="003E1495"/>
    <w:rsid w:val="006149D0"/>
    <w:rsid w:val="007E3BAA"/>
    <w:rsid w:val="008258B6"/>
    <w:rsid w:val="00897382"/>
    <w:rsid w:val="009B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30899"/>
  <w15:docId w15:val="{22010C00-B73A-4ED8-8973-2BB098875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1151</Words>
  <Characters>7125</Characters>
  <Application>Microsoft Office Word</Application>
  <DocSecurity>0</DocSecurity>
  <Lines>192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David Roberts</cp:lastModifiedBy>
  <cp:revision>5</cp:revision>
  <dcterms:created xsi:type="dcterms:W3CDTF">2026-08-01T17:27:00Z</dcterms:created>
  <dcterms:modified xsi:type="dcterms:W3CDTF">2026-08-01T17:28:00Z</dcterms:modified>
</cp:coreProperties>
</file>