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080"/>
      </w:tblGrid>
      <w:tr w:rsidR="00832D1C" w14:paraId="3E504D91" w14:textId="77777777">
        <w:tblPrEx>
          <w:tblCellMar>
            <w:top w:w="0" w:type="dxa"/>
            <w:bottom w:w="0" w:type="dxa"/>
          </w:tblCellMar>
        </w:tblPrEx>
        <w:tc>
          <w:tcPr>
            <w:tcW w:w="10080" w:type="dxa"/>
            <w:tcBorders>
              <w:top w:val="none" w:sz="0" w:space="0" w:color="FFFFFF"/>
              <w:left w:val="none" w:sz="0" w:space="0" w:color="FFFFFF"/>
              <w:bottom w:val="none" w:sz="0" w:space="0" w:color="FFFFFF"/>
              <w:right w:val="none" w:sz="0" w:space="0" w:color="FFFFFF"/>
            </w:tcBorders>
            <w:shd w:val="clear" w:color="auto" w:fill="0F4A9C"/>
            <w:tcMar>
              <w:top w:w="260" w:type="dxa"/>
              <w:left w:w="320" w:type="dxa"/>
              <w:bottom w:w="260" w:type="dxa"/>
              <w:right w:w="320" w:type="dxa"/>
            </w:tcMar>
          </w:tcPr>
          <w:p w14:paraId="73CCAD91" w14:textId="77777777" w:rsidR="00832D1C" w:rsidRDefault="00933873">
            <w:pPr>
              <w:spacing w:after="160"/>
            </w:pPr>
            <w:r>
              <w:rPr>
                <w:noProof/>
              </w:rPr>
              <w:drawing>
                <wp:inline distT="0" distB="0" distL="0" distR="0" wp14:anchorId="14DBDBBE" wp14:editId="5189D772">
                  <wp:extent cx="1809750" cy="400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809750" cy="400050"/>
                          </a:xfrm>
                          <a:prstGeom prst="rect">
                            <a:avLst/>
                          </a:prstGeom>
                        </pic:spPr>
                      </pic:pic>
                    </a:graphicData>
                  </a:graphic>
                </wp:inline>
              </w:drawing>
            </w:r>
          </w:p>
          <w:p w14:paraId="0E2B7B01" w14:textId="77777777" w:rsidR="00832D1C" w:rsidRDefault="00933873">
            <w:pPr>
              <w:spacing w:after="60"/>
            </w:pPr>
            <w:r>
              <w:rPr>
                <w:b/>
                <w:bCs/>
                <w:color w:val="E8F0FC"/>
                <w:spacing w:val="20"/>
                <w:sz w:val="18"/>
                <w:szCs w:val="18"/>
              </w:rPr>
              <w:t>PHYSICAL THERAPY PROTOCOL</w:t>
            </w:r>
          </w:p>
          <w:p w14:paraId="351A9B6C" w14:textId="77777777" w:rsidR="00832D1C" w:rsidRDefault="00933873">
            <w:pPr>
              <w:spacing w:after="60"/>
            </w:pPr>
            <w:r>
              <w:rPr>
                <w:rFonts w:ascii="Merriweather" w:eastAsia="Merriweather" w:hAnsi="Merriweather" w:cs="Merriweather"/>
                <w:b/>
                <w:bCs/>
                <w:color w:val="FFFFFF"/>
                <w:sz w:val="40"/>
                <w:szCs w:val="40"/>
              </w:rPr>
              <w:t>Hip Strain / Tendinopathy / Impingement</w:t>
            </w:r>
          </w:p>
          <w:p w14:paraId="58C951B4" w14:textId="72242E32" w:rsidR="00832D1C" w:rsidRDefault="00BE4B97">
            <w:r>
              <w:rPr>
                <w:color w:val="E8F0FC"/>
                <w:sz w:val="22"/>
                <w:szCs w:val="22"/>
              </w:rPr>
              <w:t>Hip</w:t>
            </w:r>
            <w:r w:rsidR="00933873">
              <w:rPr>
                <w:color w:val="E8F0FC"/>
                <w:sz w:val="22"/>
                <w:szCs w:val="22"/>
              </w:rPr>
              <w:t xml:space="preserve"> Rehabilitation Protocol for the Adolescent Athlete — ROM, Strengthening &amp; Modalities</w:t>
            </w:r>
          </w:p>
        </w:tc>
      </w:tr>
    </w:tbl>
    <w:p w14:paraId="29BC9216" w14:textId="77777777" w:rsidR="00832D1C" w:rsidRDefault="00832D1C">
      <w:pPr>
        <w:spacing w:after="220"/>
      </w:pPr>
    </w:p>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080"/>
      </w:tblGrid>
      <w:tr w:rsidR="00832D1C" w14:paraId="12663B8D" w14:textId="77777777">
        <w:tblPrEx>
          <w:tblCellMar>
            <w:top w:w="0" w:type="dxa"/>
            <w:bottom w:w="0" w:type="dxa"/>
          </w:tblCellMar>
        </w:tblPrEx>
        <w:tc>
          <w:tcPr>
            <w:tcW w:w="10080" w:type="dxa"/>
            <w:tcBorders>
              <w:top w:val="none" w:sz="0" w:space="0" w:color="E8F0FC"/>
              <w:left w:val="single" w:sz="28" w:space="0" w:color="1A63CC"/>
              <w:bottom w:val="none" w:sz="0" w:space="0" w:color="E8F0FC"/>
              <w:right w:val="none" w:sz="0" w:space="0" w:color="E8F0FC"/>
            </w:tcBorders>
            <w:shd w:val="clear" w:color="auto" w:fill="E8F0FC"/>
            <w:tcMar>
              <w:top w:w="180" w:type="dxa"/>
              <w:left w:w="260" w:type="dxa"/>
              <w:bottom w:w="180" w:type="dxa"/>
              <w:right w:w="260" w:type="dxa"/>
            </w:tcMar>
          </w:tcPr>
          <w:p w14:paraId="423D2ABC" w14:textId="77777777" w:rsidR="00832D1C" w:rsidRDefault="00933873">
            <w:pPr>
              <w:spacing w:after="80"/>
            </w:pPr>
            <w:r>
              <w:rPr>
                <w:rFonts w:ascii="Merriweather" w:eastAsia="Merriweather" w:hAnsi="Merriweather" w:cs="Merriweather"/>
                <w:b/>
                <w:bCs/>
                <w:color w:val="1A63CC"/>
                <w:sz w:val="20"/>
                <w:szCs w:val="20"/>
              </w:rPr>
              <w:t>WHO THIS PROTOCOL IS FOR</w:t>
            </w:r>
          </w:p>
          <w:p w14:paraId="3F9D58D8" w14:textId="1720A149" w:rsidR="00832D1C" w:rsidRDefault="00933873">
            <w:pPr>
              <w:spacing w:line="270" w:lineRule="auto"/>
            </w:pPr>
            <w:r>
              <w:t>This is a general, non-operative rehabilitation protocol for adolescent and teenage athletes with common overuse or minor hip complaints, including hip flexor strain/tendinopathy, hip abductor (gluteus medius) strain/tendinopathy, mild femoroacetabular impingement (FAI) symptoms, and other</w:t>
            </w:r>
            <w:r w:rsidR="00BE4B97">
              <w:t xml:space="preserve"> types of</w:t>
            </w:r>
            <w:r>
              <w:t xml:space="preserve"> hip pain. </w:t>
            </w:r>
          </w:p>
        </w:tc>
      </w:tr>
    </w:tbl>
    <w:p w14:paraId="6CEDD980" w14:textId="77777777" w:rsidR="00832D1C" w:rsidRDefault="00933873">
      <w:pPr>
        <w:pBdr>
          <w:bottom w:val="single" w:sz="6" w:space="0" w:color="0F4A9C"/>
        </w:pBdr>
        <w:spacing w:before="320" w:after="140"/>
      </w:pPr>
      <w:r>
        <w:rPr>
          <w:rFonts w:ascii="Merriweather" w:eastAsia="Merriweather" w:hAnsi="Merriweather" w:cs="Merriweather"/>
          <w:b/>
          <w:bCs/>
          <w:color w:val="0F4A9C"/>
          <w:sz w:val="26"/>
          <w:szCs w:val="26"/>
        </w:rPr>
        <w:t>GUIDING PRINCIPLES</w:t>
      </w:r>
    </w:p>
    <w:p w14:paraId="7BBDE3A1" w14:textId="77777777" w:rsidR="00832D1C" w:rsidRDefault="00933873">
      <w:pPr>
        <w:pStyle w:val="ListParagraph"/>
        <w:numPr>
          <w:ilvl w:val="0"/>
          <w:numId w:val="2"/>
        </w:numPr>
        <w:spacing w:after="100" w:line="270" w:lineRule="auto"/>
      </w:pPr>
      <w:r>
        <w:t xml:space="preserve">This protocol is criteria-based, not strictly calendar-based. </w:t>
      </w:r>
      <w:proofErr w:type="gramStart"/>
      <w:r>
        <w:t>Progress</w:t>
      </w:r>
      <w:proofErr w:type="gramEnd"/>
      <w:r>
        <w:t xml:space="preserve"> from one phase to the next when the listed criteria are met, not simply because a certain number of weeks </w:t>
      </w:r>
      <w:proofErr w:type="gramStart"/>
      <w:r>
        <w:t>has</w:t>
      </w:r>
      <w:proofErr w:type="gramEnd"/>
      <w:r>
        <w:t xml:space="preserve"> passed.</w:t>
      </w:r>
    </w:p>
    <w:p w14:paraId="3ED2997D" w14:textId="1B53CCE9" w:rsidR="00832D1C" w:rsidRDefault="00933873">
      <w:pPr>
        <w:pStyle w:val="ListParagraph"/>
        <w:numPr>
          <w:ilvl w:val="0"/>
          <w:numId w:val="2"/>
        </w:numPr>
        <w:spacing w:after="100" w:line="270" w:lineRule="auto"/>
      </w:pPr>
      <w:r>
        <w:t xml:space="preserve">Pain should guide activity: mild discomfort </w:t>
      </w:r>
      <w:r>
        <w:t>that resolves quickly is acceptable during exercise; sharp, escalating, or lingering pain is a signal to regress.</w:t>
      </w:r>
    </w:p>
    <w:p w14:paraId="30572FF2" w14:textId="77777777" w:rsidR="00832D1C" w:rsidRDefault="00933873">
      <w:pPr>
        <w:pStyle w:val="ListParagraph"/>
        <w:numPr>
          <w:ilvl w:val="0"/>
          <w:numId w:val="2"/>
        </w:numPr>
        <w:spacing w:after="100" w:line="270" w:lineRule="auto"/>
      </w:pPr>
      <w:r>
        <w:t>Relative rest and activity modification are the foundation of treatment for these overuse conditions — most of these injuries improve with a temporary reduction in the aggravating activity combined with a structured strengthening program, not with complete inactivity.</w:t>
      </w:r>
    </w:p>
    <w:p w14:paraId="1BD72118" w14:textId="3AB644BA" w:rsidR="00832D1C" w:rsidRDefault="00933873">
      <w:pPr>
        <w:pStyle w:val="ListParagraph"/>
        <w:numPr>
          <w:ilvl w:val="0"/>
          <w:numId w:val="2"/>
        </w:numPr>
        <w:spacing w:after="100" w:line="270" w:lineRule="auto"/>
      </w:pPr>
      <w:r>
        <w:t>Many patients improve with a home exercise program alone</w:t>
      </w:r>
      <w:r w:rsidR="00BE4B97">
        <w:t xml:space="preserve">.  Formal physical </w:t>
      </w:r>
      <w:r>
        <w:t>therapy is most useful for athletes who are not progressing with home exercises, have persistent movement dysfunction, or are returning to competitive sport.</w:t>
      </w:r>
    </w:p>
    <w:p w14:paraId="2E4ADE43" w14:textId="77777777" w:rsidR="00832D1C" w:rsidRDefault="00933873">
      <w:pPr>
        <w:pBdr>
          <w:bottom w:val="single" w:sz="6" w:space="0" w:color="0F4A9C"/>
        </w:pBdr>
        <w:spacing w:before="320" w:after="140"/>
      </w:pPr>
      <w:r>
        <w:rPr>
          <w:rFonts w:ascii="Merriweather" w:eastAsia="Merriweather" w:hAnsi="Merriweather" w:cs="Merriweather"/>
          <w:b/>
          <w:bCs/>
          <w:color w:val="0F4A9C"/>
          <w:sz w:val="26"/>
          <w:szCs w:val="26"/>
        </w:rPr>
        <w:t>QUICK-REFERENCE TIMELINE</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60"/>
        <w:gridCol w:w="3360"/>
        <w:gridCol w:w="3360"/>
      </w:tblGrid>
      <w:tr w:rsidR="00832D1C" w14:paraId="5FC7BACF" w14:textId="77777777">
        <w:tblPrEx>
          <w:tblCellMar>
            <w:top w:w="0" w:type="dxa"/>
            <w:bottom w:w="0" w:type="dxa"/>
          </w:tblCellMar>
        </w:tblPrEx>
        <w:trPr>
          <w:tblHeader/>
        </w:trPr>
        <w:tc>
          <w:tcPr>
            <w:tcW w:w="3360" w:type="dxa"/>
            <w:tcBorders>
              <w:top w:val="single" w:sz="4" w:space="0" w:color="0F4A9C"/>
              <w:left w:val="single" w:sz="4" w:space="0" w:color="0F4A9C"/>
              <w:bottom w:val="single" w:sz="4" w:space="0" w:color="0F4A9C"/>
              <w:right w:val="single" w:sz="4" w:space="0" w:color="0F4A9C"/>
            </w:tcBorders>
            <w:shd w:val="clear" w:color="auto" w:fill="0F4A9C"/>
            <w:tcMar>
              <w:top w:w="120" w:type="dxa"/>
              <w:left w:w="160" w:type="dxa"/>
              <w:bottom w:w="120" w:type="dxa"/>
              <w:right w:w="160" w:type="dxa"/>
            </w:tcMar>
            <w:vAlign w:val="center"/>
          </w:tcPr>
          <w:p w14:paraId="093D7CFF" w14:textId="77777777" w:rsidR="00832D1C" w:rsidRDefault="00933873">
            <w:r>
              <w:rPr>
                <w:b/>
                <w:bCs/>
                <w:color w:val="FFFFFF"/>
                <w:sz w:val="20"/>
                <w:szCs w:val="20"/>
              </w:rPr>
              <w:t>Phase</w:t>
            </w:r>
          </w:p>
        </w:tc>
        <w:tc>
          <w:tcPr>
            <w:tcW w:w="3360" w:type="dxa"/>
            <w:tcBorders>
              <w:top w:val="single" w:sz="4" w:space="0" w:color="0F4A9C"/>
              <w:left w:val="single" w:sz="4" w:space="0" w:color="0F4A9C"/>
              <w:bottom w:val="single" w:sz="4" w:space="0" w:color="0F4A9C"/>
              <w:right w:val="single" w:sz="4" w:space="0" w:color="0F4A9C"/>
            </w:tcBorders>
            <w:shd w:val="clear" w:color="auto" w:fill="0F4A9C"/>
            <w:tcMar>
              <w:top w:w="120" w:type="dxa"/>
              <w:left w:w="160" w:type="dxa"/>
              <w:bottom w:w="120" w:type="dxa"/>
              <w:right w:w="160" w:type="dxa"/>
            </w:tcMar>
            <w:vAlign w:val="center"/>
          </w:tcPr>
          <w:p w14:paraId="16F0EF26" w14:textId="77777777" w:rsidR="00832D1C" w:rsidRDefault="00933873">
            <w:r>
              <w:rPr>
                <w:b/>
                <w:bCs/>
                <w:color w:val="FFFFFF"/>
                <w:sz w:val="20"/>
                <w:szCs w:val="20"/>
              </w:rPr>
              <w:t>Typical Timeframe</w:t>
            </w:r>
          </w:p>
        </w:tc>
        <w:tc>
          <w:tcPr>
            <w:tcW w:w="3360" w:type="dxa"/>
            <w:tcBorders>
              <w:top w:val="single" w:sz="4" w:space="0" w:color="0F4A9C"/>
              <w:left w:val="single" w:sz="4" w:space="0" w:color="0F4A9C"/>
              <w:bottom w:val="single" w:sz="4" w:space="0" w:color="0F4A9C"/>
              <w:right w:val="single" w:sz="4" w:space="0" w:color="0F4A9C"/>
            </w:tcBorders>
            <w:shd w:val="clear" w:color="auto" w:fill="0F4A9C"/>
            <w:tcMar>
              <w:top w:w="120" w:type="dxa"/>
              <w:left w:w="160" w:type="dxa"/>
              <w:bottom w:w="120" w:type="dxa"/>
              <w:right w:w="160" w:type="dxa"/>
            </w:tcMar>
            <w:vAlign w:val="center"/>
          </w:tcPr>
          <w:p w14:paraId="3413343C" w14:textId="77777777" w:rsidR="00832D1C" w:rsidRDefault="00933873">
            <w:r>
              <w:rPr>
                <w:b/>
                <w:bCs/>
                <w:color w:val="FFFFFF"/>
                <w:sz w:val="20"/>
                <w:szCs w:val="20"/>
              </w:rPr>
              <w:t>Focus</w:t>
            </w:r>
          </w:p>
        </w:tc>
      </w:tr>
      <w:tr w:rsidR="00832D1C" w14:paraId="73D9D2C9" w14:textId="77777777">
        <w:tblPrEx>
          <w:tblCellMar>
            <w:top w:w="0" w:type="dxa"/>
            <w:bottom w:w="0" w:type="dxa"/>
          </w:tblCellMar>
        </w:tblPrEx>
        <w:tc>
          <w:tcPr>
            <w:tcW w:w="3360" w:type="dxa"/>
            <w:tcBorders>
              <w:top w:val="single" w:sz="4" w:space="0" w:color="D0D0D0"/>
              <w:left w:val="single" w:sz="4" w:space="0" w:color="D0D0D0"/>
              <w:bottom w:val="single" w:sz="4" w:space="0" w:color="D0D0D0"/>
              <w:right w:val="single" w:sz="4" w:space="0" w:color="D0D0D0"/>
            </w:tcBorders>
            <w:shd w:val="clear" w:color="auto" w:fill="FFFFFF"/>
            <w:tcMar>
              <w:top w:w="110" w:type="dxa"/>
              <w:left w:w="160" w:type="dxa"/>
              <w:bottom w:w="110" w:type="dxa"/>
              <w:right w:w="160" w:type="dxa"/>
            </w:tcMar>
            <w:vAlign w:val="center"/>
          </w:tcPr>
          <w:p w14:paraId="0C568F50" w14:textId="77777777" w:rsidR="00832D1C" w:rsidRDefault="00933873">
            <w:pPr>
              <w:spacing w:line="250" w:lineRule="auto"/>
            </w:pPr>
            <w:r>
              <w:rPr>
                <w:b/>
                <w:bCs/>
                <w:sz w:val="20"/>
                <w:szCs w:val="20"/>
              </w:rPr>
              <w:t>Phase 1 — Protection &amp; Pain Control</w:t>
            </w:r>
          </w:p>
        </w:tc>
        <w:tc>
          <w:tcPr>
            <w:tcW w:w="3360" w:type="dxa"/>
            <w:tcBorders>
              <w:top w:val="single" w:sz="4" w:space="0" w:color="D0D0D0"/>
              <w:left w:val="single" w:sz="4" w:space="0" w:color="D0D0D0"/>
              <w:bottom w:val="single" w:sz="4" w:space="0" w:color="D0D0D0"/>
              <w:right w:val="single" w:sz="4" w:space="0" w:color="D0D0D0"/>
            </w:tcBorders>
            <w:shd w:val="clear" w:color="auto" w:fill="FFFFFF"/>
            <w:tcMar>
              <w:top w:w="110" w:type="dxa"/>
              <w:left w:w="160" w:type="dxa"/>
              <w:bottom w:w="110" w:type="dxa"/>
              <w:right w:w="160" w:type="dxa"/>
            </w:tcMar>
            <w:vAlign w:val="center"/>
          </w:tcPr>
          <w:p w14:paraId="6FC4AA0E" w14:textId="77777777" w:rsidR="00832D1C" w:rsidRDefault="00933873">
            <w:pPr>
              <w:spacing w:line="250" w:lineRule="auto"/>
            </w:pPr>
            <w:r>
              <w:rPr>
                <w:sz w:val="20"/>
                <w:szCs w:val="20"/>
              </w:rPr>
              <w:t>Days 0–10 (criteria-based)</w:t>
            </w:r>
          </w:p>
        </w:tc>
        <w:tc>
          <w:tcPr>
            <w:tcW w:w="3360" w:type="dxa"/>
            <w:tcBorders>
              <w:top w:val="single" w:sz="4" w:space="0" w:color="D0D0D0"/>
              <w:left w:val="single" w:sz="4" w:space="0" w:color="D0D0D0"/>
              <w:bottom w:val="single" w:sz="4" w:space="0" w:color="D0D0D0"/>
              <w:right w:val="single" w:sz="4" w:space="0" w:color="D0D0D0"/>
            </w:tcBorders>
            <w:shd w:val="clear" w:color="auto" w:fill="FFFFFF"/>
            <w:tcMar>
              <w:top w:w="110" w:type="dxa"/>
              <w:left w:w="160" w:type="dxa"/>
              <w:bottom w:w="110" w:type="dxa"/>
              <w:right w:w="160" w:type="dxa"/>
            </w:tcMar>
            <w:vAlign w:val="center"/>
          </w:tcPr>
          <w:p w14:paraId="66BCCB8D" w14:textId="77777777" w:rsidR="00832D1C" w:rsidRDefault="00933873">
            <w:pPr>
              <w:spacing w:line="250" w:lineRule="auto"/>
            </w:pPr>
            <w:r>
              <w:rPr>
                <w:sz w:val="20"/>
                <w:szCs w:val="20"/>
              </w:rPr>
              <w:t>Activity modification, pain-free ROM, gentle isometrics, modalities</w:t>
            </w:r>
          </w:p>
        </w:tc>
      </w:tr>
      <w:tr w:rsidR="00832D1C" w14:paraId="24474588" w14:textId="77777777">
        <w:tblPrEx>
          <w:tblCellMar>
            <w:top w:w="0" w:type="dxa"/>
            <w:bottom w:w="0" w:type="dxa"/>
          </w:tblCellMar>
        </w:tblPrEx>
        <w:tc>
          <w:tcPr>
            <w:tcW w:w="3360" w:type="dxa"/>
            <w:tcBorders>
              <w:top w:val="single" w:sz="4" w:space="0" w:color="D0D0D0"/>
              <w:left w:val="single" w:sz="4" w:space="0" w:color="D0D0D0"/>
              <w:bottom w:val="single" w:sz="4" w:space="0" w:color="D0D0D0"/>
              <w:right w:val="single" w:sz="4" w:space="0" w:color="D0D0D0"/>
            </w:tcBorders>
            <w:shd w:val="clear" w:color="auto" w:fill="F2F2F2"/>
            <w:tcMar>
              <w:top w:w="110" w:type="dxa"/>
              <w:left w:w="160" w:type="dxa"/>
              <w:bottom w:w="110" w:type="dxa"/>
              <w:right w:w="160" w:type="dxa"/>
            </w:tcMar>
            <w:vAlign w:val="center"/>
          </w:tcPr>
          <w:p w14:paraId="06785ED0" w14:textId="77777777" w:rsidR="00832D1C" w:rsidRDefault="00933873">
            <w:pPr>
              <w:spacing w:line="250" w:lineRule="auto"/>
            </w:pPr>
            <w:r>
              <w:rPr>
                <w:b/>
                <w:bCs/>
                <w:sz w:val="20"/>
                <w:szCs w:val="20"/>
              </w:rPr>
              <w:t>Phase 2 — Mobility &amp; Motor Control</w:t>
            </w:r>
          </w:p>
        </w:tc>
        <w:tc>
          <w:tcPr>
            <w:tcW w:w="3360" w:type="dxa"/>
            <w:tcBorders>
              <w:top w:val="single" w:sz="4" w:space="0" w:color="D0D0D0"/>
              <w:left w:val="single" w:sz="4" w:space="0" w:color="D0D0D0"/>
              <w:bottom w:val="single" w:sz="4" w:space="0" w:color="D0D0D0"/>
              <w:right w:val="single" w:sz="4" w:space="0" w:color="D0D0D0"/>
            </w:tcBorders>
            <w:shd w:val="clear" w:color="auto" w:fill="F2F2F2"/>
            <w:tcMar>
              <w:top w:w="110" w:type="dxa"/>
              <w:left w:w="160" w:type="dxa"/>
              <w:bottom w:w="110" w:type="dxa"/>
              <w:right w:w="160" w:type="dxa"/>
            </w:tcMar>
            <w:vAlign w:val="center"/>
          </w:tcPr>
          <w:p w14:paraId="52D9F35B" w14:textId="77777777" w:rsidR="00832D1C" w:rsidRDefault="00933873">
            <w:pPr>
              <w:spacing w:line="250" w:lineRule="auto"/>
            </w:pPr>
            <w:r>
              <w:rPr>
                <w:sz w:val="20"/>
                <w:szCs w:val="20"/>
              </w:rPr>
              <w:t>~Week 1–3</w:t>
            </w:r>
          </w:p>
        </w:tc>
        <w:tc>
          <w:tcPr>
            <w:tcW w:w="3360" w:type="dxa"/>
            <w:tcBorders>
              <w:top w:val="single" w:sz="4" w:space="0" w:color="D0D0D0"/>
              <w:left w:val="single" w:sz="4" w:space="0" w:color="D0D0D0"/>
              <w:bottom w:val="single" w:sz="4" w:space="0" w:color="D0D0D0"/>
              <w:right w:val="single" w:sz="4" w:space="0" w:color="D0D0D0"/>
            </w:tcBorders>
            <w:shd w:val="clear" w:color="auto" w:fill="F2F2F2"/>
            <w:tcMar>
              <w:top w:w="110" w:type="dxa"/>
              <w:left w:w="160" w:type="dxa"/>
              <w:bottom w:w="110" w:type="dxa"/>
              <w:right w:w="160" w:type="dxa"/>
            </w:tcMar>
            <w:vAlign w:val="center"/>
          </w:tcPr>
          <w:p w14:paraId="0E59C0D4" w14:textId="77777777" w:rsidR="00832D1C" w:rsidRDefault="00933873">
            <w:pPr>
              <w:spacing w:line="250" w:lineRule="auto"/>
            </w:pPr>
            <w:r>
              <w:rPr>
                <w:sz w:val="20"/>
                <w:szCs w:val="20"/>
              </w:rPr>
              <w:t>Full pain-free ROM, low-load strengthening, gait/movement retraining</w:t>
            </w:r>
          </w:p>
        </w:tc>
      </w:tr>
      <w:tr w:rsidR="00832D1C" w14:paraId="064681ED" w14:textId="77777777">
        <w:tblPrEx>
          <w:tblCellMar>
            <w:top w:w="0" w:type="dxa"/>
            <w:bottom w:w="0" w:type="dxa"/>
          </w:tblCellMar>
        </w:tblPrEx>
        <w:tc>
          <w:tcPr>
            <w:tcW w:w="3360" w:type="dxa"/>
            <w:tcBorders>
              <w:top w:val="single" w:sz="4" w:space="0" w:color="D0D0D0"/>
              <w:left w:val="single" w:sz="4" w:space="0" w:color="D0D0D0"/>
              <w:bottom w:val="single" w:sz="4" w:space="0" w:color="D0D0D0"/>
              <w:right w:val="single" w:sz="4" w:space="0" w:color="D0D0D0"/>
            </w:tcBorders>
            <w:shd w:val="clear" w:color="auto" w:fill="FFFFFF"/>
            <w:tcMar>
              <w:top w:w="110" w:type="dxa"/>
              <w:left w:w="160" w:type="dxa"/>
              <w:bottom w:w="110" w:type="dxa"/>
              <w:right w:w="160" w:type="dxa"/>
            </w:tcMar>
            <w:vAlign w:val="center"/>
          </w:tcPr>
          <w:p w14:paraId="5D4334F1" w14:textId="77777777" w:rsidR="00832D1C" w:rsidRDefault="00933873">
            <w:pPr>
              <w:spacing w:line="250" w:lineRule="auto"/>
            </w:pPr>
            <w:r>
              <w:rPr>
                <w:b/>
                <w:bCs/>
                <w:sz w:val="20"/>
                <w:szCs w:val="20"/>
              </w:rPr>
              <w:t>Phase 3 — Progressive Strengthening</w:t>
            </w:r>
          </w:p>
        </w:tc>
        <w:tc>
          <w:tcPr>
            <w:tcW w:w="3360" w:type="dxa"/>
            <w:tcBorders>
              <w:top w:val="single" w:sz="4" w:space="0" w:color="D0D0D0"/>
              <w:left w:val="single" w:sz="4" w:space="0" w:color="D0D0D0"/>
              <w:bottom w:val="single" w:sz="4" w:space="0" w:color="D0D0D0"/>
              <w:right w:val="single" w:sz="4" w:space="0" w:color="D0D0D0"/>
            </w:tcBorders>
            <w:shd w:val="clear" w:color="auto" w:fill="FFFFFF"/>
            <w:tcMar>
              <w:top w:w="110" w:type="dxa"/>
              <w:left w:w="160" w:type="dxa"/>
              <w:bottom w:w="110" w:type="dxa"/>
              <w:right w:w="160" w:type="dxa"/>
            </w:tcMar>
            <w:vAlign w:val="center"/>
          </w:tcPr>
          <w:p w14:paraId="7652E6C7" w14:textId="3B7A3D9D" w:rsidR="00832D1C" w:rsidRDefault="00933873">
            <w:pPr>
              <w:spacing w:line="250" w:lineRule="auto"/>
            </w:pPr>
            <w:r>
              <w:rPr>
                <w:sz w:val="20"/>
                <w:szCs w:val="20"/>
              </w:rPr>
              <w:t xml:space="preserve">~Week </w:t>
            </w:r>
            <w:r w:rsidR="00BE4B97">
              <w:rPr>
                <w:sz w:val="20"/>
                <w:szCs w:val="20"/>
              </w:rPr>
              <w:t>4</w:t>
            </w:r>
            <w:r>
              <w:rPr>
                <w:sz w:val="20"/>
                <w:szCs w:val="20"/>
              </w:rPr>
              <w:t>–</w:t>
            </w:r>
            <w:r w:rsidR="00BE4B97">
              <w:rPr>
                <w:sz w:val="20"/>
                <w:szCs w:val="20"/>
              </w:rPr>
              <w:t>6</w:t>
            </w:r>
          </w:p>
        </w:tc>
        <w:tc>
          <w:tcPr>
            <w:tcW w:w="3360" w:type="dxa"/>
            <w:tcBorders>
              <w:top w:val="single" w:sz="4" w:space="0" w:color="D0D0D0"/>
              <w:left w:val="single" w:sz="4" w:space="0" w:color="D0D0D0"/>
              <w:bottom w:val="single" w:sz="4" w:space="0" w:color="D0D0D0"/>
              <w:right w:val="single" w:sz="4" w:space="0" w:color="D0D0D0"/>
            </w:tcBorders>
            <w:shd w:val="clear" w:color="auto" w:fill="FFFFFF"/>
            <w:tcMar>
              <w:top w:w="110" w:type="dxa"/>
              <w:left w:w="160" w:type="dxa"/>
              <w:bottom w:w="110" w:type="dxa"/>
              <w:right w:w="160" w:type="dxa"/>
            </w:tcMar>
            <w:vAlign w:val="center"/>
          </w:tcPr>
          <w:p w14:paraId="656C4957" w14:textId="77777777" w:rsidR="00832D1C" w:rsidRDefault="00933873">
            <w:pPr>
              <w:spacing w:line="250" w:lineRule="auto"/>
            </w:pPr>
            <w:r>
              <w:rPr>
                <w:sz w:val="20"/>
                <w:szCs w:val="20"/>
              </w:rPr>
              <w:t>Progressive resistance, single-leg control, core/pelvic stability</w:t>
            </w:r>
          </w:p>
        </w:tc>
      </w:tr>
      <w:tr w:rsidR="00832D1C" w14:paraId="58B37B3A" w14:textId="77777777">
        <w:tblPrEx>
          <w:tblCellMar>
            <w:top w:w="0" w:type="dxa"/>
            <w:bottom w:w="0" w:type="dxa"/>
          </w:tblCellMar>
        </w:tblPrEx>
        <w:tc>
          <w:tcPr>
            <w:tcW w:w="3360" w:type="dxa"/>
            <w:tcBorders>
              <w:top w:val="single" w:sz="4" w:space="0" w:color="D0D0D0"/>
              <w:left w:val="single" w:sz="4" w:space="0" w:color="D0D0D0"/>
              <w:bottom w:val="single" w:sz="4" w:space="0" w:color="D0D0D0"/>
              <w:right w:val="single" w:sz="4" w:space="0" w:color="D0D0D0"/>
            </w:tcBorders>
            <w:shd w:val="clear" w:color="auto" w:fill="F2F2F2"/>
            <w:tcMar>
              <w:top w:w="110" w:type="dxa"/>
              <w:left w:w="160" w:type="dxa"/>
              <w:bottom w:w="110" w:type="dxa"/>
              <w:right w:w="160" w:type="dxa"/>
            </w:tcMar>
            <w:vAlign w:val="center"/>
          </w:tcPr>
          <w:p w14:paraId="59F3031D" w14:textId="77777777" w:rsidR="00832D1C" w:rsidRDefault="00933873">
            <w:pPr>
              <w:spacing w:line="250" w:lineRule="auto"/>
            </w:pPr>
            <w:r>
              <w:rPr>
                <w:b/>
                <w:bCs/>
                <w:sz w:val="20"/>
                <w:szCs w:val="20"/>
              </w:rPr>
              <w:t>Phase 4 — Sport-Specific &amp; Return to Play</w:t>
            </w:r>
          </w:p>
        </w:tc>
        <w:tc>
          <w:tcPr>
            <w:tcW w:w="3360" w:type="dxa"/>
            <w:tcBorders>
              <w:top w:val="single" w:sz="4" w:space="0" w:color="D0D0D0"/>
              <w:left w:val="single" w:sz="4" w:space="0" w:color="D0D0D0"/>
              <w:bottom w:val="single" w:sz="4" w:space="0" w:color="D0D0D0"/>
              <w:right w:val="single" w:sz="4" w:space="0" w:color="D0D0D0"/>
            </w:tcBorders>
            <w:shd w:val="clear" w:color="auto" w:fill="F2F2F2"/>
            <w:tcMar>
              <w:top w:w="110" w:type="dxa"/>
              <w:left w:w="160" w:type="dxa"/>
              <w:bottom w:w="110" w:type="dxa"/>
              <w:right w:w="160" w:type="dxa"/>
            </w:tcMar>
            <w:vAlign w:val="center"/>
          </w:tcPr>
          <w:p w14:paraId="5ACB5B35" w14:textId="12821701" w:rsidR="00832D1C" w:rsidRDefault="00933873">
            <w:pPr>
              <w:spacing w:line="250" w:lineRule="auto"/>
            </w:pPr>
            <w:r>
              <w:rPr>
                <w:sz w:val="20"/>
                <w:szCs w:val="20"/>
              </w:rPr>
              <w:t xml:space="preserve">~Week </w:t>
            </w:r>
            <w:r w:rsidR="00BE4B97">
              <w:rPr>
                <w:sz w:val="20"/>
                <w:szCs w:val="20"/>
              </w:rPr>
              <w:t>6</w:t>
            </w:r>
            <w:r>
              <w:rPr>
                <w:sz w:val="20"/>
                <w:szCs w:val="20"/>
              </w:rPr>
              <w:t>–8</w:t>
            </w:r>
            <w:r w:rsidR="00BE4B97">
              <w:rPr>
                <w:sz w:val="20"/>
                <w:szCs w:val="20"/>
              </w:rPr>
              <w:t>+</w:t>
            </w:r>
          </w:p>
        </w:tc>
        <w:tc>
          <w:tcPr>
            <w:tcW w:w="3360" w:type="dxa"/>
            <w:tcBorders>
              <w:top w:val="single" w:sz="4" w:space="0" w:color="D0D0D0"/>
              <w:left w:val="single" w:sz="4" w:space="0" w:color="D0D0D0"/>
              <w:bottom w:val="single" w:sz="4" w:space="0" w:color="D0D0D0"/>
              <w:right w:val="single" w:sz="4" w:space="0" w:color="D0D0D0"/>
            </w:tcBorders>
            <w:shd w:val="clear" w:color="auto" w:fill="F2F2F2"/>
            <w:tcMar>
              <w:top w:w="110" w:type="dxa"/>
              <w:left w:w="160" w:type="dxa"/>
              <w:bottom w:w="110" w:type="dxa"/>
              <w:right w:w="160" w:type="dxa"/>
            </w:tcMar>
            <w:vAlign w:val="center"/>
          </w:tcPr>
          <w:p w14:paraId="4676DAC4" w14:textId="77777777" w:rsidR="00832D1C" w:rsidRDefault="00933873">
            <w:pPr>
              <w:spacing w:line="250" w:lineRule="auto"/>
            </w:pPr>
            <w:r>
              <w:rPr>
                <w:sz w:val="20"/>
                <w:szCs w:val="20"/>
              </w:rPr>
              <w:t>Plyometrics, sport drills, graded return-to-sport progression</w:t>
            </w:r>
          </w:p>
        </w:tc>
      </w:tr>
    </w:tbl>
    <w:p w14:paraId="10590FE6" w14:textId="77777777" w:rsidR="00832D1C" w:rsidRDefault="00933873">
      <w:pPr>
        <w:spacing w:after="160" w:line="280" w:lineRule="auto"/>
      </w:pPr>
      <w:r>
        <w:rPr>
          <w:i/>
          <w:iCs/>
          <w:color w:val="5A5A5A"/>
          <w:sz w:val="19"/>
          <w:szCs w:val="19"/>
        </w:rPr>
        <w:t>Actual duration varies with diagnosis, severity, and the athlete's response to treatment — advancement is always based on meeting the criteria below, not the calendar.</w:t>
      </w:r>
    </w:p>
    <w:tbl>
      <w:tblPr>
        <w:tblW w:w="10080" w:type="dxa"/>
        <w:tblBorders>
          <w:top w:val="single" w:sz="10" w:space="0" w:color="1A63CC"/>
          <w:left w:val="single" w:sz="10" w:space="0" w:color="1A63CC"/>
          <w:bottom w:val="none" w:sz="0" w:space="0" w:color="FFFFFF"/>
          <w:right w:val="single" w:sz="10" w:space="0" w:color="1A63CC"/>
          <w:insideH w:val="none" w:sz="0" w:space="0" w:color="FFFFFF"/>
          <w:insideV w:val="single" w:sz="6" w:space="0" w:color="FFFFFF"/>
        </w:tblBorders>
        <w:tblCellMar>
          <w:left w:w="10" w:type="dxa"/>
          <w:right w:w="10" w:type="dxa"/>
        </w:tblCellMar>
        <w:tblLook w:val="0000" w:firstRow="0" w:lastRow="0" w:firstColumn="0" w:lastColumn="0" w:noHBand="0" w:noVBand="0"/>
      </w:tblPr>
      <w:tblGrid>
        <w:gridCol w:w="3427"/>
        <w:gridCol w:w="6653"/>
      </w:tblGrid>
      <w:tr w:rsidR="00832D1C" w14:paraId="59D6DDE2" w14:textId="77777777">
        <w:tblPrEx>
          <w:tblCellMar>
            <w:top w:w="0" w:type="dxa"/>
            <w:bottom w:w="0" w:type="dxa"/>
          </w:tblCellMar>
        </w:tblPrEx>
        <w:tc>
          <w:tcPr>
            <w:tcW w:w="10080" w:type="dxa"/>
            <w:gridSpan w:val="2"/>
            <w:tcBorders>
              <w:top w:val="none" w:sz="0" w:space="0" w:color="FFFFFF"/>
              <w:left w:val="none" w:sz="0" w:space="0" w:color="FFFFFF"/>
              <w:bottom w:val="none" w:sz="0" w:space="0" w:color="FFFFFF"/>
              <w:right w:val="none" w:sz="0" w:space="0" w:color="FFFFFF"/>
            </w:tcBorders>
            <w:shd w:val="clear" w:color="auto" w:fill="1A63CC"/>
            <w:tcMar>
              <w:top w:w="140" w:type="dxa"/>
              <w:left w:w="240" w:type="dxa"/>
              <w:bottom w:w="140" w:type="dxa"/>
              <w:right w:w="240" w:type="dxa"/>
            </w:tcMar>
          </w:tcPr>
          <w:p w14:paraId="4178B741" w14:textId="77777777" w:rsidR="00832D1C" w:rsidRDefault="00933873">
            <w:r>
              <w:rPr>
                <w:rFonts w:ascii="Merriweather" w:eastAsia="Merriweather" w:hAnsi="Merriweather" w:cs="Merriweather"/>
                <w:b/>
                <w:bCs/>
                <w:color w:val="FFFFFF"/>
                <w:sz w:val="23"/>
                <w:szCs w:val="23"/>
              </w:rPr>
              <w:lastRenderedPageBreak/>
              <w:t>Phase 1 — Protection &amp; Pain Control</w:t>
            </w:r>
          </w:p>
          <w:p w14:paraId="4F1AFFDF" w14:textId="77777777" w:rsidR="00832D1C" w:rsidRDefault="00933873">
            <w:pPr>
              <w:spacing w:before="40"/>
            </w:pPr>
            <w:proofErr w:type="gramStart"/>
            <w:r>
              <w:rPr>
                <w:i/>
                <w:iCs/>
                <w:color w:val="FFFFFF"/>
                <w:sz w:val="19"/>
                <w:szCs w:val="19"/>
              </w:rPr>
              <w:t>Typically</w:t>
            </w:r>
            <w:proofErr w:type="gramEnd"/>
            <w:r>
              <w:rPr>
                <w:i/>
                <w:iCs/>
                <w:color w:val="FFFFFF"/>
                <w:sz w:val="19"/>
                <w:szCs w:val="19"/>
              </w:rPr>
              <w:t xml:space="preserve"> days 0–10</w:t>
            </w:r>
          </w:p>
        </w:tc>
      </w:tr>
      <w:tr w:rsidR="00832D1C" w14:paraId="374B7D24" w14:textId="77777777">
        <w:tblPrEx>
          <w:tblCellMar>
            <w:top w:w="0" w:type="dxa"/>
            <w:bottom w:w="0" w:type="dxa"/>
          </w:tblCellMar>
        </w:tblPrEx>
        <w:tc>
          <w:tcPr>
            <w:tcW w:w="3427" w:type="dxa"/>
            <w:tcBorders>
              <w:top w:val="none" w:sz="0" w:space="0" w:color="E8F0FC"/>
              <w:left w:val="none" w:sz="0" w:space="0" w:color="E8F0FC"/>
              <w:bottom w:val="none" w:sz="0" w:space="0" w:color="E8F0FC"/>
              <w:right w:val="single" w:sz="6" w:space="0" w:color="FFFFFF"/>
            </w:tcBorders>
            <w:shd w:val="clear" w:color="auto" w:fill="E8F0FC"/>
            <w:tcMar>
              <w:top w:w="160" w:type="dxa"/>
              <w:left w:w="240" w:type="dxa"/>
              <w:bottom w:w="160" w:type="dxa"/>
              <w:right w:w="200" w:type="dxa"/>
            </w:tcMar>
          </w:tcPr>
          <w:p w14:paraId="230B1912" w14:textId="77777777" w:rsidR="00832D1C" w:rsidRDefault="00933873">
            <w:pPr>
              <w:spacing w:after="80"/>
            </w:pPr>
            <w:r>
              <w:rPr>
                <w:rFonts w:ascii="Merriweather" w:eastAsia="Merriweather" w:hAnsi="Merriweather" w:cs="Merriweather"/>
                <w:b/>
                <w:bCs/>
                <w:color w:val="1A63CC"/>
                <w:sz w:val="18"/>
                <w:szCs w:val="18"/>
              </w:rPr>
              <w:t>WEIGHT-BEARING / ACTIVITY</w:t>
            </w:r>
          </w:p>
          <w:p w14:paraId="7BCD8594" w14:textId="77777777" w:rsidR="00832D1C" w:rsidRDefault="00933873">
            <w:pPr>
              <w:pStyle w:val="ListParagraph"/>
              <w:numPr>
                <w:ilvl w:val="0"/>
                <w:numId w:val="2"/>
              </w:numPr>
              <w:spacing w:after="70" w:line="250" w:lineRule="auto"/>
            </w:pPr>
            <w:r>
              <w:rPr>
                <w:sz w:val="20"/>
                <w:szCs w:val="20"/>
              </w:rPr>
              <w:t>Weight-bearing as tolerated</w:t>
            </w:r>
          </w:p>
          <w:p w14:paraId="168A67E5" w14:textId="77777777" w:rsidR="00832D1C" w:rsidRDefault="00933873">
            <w:pPr>
              <w:pStyle w:val="ListParagraph"/>
              <w:numPr>
                <w:ilvl w:val="0"/>
                <w:numId w:val="2"/>
              </w:numPr>
              <w:spacing w:after="70" w:line="250" w:lineRule="auto"/>
            </w:pPr>
            <w:r>
              <w:rPr>
                <w:sz w:val="20"/>
                <w:szCs w:val="20"/>
              </w:rPr>
              <w:t>Discontinue or significantly reduce the aggravating sport/activity</w:t>
            </w:r>
          </w:p>
          <w:p w14:paraId="56C069AC" w14:textId="77777777" w:rsidR="00832D1C" w:rsidRDefault="00933873">
            <w:pPr>
              <w:pStyle w:val="ListParagraph"/>
              <w:numPr>
                <w:ilvl w:val="0"/>
                <w:numId w:val="2"/>
              </w:numPr>
              <w:spacing w:after="70" w:line="250" w:lineRule="auto"/>
            </w:pPr>
            <w:r>
              <w:rPr>
                <w:sz w:val="20"/>
                <w:szCs w:val="20"/>
              </w:rPr>
              <w:t>No running, cutting, jumping, or resisted sprinting</w:t>
            </w:r>
          </w:p>
          <w:p w14:paraId="2EA2CF24" w14:textId="77777777" w:rsidR="00832D1C" w:rsidRDefault="00933873">
            <w:pPr>
              <w:pStyle w:val="ListParagraph"/>
              <w:numPr>
                <w:ilvl w:val="0"/>
                <w:numId w:val="2"/>
              </w:numPr>
              <w:spacing w:after="70" w:line="250" w:lineRule="auto"/>
            </w:pPr>
            <w:r>
              <w:rPr>
                <w:sz w:val="20"/>
                <w:szCs w:val="20"/>
              </w:rPr>
              <w:t>Normal daily walking is encouraged</w:t>
            </w:r>
          </w:p>
        </w:tc>
        <w:tc>
          <w:tcPr>
            <w:tcW w:w="6653" w:type="dxa"/>
            <w:tcBorders>
              <w:top w:val="none" w:sz="0" w:space="0" w:color="E8F0FC"/>
              <w:left w:val="none" w:sz="0" w:space="0" w:color="E8F0FC"/>
              <w:bottom w:val="none" w:sz="0" w:space="0" w:color="E8F0FC"/>
              <w:right w:val="none" w:sz="0" w:space="0" w:color="E8F0FC"/>
            </w:tcBorders>
            <w:shd w:val="clear" w:color="auto" w:fill="E8F0FC"/>
            <w:tcMar>
              <w:top w:w="160" w:type="dxa"/>
              <w:left w:w="200" w:type="dxa"/>
              <w:bottom w:w="160" w:type="dxa"/>
              <w:right w:w="240" w:type="dxa"/>
            </w:tcMar>
          </w:tcPr>
          <w:p w14:paraId="36F161E2" w14:textId="77777777" w:rsidR="00832D1C" w:rsidRDefault="00933873">
            <w:pPr>
              <w:spacing w:after="80"/>
            </w:pPr>
            <w:r>
              <w:rPr>
                <w:rFonts w:ascii="Merriweather" w:eastAsia="Merriweather" w:hAnsi="Merriweather" w:cs="Merriweather"/>
                <w:b/>
                <w:bCs/>
                <w:color w:val="1A63CC"/>
                <w:sz w:val="18"/>
                <w:szCs w:val="18"/>
              </w:rPr>
              <w:t>GOALS &amp; INTERVENTIONS</w:t>
            </w:r>
          </w:p>
          <w:p w14:paraId="6544F1B7" w14:textId="77777777" w:rsidR="00832D1C" w:rsidRDefault="00933873">
            <w:pPr>
              <w:pStyle w:val="ListParagraph"/>
              <w:numPr>
                <w:ilvl w:val="0"/>
                <w:numId w:val="2"/>
              </w:numPr>
              <w:spacing w:after="70" w:line="250" w:lineRule="auto"/>
            </w:pPr>
            <w:r>
              <w:rPr>
                <w:sz w:val="20"/>
                <w:szCs w:val="20"/>
              </w:rPr>
              <w:t>Control pain and irritability</w:t>
            </w:r>
          </w:p>
          <w:p w14:paraId="20F9F8C9" w14:textId="77777777" w:rsidR="00832D1C" w:rsidRDefault="00933873">
            <w:pPr>
              <w:pStyle w:val="ListParagraph"/>
              <w:numPr>
                <w:ilvl w:val="0"/>
                <w:numId w:val="2"/>
              </w:numPr>
              <w:spacing w:after="70" w:line="250" w:lineRule="auto"/>
            </w:pPr>
            <w:r>
              <w:rPr>
                <w:sz w:val="20"/>
                <w:szCs w:val="20"/>
              </w:rPr>
              <w:t>Pain-free, gentle active and active-assisted hip ROM (flexion, extension, abduction, rotation)</w:t>
            </w:r>
          </w:p>
          <w:p w14:paraId="30CA01CD" w14:textId="77777777" w:rsidR="00832D1C" w:rsidRDefault="00933873">
            <w:pPr>
              <w:pStyle w:val="ListParagraph"/>
              <w:numPr>
                <w:ilvl w:val="0"/>
                <w:numId w:val="2"/>
              </w:numPr>
              <w:spacing w:after="70" w:line="250" w:lineRule="auto"/>
            </w:pPr>
            <w:r>
              <w:rPr>
                <w:sz w:val="20"/>
                <w:szCs w:val="20"/>
              </w:rPr>
              <w:t>Gentle pain-free isometrics (submaximal hip flexor, abductor, or rotator sets as tolerated)</w:t>
            </w:r>
          </w:p>
          <w:p w14:paraId="50B3D396" w14:textId="77777777" w:rsidR="00832D1C" w:rsidRDefault="00933873">
            <w:pPr>
              <w:pStyle w:val="ListParagraph"/>
              <w:numPr>
                <w:ilvl w:val="0"/>
                <w:numId w:val="2"/>
              </w:numPr>
              <w:spacing w:after="70" w:line="250" w:lineRule="auto"/>
            </w:pPr>
            <w:r>
              <w:rPr>
                <w:sz w:val="20"/>
                <w:szCs w:val="20"/>
              </w:rPr>
              <w:t>Modalities as needed: ice 15–20 min after activity, heat before stretching, consider therapeutic ultrasound or e-stim for pain/spasm at the treating therapist's discretion</w:t>
            </w:r>
          </w:p>
          <w:p w14:paraId="1DC91196" w14:textId="77777777" w:rsidR="00832D1C" w:rsidRDefault="00933873">
            <w:pPr>
              <w:pStyle w:val="ListParagraph"/>
              <w:numPr>
                <w:ilvl w:val="0"/>
                <w:numId w:val="2"/>
              </w:numPr>
              <w:spacing w:after="70" w:line="250" w:lineRule="auto"/>
            </w:pPr>
            <w:r>
              <w:rPr>
                <w:sz w:val="20"/>
                <w:szCs w:val="20"/>
              </w:rPr>
              <w:t xml:space="preserve">Gentle </w:t>
            </w:r>
            <w:proofErr w:type="gramStart"/>
            <w:r>
              <w:rPr>
                <w:sz w:val="20"/>
                <w:szCs w:val="20"/>
              </w:rPr>
              <w:t>soft-tissue</w:t>
            </w:r>
            <w:proofErr w:type="gramEnd"/>
            <w:r>
              <w:rPr>
                <w:sz w:val="20"/>
                <w:szCs w:val="20"/>
              </w:rPr>
              <w:t xml:space="preserve"> work / foam rolling to adjacent musculature (avoid direct pressure over the irritable area)</w:t>
            </w:r>
          </w:p>
          <w:p w14:paraId="45B47724" w14:textId="77777777" w:rsidR="00832D1C" w:rsidRDefault="00933873">
            <w:pPr>
              <w:pStyle w:val="ListParagraph"/>
              <w:numPr>
                <w:ilvl w:val="0"/>
                <w:numId w:val="2"/>
              </w:numPr>
              <w:spacing w:after="70" w:line="250" w:lineRule="auto"/>
            </w:pPr>
            <w:r>
              <w:rPr>
                <w:sz w:val="20"/>
                <w:szCs w:val="20"/>
              </w:rPr>
              <w:t>Core and lumbopelvic activation (transverse abdominis, gluteal isometrics)</w:t>
            </w:r>
          </w:p>
        </w:tc>
      </w:tr>
      <w:tr w:rsidR="00832D1C" w14:paraId="0C428EB0" w14:textId="77777777">
        <w:tblPrEx>
          <w:tblCellMar>
            <w:top w:w="0" w:type="dxa"/>
            <w:bottom w:w="0" w:type="dxa"/>
          </w:tblCellMar>
        </w:tblPrEx>
        <w:tc>
          <w:tcPr>
            <w:tcW w:w="10080" w:type="dxa"/>
            <w:gridSpan w:val="2"/>
            <w:tcBorders>
              <w:top w:val="single" w:sz="4" w:space="0" w:color="1A63CC"/>
              <w:left w:val="single" w:sz="10" w:space="0" w:color="1A63CC"/>
              <w:bottom w:val="single" w:sz="10" w:space="0" w:color="1A63CC"/>
              <w:right w:val="single" w:sz="10" w:space="0" w:color="1A63CC"/>
            </w:tcBorders>
            <w:shd w:val="clear" w:color="auto" w:fill="FFFFFF"/>
            <w:tcMar>
              <w:top w:w="100" w:type="dxa"/>
              <w:left w:w="240" w:type="dxa"/>
              <w:bottom w:w="140" w:type="dxa"/>
              <w:right w:w="240" w:type="dxa"/>
            </w:tcMar>
          </w:tcPr>
          <w:p w14:paraId="660C987B" w14:textId="77777777" w:rsidR="00832D1C" w:rsidRDefault="00933873">
            <w:pPr>
              <w:spacing w:before="100"/>
            </w:pPr>
            <w:r>
              <w:rPr>
                <w:b/>
                <w:bCs/>
                <w:color w:val="1A63CC"/>
                <w:sz w:val="19"/>
                <w:szCs w:val="19"/>
              </w:rPr>
              <w:t xml:space="preserve">Criteria to advance: </w:t>
            </w:r>
            <w:r>
              <w:rPr>
                <w:sz w:val="19"/>
                <w:szCs w:val="19"/>
              </w:rPr>
              <w:t>Pain-free or near pain-free (≤2/10) with daily activities and gentle ROM; no pain with resting or at night.</w:t>
            </w:r>
          </w:p>
        </w:tc>
      </w:tr>
    </w:tbl>
    <w:p w14:paraId="7068ADE8" w14:textId="77777777" w:rsidR="00832D1C" w:rsidRDefault="00832D1C">
      <w:pPr>
        <w:spacing w:after="200"/>
      </w:pPr>
    </w:p>
    <w:tbl>
      <w:tblPr>
        <w:tblW w:w="10080" w:type="dxa"/>
        <w:tblBorders>
          <w:top w:val="single" w:sz="10" w:space="0" w:color="2360F8"/>
          <w:left w:val="single" w:sz="10" w:space="0" w:color="2360F8"/>
          <w:bottom w:val="none" w:sz="0" w:space="0" w:color="FFFFFF"/>
          <w:right w:val="single" w:sz="10" w:space="0" w:color="2360F8"/>
          <w:insideH w:val="none" w:sz="0" w:space="0" w:color="FFFFFF"/>
          <w:insideV w:val="single" w:sz="6" w:space="0" w:color="FFFFFF"/>
        </w:tblBorders>
        <w:tblCellMar>
          <w:left w:w="10" w:type="dxa"/>
          <w:right w:w="10" w:type="dxa"/>
        </w:tblCellMar>
        <w:tblLook w:val="0000" w:firstRow="0" w:lastRow="0" w:firstColumn="0" w:lastColumn="0" w:noHBand="0" w:noVBand="0"/>
      </w:tblPr>
      <w:tblGrid>
        <w:gridCol w:w="3427"/>
        <w:gridCol w:w="6653"/>
      </w:tblGrid>
      <w:tr w:rsidR="00832D1C" w14:paraId="2CD9E6A7" w14:textId="77777777">
        <w:tblPrEx>
          <w:tblCellMar>
            <w:top w:w="0" w:type="dxa"/>
            <w:bottom w:w="0" w:type="dxa"/>
          </w:tblCellMar>
        </w:tblPrEx>
        <w:tc>
          <w:tcPr>
            <w:tcW w:w="10080" w:type="dxa"/>
            <w:gridSpan w:val="2"/>
            <w:tcBorders>
              <w:top w:val="none" w:sz="0" w:space="0" w:color="FFFFFF"/>
              <w:left w:val="none" w:sz="0" w:space="0" w:color="FFFFFF"/>
              <w:bottom w:val="none" w:sz="0" w:space="0" w:color="FFFFFF"/>
              <w:right w:val="none" w:sz="0" w:space="0" w:color="FFFFFF"/>
            </w:tcBorders>
            <w:shd w:val="clear" w:color="auto" w:fill="2360F8"/>
            <w:tcMar>
              <w:top w:w="140" w:type="dxa"/>
              <w:left w:w="240" w:type="dxa"/>
              <w:bottom w:w="140" w:type="dxa"/>
              <w:right w:w="240" w:type="dxa"/>
            </w:tcMar>
          </w:tcPr>
          <w:p w14:paraId="7AE4916B" w14:textId="77777777" w:rsidR="00832D1C" w:rsidRDefault="00933873">
            <w:r>
              <w:rPr>
                <w:rFonts w:ascii="Merriweather" w:eastAsia="Merriweather" w:hAnsi="Merriweather" w:cs="Merriweather"/>
                <w:b/>
                <w:bCs/>
                <w:color w:val="FFFFFF"/>
                <w:sz w:val="23"/>
                <w:szCs w:val="23"/>
              </w:rPr>
              <w:t>Phase 2 — Mobility &amp; Motor Control</w:t>
            </w:r>
          </w:p>
          <w:p w14:paraId="2DABA4B1" w14:textId="77777777" w:rsidR="00832D1C" w:rsidRDefault="00933873">
            <w:pPr>
              <w:spacing w:before="40"/>
            </w:pPr>
            <w:proofErr w:type="gramStart"/>
            <w:r>
              <w:rPr>
                <w:i/>
                <w:iCs/>
                <w:color w:val="FFFFFF"/>
                <w:sz w:val="19"/>
                <w:szCs w:val="19"/>
              </w:rPr>
              <w:t>Typically</w:t>
            </w:r>
            <w:proofErr w:type="gramEnd"/>
            <w:r>
              <w:rPr>
                <w:i/>
                <w:iCs/>
                <w:color w:val="FFFFFF"/>
                <w:sz w:val="19"/>
                <w:szCs w:val="19"/>
              </w:rPr>
              <w:t xml:space="preserve"> weeks 1–3</w:t>
            </w:r>
          </w:p>
        </w:tc>
      </w:tr>
      <w:tr w:rsidR="00832D1C" w14:paraId="26A8D22F" w14:textId="77777777">
        <w:tblPrEx>
          <w:tblCellMar>
            <w:top w:w="0" w:type="dxa"/>
            <w:bottom w:w="0" w:type="dxa"/>
          </w:tblCellMar>
        </w:tblPrEx>
        <w:tc>
          <w:tcPr>
            <w:tcW w:w="3427" w:type="dxa"/>
            <w:tcBorders>
              <w:top w:val="none" w:sz="0" w:space="0" w:color="E8F0FC"/>
              <w:left w:val="none" w:sz="0" w:space="0" w:color="E8F0FC"/>
              <w:bottom w:val="none" w:sz="0" w:space="0" w:color="E8F0FC"/>
              <w:right w:val="single" w:sz="6" w:space="0" w:color="FFFFFF"/>
            </w:tcBorders>
            <w:shd w:val="clear" w:color="auto" w:fill="E8F0FC"/>
            <w:tcMar>
              <w:top w:w="160" w:type="dxa"/>
              <w:left w:w="240" w:type="dxa"/>
              <w:bottom w:w="160" w:type="dxa"/>
              <w:right w:w="200" w:type="dxa"/>
            </w:tcMar>
          </w:tcPr>
          <w:p w14:paraId="3E727207" w14:textId="77777777" w:rsidR="00832D1C" w:rsidRDefault="00933873">
            <w:pPr>
              <w:spacing w:after="80"/>
            </w:pPr>
            <w:r>
              <w:rPr>
                <w:rFonts w:ascii="Merriweather" w:eastAsia="Merriweather" w:hAnsi="Merriweather" w:cs="Merriweather"/>
                <w:b/>
                <w:bCs/>
                <w:color w:val="2360F8"/>
                <w:sz w:val="18"/>
                <w:szCs w:val="18"/>
              </w:rPr>
              <w:t>WEIGHT-BEARING / ACTIVITY</w:t>
            </w:r>
          </w:p>
          <w:p w14:paraId="478D5CD2" w14:textId="77777777" w:rsidR="00832D1C" w:rsidRDefault="00933873">
            <w:pPr>
              <w:pStyle w:val="ListParagraph"/>
              <w:numPr>
                <w:ilvl w:val="0"/>
                <w:numId w:val="2"/>
              </w:numPr>
              <w:spacing w:after="70" w:line="250" w:lineRule="auto"/>
            </w:pPr>
            <w:r>
              <w:rPr>
                <w:sz w:val="20"/>
                <w:szCs w:val="20"/>
              </w:rPr>
              <w:t>Full weight-bearing without a limp</w:t>
            </w:r>
          </w:p>
          <w:p w14:paraId="152EBBCF" w14:textId="77777777" w:rsidR="00832D1C" w:rsidRDefault="00933873">
            <w:pPr>
              <w:pStyle w:val="ListParagraph"/>
              <w:numPr>
                <w:ilvl w:val="0"/>
                <w:numId w:val="2"/>
              </w:numPr>
              <w:spacing w:after="70" w:line="250" w:lineRule="auto"/>
            </w:pPr>
            <w:r>
              <w:rPr>
                <w:sz w:val="20"/>
                <w:szCs w:val="20"/>
              </w:rPr>
              <w:t>Stationary bike and pool walking/swimming permitted if pain-free</w:t>
            </w:r>
          </w:p>
          <w:p w14:paraId="3CE7ADAB" w14:textId="77777777" w:rsidR="00832D1C" w:rsidRDefault="00933873">
            <w:pPr>
              <w:pStyle w:val="ListParagraph"/>
              <w:numPr>
                <w:ilvl w:val="0"/>
                <w:numId w:val="2"/>
              </w:numPr>
              <w:spacing w:after="70" w:line="250" w:lineRule="auto"/>
            </w:pPr>
            <w:r>
              <w:rPr>
                <w:sz w:val="20"/>
                <w:szCs w:val="20"/>
              </w:rPr>
              <w:t>Light jogging on a flat, even surface may begin near the end of this phase if pain-free</w:t>
            </w:r>
          </w:p>
          <w:p w14:paraId="1EFE5F2D" w14:textId="77777777" w:rsidR="00832D1C" w:rsidRDefault="00933873">
            <w:pPr>
              <w:pStyle w:val="ListParagraph"/>
              <w:numPr>
                <w:ilvl w:val="0"/>
                <w:numId w:val="2"/>
              </w:numPr>
              <w:spacing w:after="70" w:line="250" w:lineRule="auto"/>
            </w:pPr>
            <w:r>
              <w:rPr>
                <w:sz w:val="20"/>
                <w:szCs w:val="20"/>
              </w:rPr>
              <w:t>Continue to avoid cutting, pivoting, and jumping</w:t>
            </w:r>
          </w:p>
        </w:tc>
        <w:tc>
          <w:tcPr>
            <w:tcW w:w="6653" w:type="dxa"/>
            <w:tcBorders>
              <w:top w:val="none" w:sz="0" w:space="0" w:color="E8F0FC"/>
              <w:left w:val="none" w:sz="0" w:space="0" w:color="E8F0FC"/>
              <w:bottom w:val="none" w:sz="0" w:space="0" w:color="E8F0FC"/>
              <w:right w:val="none" w:sz="0" w:space="0" w:color="E8F0FC"/>
            </w:tcBorders>
            <w:shd w:val="clear" w:color="auto" w:fill="E8F0FC"/>
            <w:tcMar>
              <w:top w:w="160" w:type="dxa"/>
              <w:left w:w="200" w:type="dxa"/>
              <w:bottom w:w="160" w:type="dxa"/>
              <w:right w:w="240" w:type="dxa"/>
            </w:tcMar>
          </w:tcPr>
          <w:p w14:paraId="1F9603F6" w14:textId="77777777" w:rsidR="00832D1C" w:rsidRDefault="00933873">
            <w:pPr>
              <w:spacing w:after="80"/>
            </w:pPr>
            <w:r>
              <w:rPr>
                <w:rFonts w:ascii="Merriweather" w:eastAsia="Merriweather" w:hAnsi="Merriweather" w:cs="Merriweather"/>
                <w:b/>
                <w:bCs/>
                <w:color w:val="2360F8"/>
                <w:sz w:val="18"/>
                <w:szCs w:val="18"/>
              </w:rPr>
              <w:t>GOALS &amp; INTERVENTIONS</w:t>
            </w:r>
          </w:p>
          <w:p w14:paraId="5922BA33" w14:textId="77777777" w:rsidR="00832D1C" w:rsidRDefault="00933873">
            <w:pPr>
              <w:pStyle w:val="ListParagraph"/>
              <w:numPr>
                <w:ilvl w:val="0"/>
                <w:numId w:val="2"/>
              </w:numPr>
              <w:spacing w:after="70" w:line="250" w:lineRule="auto"/>
            </w:pPr>
            <w:r>
              <w:rPr>
                <w:sz w:val="20"/>
                <w:szCs w:val="20"/>
              </w:rPr>
              <w:t>Restore full, pain-free active hip ROM in all planes</w:t>
            </w:r>
          </w:p>
          <w:p w14:paraId="244E1B75" w14:textId="77777777" w:rsidR="00832D1C" w:rsidRDefault="00933873">
            <w:pPr>
              <w:pStyle w:val="ListParagraph"/>
              <w:numPr>
                <w:ilvl w:val="0"/>
                <w:numId w:val="2"/>
              </w:numPr>
              <w:spacing w:after="70" w:line="250" w:lineRule="auto"/>
            </w:pPr>
            <w:r>
              <w:rPr>
                <w:sz w:val="20"/>
                <w:szCs w:val="20"/>
              </w:rPr>
              <w:t>Progress isometrics to low-load isotonic strengthening (resistance band hip flexion, abduction, extension, external/internal rotation)</w:t>
            </w:r>
          </w:p>
          <w:p w14:paraId="638024AE" w14:textId="77777777" w:rsidR="00832D1C" w:rsidRDefault="00933873">
            <w:pPr>
              <w:pStyle w:val="ListParagraph"/>
              <w:numPr>
                <w:ilvl w:val="0"/>
                <w:numId w:val="2"/>
              </w:numPr>
              <w:spacing w:after="70" w:line="250" w:lineRule="auto"/>
            </w:pPr>
            <w:r>
              <w:rPr>
                <w:sz w:val="20"/>
                <w:szCs w:val="20"/>
              </w:rPr>
              <w:t>Gait retraining and correction of compensatory patterns (e.g., Trendelenburg, hip hike, excessive anterior pelvic tilt)</w:t>
            </w:r>
          </w:p>
          <w:p w14:paraId="460C047F" w14:textId="77777777" w:rsidR="00832D1C" w:rsidRDefault="00933873">
            <w:pPr>
              <w:pStyle w:val="ListParagraph"/>
              <w:numPr>
                <w:ilvl w:val="0"/>
                <w:numId w:val="2"/>
              </w:numPr>
              <w:spacing w:after="70" w:line="250" w:lineRule="auto"/>
            </w:pPr>
            <w:r>
              <w:rPr>
                <w:sz w:val="20"/>
                <w:szCs w:val="20"/>
              </w:rPr>
              <w:t>Begin single-leg balance and proprioceptive drills</w:t>
            </w:r>
          </w:p>
          <w:p w14:paraId="56155B72" w14:textId="77777777" w:rsidR="00832D1C" w:rsidRDefault="00933873">
            <w:pPr>
              <w:pStyle w:val="ListParagraph"/>
              <w:numPr>
                <w:ilvl w:val="0"/>
                <w:numId w:val="2"/>
              </w:numPr>
              <w:spacing w:after="70" w:line="250" w:lineRule="auto"/>
            </w:pPr>
            <w:r>
              <w:rPr>
                <w:sz w:val="20"/>
                <w:szCs w:val="20"/>
              </w:rPr>
              <w:t>Core and gluteal endurance work (bridges, side planks, clamshells, bird-dogs)</w:t>
            </w:r>
          </w:p>
          <w:p w14:paraId="0C62000E" w14:textId="77777777" w:rsidR="00832D1C" w:rsidRDefault="00933873">
            <w:pPr>
              <w:pStyle w:val="ListParagraph"/>
              <w:numPr>
                <w:ilvl w:val="0"/>
                <w:numId w:val="2"/>
              </w:numPr>
              <w:spacing w:after="70" w:line="250" w:lineRule="auto"/>
            </w:pPr>
            <w:proofErr w:type="gramStart"/>
            <w:r>
              <w:rPr>
                <w:sz w:val="20"/>
                <w:szCs w:val="20"/>
              </w:rPr>
              <w:t>Continue</w:t>
            </w:r>
            <w:proofErr w:type="gramEnd"/>
            <w:r>
              <w:rPr>
                <w:sz w:val="20"/>
                <w:szCs w:val="20"/>
              </w:rPr>
              <w:t xml:space="preserve"> modalities as needed for symptom control</w:t>
            </w:r>
          </w:p>
        </w:tc>
      </w:tr>
      <w:tr w:rsidR="00832D1C" w14:paraId="0D747FBD" w14:textId="77777777">
        <w:tblPrEx>
          <w:tblCellMar>
            <w:top w:w="0" w:type="dxa"/>
            <w:bottom w:w="0" w:type="dxa"/>
          </w:tblCellMar>
        </w:tblPrEx>
        <w:tc>
          <w:tcPr>
            <w:tcW w:w="10080" w:type="dxa"/>
            <w:gridSpan w:val="2"/>
            <w:tcBorders>
              <w:top w:val="single" w:sz="4" w:space="0" w:color="2360F8"/>
              <w:left w:val="single" w:sz="10" w:space="0" w:color="2360F8"/>
              <w:bottom w:val="single" w:sz="10" w:space="0" w:color="2360F8"/>
              <w:right w:val="single" w:sz="10" w:space="0" w:color="2360F8"/>
            </w:tcBorders>
            <w:shd w:val="clear" w:color="auto" w:fill="FFFFFF"/>
            <w:tcMar>
              <w:top w:w="100" w:type="dxa"/>
              <w:left w:w="240" w:type="dxa"/>
              <w:bottom w:w="140" w:type="dxa"/>
              <w:right w:w="240" w:type="dxa"/>
            </w:tcMar>
          </w:tcPr>
          <w:p w14:paraId="35941849" w14:textId="77777777" w:rsidR="00832D1C" w:rsidRDefault="00933873">
            <w:pPr>
              <w:spacing w:before="100"/>
            </w:pPr>
            <w:r>
              <w:rPr>
                <w:b/>
                <w:bCs/>
                <w:color w:val="2360F8"/>
                <w:sz w:val="19"/>
                <w:szCs w:val="19"/>
              </w:rPr>
              <w:t xml:space="preserve">Criteria to advance: </w:t>
            </w:r>
            <w:r>
              <w:rPr>
                <w:sz w:val="19"/>
                <w:szCs w:val="19"/>
              </w:rPr>
              <w:t>Full, symmetric, pain-free hip ROM; normal walking gait without compensation; able to perform single-leg stance ≥30 seconds without pain.</w:t>
            </w:r>
          </w:p>
        </w:tc>
      </w:tr>
    </w:tbl>
    <w:p w14:paraId="4955399F" w14:textId="25DC36F2" w:rsidR="00BE4B97" w:rsidRDefault="00BE4B97">
      <w:pPr>
        <w:spacing w:after="200"/>
      </w:pPr>
    </w:p>
    <w:p w14:paraId="0C34B829" w14:textId="77777777" w:rsidR="00BE4B97" w:rsidRDefault="00BE4B97">
      <w:r>
        <w:br w:type="page"/>
      </w:r>
    </w:p>
    <w:p w14:paraId="528DD2C8" w14:textId="77777777" w:rsidR="00832D1C" w:rsidRDefault="00832D1C">
      <w:pPr>
        <w:spacing w:after="200"/>
      </w:pPr>
    </w:p>
    <w:tbl>
      <w:tblPr>
        <w:tblW w:w="10080" w:type="dxa"/>
        <w:tblBorders>
          <w:top w:val="single" w:sz="10" w:space="0" w:color="2E7D32"/>
          <w:left w:val="single" w:sz="10" w:space="0" w:color="2E7D32"/>
          <w:bottom w:val="none" w:sz="0" w:space="0" w:color="FFFFFF"/>
          <w:right w:val="single" w:sz="10" w:space="0" w:color="2E7D32"/>
          <w:insideH w:val="none" w:sz="0" w:space="0" w:color="FFFFFF"/>
          <w:insideV w:val="single" w:sz="6" w:space="0" w:color="FFFFFF"/>
        </w:tblBorders>
        <w:tblCellMar>
          <w:left w:w="10" w:type="dxa"/>
          <w:right w:w="10" w:type="dxa"/>
        </w:tblCellMar>
        <w:tblLook w:val="0000" w:firstRow="0" w:lastRow="0" w:firstColumn="0" w:lastColumn="0" w:noHBand="0" w:noVBand="0"/>
      </w:tblPr>
      <w:tblGrid>
        <w:gridCol w:w="3427"/>
        <w:gridCol w:w="6653"/>
      </w:tblGrid>
      <w:tr w:rsidR="00832D1C" w14:paraId="2E684DE5" w14:textId="77777777">
        <w:tblPrEx>
          <w:tblCellMar>
            <w:top w:w="0" w:type="dxa"/>
            <w:bottom w:w="0" w:type="dxa"/>
          </w:tblCellMar>
        </w:tblPrEx>
        <w:tc>
          <w:tcPr>
            <w:tcW w:w="10080" w:type="dxa"/>
            <w:gridSpan w:val="2"/>
            <w:tcBorders>
              <w:top w:val="none" w:sz="0" w:space="0" w:color="FFFFFF"/>
              <w:left w:val="none" w:sz="0" w:space="0" w:color="FFFFFF"/>
              <w:bottom w:val="none" w:sz="0" w:space="0" w:color="FFFFFF"/>
              <w:right w:val="none" w:sz="0" w:space="0" w:color="FFFFFF"/>
            </w:tcBorders>
            <w:shd w:val="clear" w:color="auto" w:fill="2E7D32"/>
            <w:tcMar>
              <w:top w:w="140" w:type="dxa"/>
              <w:left w:w="240" w:type="dxa"/>
              <w:bottom w:w="140" w:type="dxa"/>
              <w:right w:w="240" w:type="dxa"/>
            </w:tcMar>
          </w:tcPr>
          <w:p w14:paraId="659058EF" w14:textId="77777777" w:rsidR="00832D1C" w:rsidRDefault="00933873">
            <w:r>
              <w:rPr>
                <w:rFonts w:ascii="Merriweather" w:eastAsia="Merriweather" w:hAnsi="Merriweather" w:cs="Merriweather"/>
                <w:b/>
                <w:bCs/>
                <w:color w:val="FFFFFF"/>
                <w:sz w:val="23"/>
                <w:szCs w:val="23"/>
              </w:rPr>
              <w:t>Phase 3 — Progressive Strengthening</w:t>
            </w:r>
          </w:p>
          <w:p w14:paraId="6DB0B04C" w14:textId="77777777" w:rsidR="00832D1C" w:rsidRDefault="00933873">
            <w:pPr>
              <w:spacing w:before="40"/>
            </w:pPr>
            <w:proofErr w:type="gramStart"/>
            <w:r>
              <w:rPr>
                <w:i/>
                <w:iCs/>
                <w:color w:val="FFFFFF"/>
                <w:sz w:val="19"/>
                <w:szCs w:val="19"/>
              </w:rPr>
              <w:t>Typically</w:t>
            </w:r>
            <w:proofErr w:type="gramEnd"/>
            <w:r>
              <w:rPr>
                <w:i/>
                <w:iCs/>
                <w:color w:val="FFFFFF"/>
                <w:sz w:val="19"/>
                <w:szCs w:val="19"/>
              </w:rPr>
              <w:t xml:space="preserve"> weeks 2–5</w:t>
            </w:r>
          </w:p>
        </w:tc>
      </w:tr>
      <w:tr w:rsidR="00832D1C" w14:paraId="22339E3C" w14:textId="77777777">
        <w:tblPrEx>
          <w:tblCellMar>
            <w:top w:w="0" w:type="dxa"/>
            <w:bottom w:w="0" w:type="dxa"/>
          </w:tblCellMar>
        </w:tblPrEx>
        <w:tc>
          <w:tcPr>
            <w:tcW w:w="3427" w:type="dxa"/>
            <w:tcBorders>
              <w:top w:val="none" w:sz="0" w:space="0" w:color="E8F5E9"/>
              <w:left w:val="none" w:sz="0" w:space="0" w:color="E8F5E9"/>
              <w:bottom w:val="none" w:sz="0" w:space="0" w:color="E8F5E9"/>
              <w:right w:val="single" w:sz="6" w:space="0" w:color="FFFFFF"/>
            </w:tcBorders>
            <w:shd w:val="clear" w:color="auto" w:fill="E8F5E9"/>
            <w:tcMar>
              <w:top w:w="160" w:type="dxa"/>
              <w:left w:w="240" w:type="dxa"/>
              <w:bottom w:w="160" w:type="dxa"/>
              <w:right w:w="200" w:type="dxa"/>
            </w:tcMar>
          </w:tcPr>
          <w:p w14:paraId="72810E73" w14:textId="77777777" w:rsidR="00832D1C" w:rsidRDefault="00933873">
            <w:pPr>
              <w:spacing w:after="80"/>
            </w:pPr>
            <w:r>
              <w:rPr>
                <w:rFonts w:ascii="Merriweather" w:eastAsia="Merriweather" w:hAnsi="Merriweather" w:cs="Merriweather"/>
                <w:b/>
                <w:bCs/>
                <w:color w:val="2E7D32"/>
                <w:sz w:val="18"/>
                <w:szCs w:val="18"/>
              </w:rPr>
              <w:t>WEIGHT-BEARING / ACTIVITY</w:t>
            </w:r>
          </w:p>
          <w:p w14:paraId="5C143DD3" w14:textId="77777777" w:rsidR="00832D1C" w:rsidRDefault="00933873">
            <w:pPr>
              <w:pStyle w:val="ListParagraph"/>
              <w:numPr>
                <w:ilvl w:val="0"/>
                <w:numId w:val="2"/>
              </w:numPr>
              <w:spacing w:after="70" w:line="250" w:lineRule="auto"/>
            </w:pPr>
            <w:r>
              <w:rPr>
                <w:sz w:val="20"/>
                <w:szCs w:val="20"/>
              </w:rPr>
              <w:t>Full weight-bearing, normal daily and school activities</w:t>
            </w:r>
          </w:p>
          <w:p w14:paraId="0F949ECC" w14:textId="77777777" w:rsidR="00832D1C" w:rsidRDefault="00933873">
            <w:pPr>
              <w:pStyle w:val="ListParagraph"/>
              <w:numPr>
                <w:ilvl w:val="0"/>
                <w:numId w:val="2"/>
              </w:numPr>
              <w:spacing w:after="70" w:line="250" w:lineRule="auto"/>
            </w:pPr>
            <w:r>
              <w:rPr>
                <w:sz w:val="20"/>
                <w:szCs w:val="20"/>
              </w:rPr>
              <w:t xml:space="preserve">Progressive jogging to </w:t>
            </w:r>
            <w:proofErr w:type="gramStart"/>
            <w:r>
              <w:rPr>
                <w:sz w:val="20"/>
                <w:szCs w:val="20"/>
              </w:rPr>
              <w:t>running</w:t>
            </w:r>
            <w:proofErr w:type="gramEnd"/>
            <w:r>
              <w:rPr>
                <w:sz w:val="20"/>
                <w:szCs w:val="20"/>
              </w:rPr>
              <w:t xml:space="preserve"> as tolerated</w:t>
            </w:r>
          </w:p>
          <w:p w14:paraId="539CB51A" w14:textId="77777777" w:rsidR="00832D1C" w:rsidRDefault="00933873">
            <w:pPr>
              <w:pStyle w:val="ListParagraph"/>
              <w:numPr>
                <w:ilvl w:val="0"/>
                <w:numId w:val="2"/>
              </w:numPr>
              <w:spacing w:after="70" w:line="250" w:lineRule="auto"/>
            </w:pPr>
            <w:r>
              <w:rPr>
                <w:sz w:val="20"/>
                <w:szCs w:val="20"/>
              </w:rPr>
              <w:t>Sport-specific technique drills without contact/competition</w:t>
            </w:r>
          </w:p>
          <w:p w14:paraId="3DDC7ABD" w14:textId="77777777" w:rsidR="00832D1C" w:rsidRDefault="00933873">
            <w:pPr>
              <w:pStyle w:val="ListParagraph"/>
              <w:numPr>
                <w:ilvl w:val="0"/>
                <w:numId w:val="2"/>
              </w:numPr>
              <w:spacing w:after="70" w:line="250" w:lineRule="auto"/>
            </w:pPr>
            <w:r>
              <w:rPr>
                <w:sz w:val="20"/>
                <w:szCs w:val="20"/>
              </w:rPr>
              <w:t>No return to full practice or competition yet</w:t>
            </w:r>
          </w:p>
        </w:tc>
        <w:tc>
          <w:tcPr>
            <w:tcW w:w="6653" w:type="dxa"/>
            <w:tcBorders>
              <w:top w:val="none" w:sz="0" w:space="0" w:color="E8F5E9"/>
              <w:left w:val="none" w:sz="0" w:space="0" w:color="E8F5E9"/>
              <w:bottom w:val="none" w:sz="0" w:space="0" w:color="E8F5E9"/>
              <w:right w:val="none" w:sz="0" w:space="0" w:color="E8F5E9"/>
            </w:tcBorders>
            <w:shd w:val="clear" w:color="auto" w:fill="E8F5E9"/>
            <w:tcMar>
              <w:top w:w="160" w:type="dxa"/>
              <w:left w:w="200" w:type="dxa"/>
              <w:bottom w:w="160" w:type="dxa"/>
              <w:right w:w="240" w:type="dxa"/>
            </w:tcMar>
          </w:tcPr>
          <w:p w14:paraId="4E5D8BC3" w14:textId="77777777" w:rsidR="00832D1C" w:rsidRDefault="00933873">
            <w:pPr>
              <w:spacing w:after="80"/>
            </w:pPr>
            <w:r>
              <w:rPr>
                <w:rFonts w:ascii="Merriweather" w:eastAsia="Merriweather" w:hAnsi="Merriweather" w:cs="Merriweather"/>
                <w:b/>
                <w:bCs/>
                <w:color w:val="2E7D32"/>
                <w:sz w:val="18"/>
                <w:szCs w:val="18"/>
              </w:rPr>
              <w:t>GOALS &amp; INTERVENTIONS</w:t>
            </w:r>
          </w:p>
          <w:p w14:paraId="75C78F47" w14:textId="77777777" w:rsidR="00832D1C" w:rsidRDefault="00933873">
            <w:pPr>
              <w:pStyle w:val="ListParagraph"/>
              <w:numPr>
                <w:ilvl w:val="0"/>
                <w:numId w:val="2"/>
              </w:numPr>
              <w:spacing w:after="70" w:line="250" w:lineRule="auto"/>
            </w:pPr>
            <w:r>
              <w:rPr>
                <w:sz w:val="20"/>
                <w:szCs w:val="20"/>
              </w:rPr>
              <w:t>Progressive resistance strengthening of hip flexors, abductors, extensors, and rotators (band, cable, or weighted exercises)</w:t>
            </w:r>
          </w:p>
          <w:p w14:paraId="03D09606" w14:textId="77777777" w:rsidR="00832D1C" w:rsidRDefault="00933873">
            <w:pPr>
              <w:pStyle w:val="ListParagraph"/>
              <w:numPr>
                <w:ilvl w:val="0"/>
                <w:numId w:val="2"/>
              </w:numPr>
              <w:spacing w:after="70" w:line="250" w:lineRule="auto"/>
            </w:pPr>
            <w:r>
              <w:rPr>
                <w:sz w:val="20"/>
                <w:szCs w:val="20"/>
              </w:rPr>
              <w:t xml:space="preserve">Single-leg </w:t>
            </w:r>
            <w:proofErr w:type="gramStart"/>
            <w:r>
              <w:rPr>
                <w:sz w:val="20"/>
                <w:szCs w:val="20"/>
              </w:rPr>
              <w:t>strengthening:</w:t>
            </w:r>
            <w:proofErr w:type="gramEnd"/>
            <w:r>
              <w:rPr>
                <w:sz w:val="20"/>
                <w:szCs w:val="20"/>
              </w:rPr>
              <w:t xml:space="preserve"> step-ups, split squats, single-leg Romanian deadlifts, lateral step-downs</w:t>
            </w:r>
          </w:p>
          <w:p w14:paraId="74182823" w14:textId="77777777" w:rsidR="00832D1C" w:rsidRDefault="00933873">
            <w:pPr>
              <w:pStyle w:val="ListParagraph"/>
              <w:numPr>
                <w:ilvl w:val="0"/>
                <w:numId w:val="2"/>
              </w:numPr>
              <w:spacing w:after="70" w:line="250" w:lineRule="auto"/>
            </w:pPr>
            <w:r>
              <w:rPr>
                <w:sz w:val="20"/>
                <w:szCs w:val="20"/>
              </w:rPr>
              <w:t>Core and pelvic stability progression under dynamic loads</w:t>
            </w:r>
          </w:p>
          <w:p w14:paraId="5DC8BD40" w14:textId="77777777" w:rsidR="00832D1C" w:rsidRDefault="00933873">
            <w:pPr>
              <w:pStyle w:val="ListParagraph"/>
              <w:numPr>
                <w:ilvl w:val="0"/>
                <w:numId w:val="2"/>
              </w:numPr>
              <w:spacing w:after="70" w:line="250" w:lineRule="auto"/>
            </w:pPr>
            <w:r>
              <w:rPr>
                <w:sz w:val="20"/>
                <w:szCs w:val="20"/>
              </w:rPr>
              <w:t>Introduce controlled multi-planar movement (lateral shuffles, carioca, gentle cutting drills) as tolerated</w:t>
            </w:r>
          </w:p>
          <w:p w14:paraId="791127DF" w14:textId="77777777" w:rsidR="00832D1C" w:rsidRDefault="00933873">
            <w:pPr>
              <w:pStyle w:val="ListParagraph"/>
              <w:numPr>
                <w:ilvl w:val="0"/>
                <w:numId w:val="2"/>
              </w:numPr>
              <w:spacing w:after="70" w:line="250" w:lineRule="auto"/>
            </w:pPr>
            <w:r>
              <w:rPr>
                <w:sz w:val="20"/>
                <w:szCs w:val="20"/>
              </w:rPr>
              <w:t xml:space="preserve">Begin light plyometrics </w:t>
            </w:r>
            <w:proofErr w:type="gramStart"/>
            <w:r>
              <w:rPr>
                <w:sz w:val="20"/>
                <w:szCs w:val="20"/>
              </w:rPr>
              <w:t>late</w:t>
            </w:r>
            <w:proofErr w:type="gramEnd"/>
            <w:r>
              <w:rPr>
                <w:sz w:val="20"/>
                <w:szCs w:val="20"/>
              </w:rPr>
              <w:t xml:space="preserve"> in this phase if strength and control criteria are met (e.g., </w:t>
            </w:r>
            <w:proofErr w:type="gramStart"/>
            <w:r>
              <w:rPr>
                <w:sz w:val="20"/>
                <w:szCs w:val="20"/>
              </w:rPr>
              <w:t>double-leg</w:t>
            </w:r>
            <w:proofErr w:type="gramEnd"/>
            <w:r>
              <w:rPr>
                <w:sz w:val="20"/>
                <w:szCs w:val="20"/>
              </w:rPr>
              <w:t xml:space="preserve"> hop progressions)</w:t>
            </w:r>
          </w:p>
        </w:tc>
      </w:tr>
      <w:tr w:rsidR="00832D1C" w14:paraId="03B91B1B" w14:textId="77777777">
        <w:tblPrEx>
          <w:tblCellMar>
            <w:top w:w="0" w:type="dxa"/>
            <w:bottom w:w="0" w:type="dxa"/>
          </w:tblCellMar>
        </w:tblPrEx>
        <w:tc>
          <w:tcPr>
            <w:tcW w:w="10080" w:type="dxa"/>
            <w:gridSpan w:val="2"/>
            <w:tcBorders>
              <w:top w:val="single" w:sz="4" w:space="0" w:color="2E7D32"/>
              <w:left w:val="single" w:sz="10" w:space="0" w:color="2E7D32"/>
              <w:bottom w:val="single" w:sz="10" w:space="0" w:color="2E7D32"/>
              <w:right w:val="single" w:sz="10" w:space="0" w:color="2E7D32"/>
            </w:tcBorders>
            <w:shd w:val="clear" w:color="auto" w:fill="FFFFFF"/>
            <w:tcMar>
              <w:top w:w="100" w:type="dxa"/>
              <w:left w:w="240" w:type="dxa"/>
              <w:bottom w:w="140" w:type="dxa"/>
              <w:right w:w="240" w:type="dxa"/>
            </w:tcMar>
          </w:tcPr>
          <w:p w14:paraId="314A1FF7" w14:textId="77777777" w:rsidR="00832D1C" w:rsidRDefault="00933873">
            <w:pPr>
              <w:spacing w:before="100"/>
            </w:pPr>
            <w:r>
              <w:rPr>
                <w:b/>
                <w:bCs/>
                <w:color w:val="2E7D32"/>
                <w:sz w:val="19"/>
                <w:szCs w:val="19"/>
              </w:rPr>
              <w:t xml:space="preserve">Criteria to advance: </w:t>
            </w:r>
            <w:r>
              <w:rPr>
                <w:sz w:val="19"/>
                <w:szCs w:val="19"/>
              </w:rPr>
              <w:t>Hip strength ≥85% of the uninvolved side on manual or functional testing; pain-free with jogging and multi-planar drills; normal single-leg squat mechanics.</w:t>
            </w:r>
          </w:p>
        </w:tc>
      </w:tr>
    </w:tbl>
    <w:p w14:paraId="6F517C26" w14:textId="77777777" w:rsidR="00832D1C" w:rsidRDefault="00832D1C">
      <w:pPr>
        <w:spacing w:after="200"/>
      </w:pPr>
    </w:p>
    <w:tbl>
      <w:tblPr>
        <w:tblW w:w="10080" w:type="dxa"/>
        <w:tblBorders>
          <w:top w:val="single" w:sz="10" w:space="0" w:color="0F4A9C"/>
          <w:left w:val="single" w:sz="10" w:space="0" w:color="0F4A9C"/>
          <w:bottom w:val="none" w:sz="0" w:space="0" w:color="FFFFFF"/>
          <w:right w:val="single" w:sz="10" w:space="0" w:color="0F4A9C"/>
          <w:insideH w:val="none" w:sz="0" w:space="0" w:color="FFFFFF"/>
          <w:insideV w:val="single" w:sz="6" w:space="0" w:color="FFFFFF"/>
        </w:tblBorders>
        <w:tblCellMar>
          <w:left w:w="10" w:type="dxa"/>
          <w:right w:w="10" w:type="dxa"/>
        </w:tblCellMar>
        <w:tblLook w:val="0000" w:firstRow="0" w:lastRow="0" w:firstColumn="0" w:lastColumn="0" w:noHBand="0" w:noVBand="0"/>
      </w:tblPr>
      <w:tblGrid>
        <w:gridCol w:w="3427"/>
        <w:gridCol w:w="6653"/>
      </w:tblGrid>
      <w:tr w:rsidR="00832D1C" w14:paraId="4DF539F5" w14:textId="77777777">
        <w:tblPrEx>
          <w:tblCellMar>
            <w:top w:w="0" w:type="dxa"/>
            <w:bottom w:w="0" w:type="dxa"/>
          </w:tblCellMar>
        </w:tblPrEx>
        <w:tc>
          <w:tcPr>
            <w:tcW w:w="10080" w:type="dxa"/>
            <w:gridSpan w:val="2"/>
            <w:tcBorders>
              <w:top w:val="none" w:sz="0" w:space="0" w:color="FFFFFF"/>
              <w:left w:val="none" w:sz="0" w:space="0" w:color="FFFFFF"/>
              <w:bottom w:val="none" w:sz="0" w:space="0" w:color="FFFFFF"/>
              <w:right w:val="none" w:sz="0" w:space="0" w:color="FFFFFF"/>
            </w:tcBorders>
            <w:shd w:val="clear" w:color="auto" w:fill="0F4A9C"/>
            <w:tcMar>
              <w:top w:w="140" w:type="dxa"/>
              <w:left w:w="240" w:type="dxa"/>
              <w:bottom w:w="140" w:type="dxa"/>
              <w:right w:w="240" w:type="dxa"/>
            </w:tcMar>
          </w:tcPr>
          <w:p w14:paraId="2414B77E" w14:textId="77777777" w:rsidR="00832D1C" w:rsidRDefault="00933873">
            <w:r>
              <w:rPr>
                <w:rFonts w:ascii="Merriweather" w:eastAsia="Merriweather" w:hAnsi="Merriweather" w:cs="Merriweather"/>
                <w:b/>
                <w:bCs/>
                <w:color w:val="FFFFFF"/>
                <w:sz w:val="23"/>
                <w:szCs w:val="23"/>
              </w:rPr>
              <w:t>Phase 4 — Sport-Specific Training &amp; Return to Play</w:t>
            </w:r>
          </w:p>
          <w:p w14:paraId="49D00FA6" w14:textId="77777777" w:rsidR="00832D1C" w:rsidRDefault="00933873">
            <w:pPr>
              <w:spacing w:before="40"/>
            </w:pPr>
            <w:proofErr w:type="gramStart"/>
            <w:r>
              <w:rPr>
                <w:i/>
                <w:iCs/>
                <w:color w:val="FFFFFF"/>
                <w:sz w:val="19"/>
                <w:szCs w:val="19"/>
              </w:rPr>
              <w:t>Typically</w:t>
            </w:r>
            <w:proofErr w:type="gramEnd"/>
            <w:r>
              <w:rPr>
                <w:i/>
                <w:iCs/>
                <w:color w:val="FFFFFF"/>
                <w:sz w:val="19"/>
                <w:szCs w:val="19"/>
              </w:rPr>
              <w:t xml:space="preserve"> weeks 4–8</w:t>
            </w:r>
          </w:p>
        </w:tc>
      </w:tr>
      <w:tr w:rsidR="00832D1C" w14:paraId="4D2BD9F3" w14:textId="77777777">
        <w:tblPrEx>
          <w:tblCellMar>
            <w:top w:w="0" w:type="dxa"/>
            <w:bottom w:w="0" w:type="dxa"/>
          </w:tblCellMar>
        </w:tblPrEx>
        <w:tc>
          <w:tcPr>
            <w:tcW w:w="3427" w:type="dxa"/>
            <w:tcBorders>
              <w:top w:val="none" w:sz="0" w:space="0" w:color="E8F0FC"/>
              <w:left w:val="none" w:sz="0" w:space="0" w:color="E8F0FC"/>
              <w:bottom w:val="none" w:sz="0" w:space="0" w:color="E8F0FC"/>
              <w:right w:val="single" w:sz="6" w:space="0" w:color="FFFFFF"/>
            </w:tcBorders>
            <w:shd w:val="clear" w:color="auto" w:fill="E8F0FC"/>
            <w:tcMar>
              <w:top w:w="160" w:type="dxa"/>
              <w:left w:w="240" w:type="dxa"/>
              <w:bottom w:w="160" w:type="dxa"/>
              <w:right w:w="200" w:type="dxa"/>
            </w:tcMar>
          </w:tcPr>
          <w:p w14:paraId="53BD3FFF" w14:textId="77777777" w:rsidR="00832D1C" w:rsidRDefault="00933873">
            <w:pPr>
              <w:spacing w:after="80"/>
            </w:pPr>
            <w:r>
              <w:rPr>
                <w:rFonts w:ascii="Merriweather" w:eastAsia="Merriweather" w:hAnsi="Merriweather" w:cs="Merriweather"/>
                <w:b/>
                <w:bCs/>
                <w:color w:val="0F4A9C"/>
                <w:sz w:val="18"/>
                <w:szCs w:val="18"/>
              </w:rPr>
              <w:t>WEIGHT-BEARING / ACTIVITY</w:t>
            </w:r>
          </w:p>
          <w:p w14:paraId="1E4D0B3B" w14:textId="77777777" w:rsidR="00832D1C" w:rsidRDefault="00933873">
            <w:pPr>
              <w:pStyle w:val="ListParagraph"/>
              <w:numPr>
                <w:ilvl w:val="0"/>
                <w:numId w:val="2"/>
              </w:numPr>
              <w:spacing w:after="70" w:line="250" w:lineRule="auto"/>
            </w:pPr>
            <w:r>
              <w:rPr>
                <w:sz w:val="20"/>
                <w:szCs w:val="20"/>
              </w:rPr>
              <w:t>Full activity as tolerated</w:t>
            </w:r>
          </w:p>
          <w:p w14:paraId="0CB49800" w14:textId="77777777" w:rsidR="00832D1C" w:rsidRDefault="00933873">
            <w:pPr>
              <w:pStyle w:val="ListParagraph"/>
              <w:numPr>
                <w:ilvl w:val="0"/>
                <w:numId w:val="2"/>
              </w:numPr>
              <w:spacing w:after="70" w:line="250" w:lineRule="auto"/>
            </w:pPr>
            <w:r>
              <w:rPr>
                <w:sz w:val="20"/>
                <w:szCs w:val="20"/>
              </w:rPr>
              <w:t>Progress to full-speed running, cutting, and jumping</w:t>
            </w:r>
          </w:p>
          <w:p w14:paraId="0737E902" w14:textId="77777777" w:rsidR="00832D1C" w:rsidRDefault="00933873">
            <w:pPr>
              <w:pStyle w:val="ListParagraph"/>
              <w:numPr>
                <w:ilvl w:val="0"/>
                <w:numId w:val="2"/>
              </w:numPr>
              <w:spacing w:after="70" w:line="250" w:lineRule="auto"/>
            </w:pPr>
            <w:r>
              <w:rPr>
                <w:sz w:val="20"/>
                <w:szCs w:val="20"/>
              </w:rPr>
              <w:t>Return to sport-specific practice, then competition, in a graded fashion</w:t>
            </w:r>
          </w:p>
        </w:tc>
        <w:tc>
          <w:tcPr>
            <w:tcW w:w="6653" w:type="dxa"/>
            <w:tcBorders>
              <w:top w:val="none" w:sz="0" w:space="0" w:color="E8F0FC"/>
              <w:left w:val="none" w:sz="0" w:space="0" w:color="E8F0FC"/>
              <w:bottom w:val="none" w:sz="0" w:space="0" w:color="E8F0FC"/>
              <w:right w:val="none" w:sz="0" w:space="0" w:color="E8F0FC"/>
            </w:tcBorders>
            <w:shd w:val="clear" w:color="auto" w:fill="E8F0FC"/>
            <w:tcMar>
              <w:top w:w="160" w:type="dxa"/>
              <w:left w:w="200" w:type="dxa"/>
              <w:bottom w:w="160" w:type="dxa"/>
              <w:right w:w="240" w:type="dxa"/>
            </w:tcMar>
          </w:tcPr>
          <w:p w14:paraId="06F29D44" w14:textId="77777777" w:rsidR="00832D1C" w:rsidRDefault="00933873">
            <w:pPr>
              <w:spacing w:after="80"/>
            </w:pPr>
            <w:r>
              <w:rPr>
                <w:rFonts w:ascii="Merriweather" w:eastAsia="Merriweather" w:hAnsi="Merriweather" w:cs="Merriweather"/>
                <w:b/>
                <w:bCs/>
                <w:color w:val="0F4A9C"/>
                <w:sz w:val="18"/>
                <w:szCs w:val="18"/>
              </w:rPr>
              <w:t>GOALS &amp; INTERVENTIONS</w:t>
            </w:r>
          </w:p>
          <w:p w14:paraId="2487DB46" w14:textId="77777777" w:rsidR="00832D1C" w:rsidRDefault="00933873">
            <w:pPr>
              <w:pStyle w:val="ListParagraph"/>
              <w:numPr>
                <w:ilvl w:val="0"/>
                <w:numId w:val="2"/>
              </w:numPr>
              <w:spacing w:after="70" w:line="250" w:lineRule="auto"/>
            </w:pPr>
            <w:r>
              <w:rPr>
                <w:sz w:val="20"/>
                <w:szCs w:val="20"/>
              </w:rPr>
              <w:t>Sport-specific plyometrics and agility drills</w:t>
            </w:r>
          </w:p>
          <w:p w14:paraId="0AF3CE4C" w14:textId="77777777" w:rsidR="00832D1C" w:rsidRDefault="00933873">
            <w:pPr>
              <w:pStyle w:val="ListParagraph"/>
              <w:numPr>
                <w:ilvl w:val="0"/>
                <w:numId w:val="2"/>
              </w:numPr>
              <w:spacing w:after="70" w:line="250" w:lineRule="auto"/>
            </w:pPr>
            <w:r>
              <w:rPr>
                <w:sz w:val="20"/>
                <w:szCs w:val="20"/>
              </w:rPr>
              <w:t>Maximal-effort strengthening as needed for sport demands</w:t>
            </w:r>
          </w:p>
          <w:p w14:paraId="463DE01F" w14:textId="77777777" w:rsidR="00832D1C" w:rsidRDefault="00933873">
            <w:pPr>
              <w:pStyle w:val="ListParagraph"/>
              <w:numPr>
                <w:ilvl w:val="0"/>
                <w:numId w:val="2"/>
              </w:numPr>
              <w:spacing w:after="70" w:line="250" w:lineRule="auto"/>
            </w:pPr>
            <w:r>
              <w:rPr>
                <w:sz w:val="20"/>
                <w:szCs w:val="20"/>
              </w:rPr>
              <w:t>Interval return-to-running or return-to-sport program</w:t>
            </w:r>
          </w:p>
          <w:p w14:paraId="4ECBED09" w14:textId="77777777" w:rsidR="00832D1C" w:rsidRDefault="00933873">
            <w:pPr>
              <w:pStyle w:val="ListParagraph"/>
              <w:numPr>
                <w:ilvl w:val="0"/>
                <w:numId w:val="2"/>
              </w:numPr>
              <w:spacing w:after="70" w:line="250" w:lineRule="auto"/>
            </w:pPr>
            <w:r>
              <w:rPr>
                <w:sz w:val="20"/>
                <w:szCs w:val="20"/>
              </w:rPr>
              <w:t>Reassess movement quality with high-speed and high-load tasks</w:t>
            </w:r>
          </w:p>
          <w:p w14:paraId="00516211" w14:textId="77777777" w:rsidR="00832D1C" w:rsidRDefault="00933873">
            <w:pPr>
              <w:pStyle w:val="ListParagraph"/>
              <w:numPr>
                <w:ilvl w:val="0"/>
                <w:numId w:val="2"/>
              </w:numPr>
              <w:spacing w:after="70" w:line="250" w:lineRule="auto"/>
            </w:pPr>
            <w:r>
              <w:rPr>
                <w:sz w:val="20"/>
                <w:szCs w:val="20"/>
              </w:rPr>
              <w:t>Address any residual asymmetry before clearing for unrestricted competition</w:t>
            </w:r>
          </w:p>
        </w:tc>
      </w:tr>
      <w:tr w:rsidR="00832D1C" w14:paraId="2CA571F2" w14:textId="77777777">
        <w:tblPrEx>
          <w:tblCellMar>
            <w:top w:w="0" w:type="dxa"/>
            <w:bottom w:w="0" w:type="dxa"/>
          </w:tblCellMar>
        </w:tblPrEx>
        <w:tc>
          <w:tcPr>
            <w:tcW w:w="10080" w:type="dxa"/>
            <w:gridSpan w:val="2"/>
            <w:tcBorders>
              <w:top w:val="single" w:sz="4" w:space="0" w:color="0F4A9C"/>
              <w:left w:val="single" w:sz="10" w:space="0" w:color="0F4A9C"/>
              <w:bottom w:val="single" w:sz="10" w:space="0" w:color="0F4A9C"/>
              <w:right w:val="single" w:sz="10" w:space="0" w:color="0F4A9C"/>
            </w:tcBorders>
            <w:shd w:val="clear" w:color="auto" w:fill="FFFFFF"/>
            <w:tcMar>
              <w:top w:w="100" w:type="dxa"/>
              <w:left w:w="240" w:type="dxa"/>
              <w:bottom w:w="140" w:type="dxa"/>
              <w:right w:w="240" w:type="dxa"/>
            </w:tcMar>
          </w:tcPr>
          <w:p w14:paraId="26552CD3" w14:textId="77777777" w:rsidR="00832D1C" w:rsidRDefault="00933873">
            <w:pPr>
              <w:spacing w:before="100"/>
            </w:pPr>
            <w:r>
              <w:rPr>
                <w:b/>
                <w:bCs/>
                <w:color w:val="0F4A9C"/>
                <w:sz w:val="19"/>
                <w:szCs w:val="19"/>
              </w:rPr>
              <w:t xml:space="preserve">Criteria to advance: </w:t>
            </w:r>
            <w:r>
              <w:rPr>
                <w:sz w:val="19"/>
                <w:szCs w:val="19"/>
              </w:rPr>
              <w:t>Hip strength and single-leg hop performance ≥90–95% of the uninvolved side; no pain or apprehension with full-speed sport-specific drills; cleared by the treating clinician for unrestricted return to play.</w:t>
            </w:r>
          </w:p>
        </w:tc>
      </w:tr>
    </w:tbl>
    <w:p w14:paraId="62111BD7" w14:textId="77777777" w:rsidR="00832D1C" w:rsidRDefault="00832D1C">
      <w:pPr>
        <w:spacing w:after="280"/>
      </w:pPr>
    </w:p>
    <w:p w14:paraId="06A499A9" w14:textId="77777777" w:rsidR="00BE4B97" w:rsidRDefault="00BE4B97">
      <w:pPr>
        <w:rPr>
          <w:rFonts w:ascii="Merriweather" w:eastAsia="Merriweather" w:hAnsi="Merriweather" w:cs="Merriweather"/>
          <w:b/>
          <w:bCs/>
          <w:color w:val="0F4A9C"/>
          <w:sz w:val="26"/>
          <w:szCs w:val="26"/>
        </w:rPr>
      </w:pPr>
      <w:r>
        <w:rPr>
          <w:rFonts w:ascii="Merriweather" w:eastAsia="Merriweather" w:hAnsi="Merriweather" w:cs="Merriweather"/>
          <w:b/>
          <w:bCs/>
          <w:color w:val="0F4A9C"/>
          <w:sz w:val="26"/>
          <w:szCs w:val="26"/>
        </w:rPr>
        <w:br w:type="page"/>
      </w:r>
    </w:p>
    <w:p w14:paraId="4565F985" w14:textId="5D89B2FE" w:rsidR="00832D1C" w:rsidRDefault="00933873">
      <w:pPr>
        <w:pBdr>
          <w:bottom w:val="single" w:sz="6" w:space="0" w:color="0F4A9C"/>
        </w:pBdr>
        <w:spacing w:before="320" w:after="140"/>
      </w:pPr>
      <w:r>
        <w:rPr>
          <w:rFonts w:ascii="Merriweather" w:eastAsia="Merriweather" w:hAnsi="Merriweather" w:cs="Merriweather"/>
          <w:b/>
          <w:bCs/>
          <w:color w:val="0F4A9C"/>
          <w:sz w:val="26"/>
          <w:szCs w:val="26"/>
        </w:rPr>
        <w:lastRenderedPageBreak/>
        <w:t>MODALITIES — GENERAL GUIDANCE</w:t>
      </w:r>
    </w:p>
    <w:p w14:paraId="74224B2A" w14:textId="77777777" w:rsidR="00832D1C" w:rsidRDefault="00933873">
      <w:pPr>
        <w:spacing w:after="160" w:line="280" w:lineRule="auto"/>
      </w:pPr>
      <w:r>
        <w:t>Modalities are adjuncts to exercise, not a substitute for it, and their use should be individualized by the treating therapist based on presentation:</w:t>
      </w:r>
    </w:p>
    <w:p w14:paraId="62AA8104" w14:textId="77777777" w:rsidR="00832D1C" w:rsidRDefault="00933873">
      <w:pPr>
        <w:pStyle w:val="ListParagraph"/>
        <w:numPr>
          <w:ilvl w:val="0"/>
          <w:numId w:val="2"/>
        </w:numPr>
        <w:spacing w:after="100" w:line="270" w:lineRule="auto"/>
      </w:pPr>
      <w:r>
        <w:t>Cryotherapy (ice): 15–20 minutes after activity or exercise for pain and inflammation control</w:t>
      </w:r>
    </w:p>
    <w:p w14:paraId="422472E9" w14:textId="77777777" w:rsidR="00832D1C" w:rsidRDefault="00933873">
      <w:pPr>
        <w:pStyle w:val="ListParagraph"/>
        <w:numPr>
          <w:ilvl w:val="0"/>
          <w:numId w:val="2"/>
        </w:numPr>
        <w:spacing w:after="100" w:line="270" w:lineRule="auto"/>
      </w:pPr>
      <w:r>
        <w:t>Superficial heat: brief application before stretching or mobility work to improve tissue extensibility</w:t>
      </w:r>
    </w:p>
    <w:p w14:paraId="0B59232C" w14:textId="77777777" w:rsidR="00832D1C" w:rsidRDefault="00933873">
      <w:pPr>
        <w:pStyle w:val="ListParagraph"/>
        <w:numPr>
          <w:ilvl w:val="0"/>
          <w:numId w:val="2"/>
        </w:numPr>
        <w:spacing w:after="100" w:line="270" w:lineRule="auto"/>
      </w:pPr>
      <w:r>
        <w:t>Therapeutic ultrasound or electrical stimulation: may be used at the therapist's discretion for pain, muscle spasm, or to facilitate activation of an inhibited muscle group</w:t>
      </w:r>
    </w:p>
    <w:p w14:paraId="75A7103E" w14:textId="77777777" w:rsidR="00832D1C" w:rsidRDefault="00933873">
      <w:pPr>
        <w:pStyle w:val="ListParagraph"/>
        <w:numPr>
          <w:ilvl w:val="0"/>
          <w:numId w:val="2"/>
        </w:numPr>
        <w:spacing w:after="100" w:line="270" w:lineRule="auto"/>
      </w:pPr>
      <w:r>
        <w:t>Soft-tissue mobilization / instrument-assisted techniques: may be used for adjacent myofascial tightness, avoiding aggressive direct pressure over an acutely irritable tendon or apophysis</w:t>
      </w:r>
    </w:p>
    <w:p w14:paraId="252722BF" w14:textId="77777777" w:rsidR="00832D1C" w:rsidRDefault="00933873">
      <w:pPr>
        <w:pStyle w:val="ListParagraph"/>
        <w:numPr>
          <w:ilvl w:val="0"/>
          <w:numId w:val="2"/>
        </w:numPr>
        <w:spacing w:after="100" w:line="270" w:lineRule="auto"/>
      </w:pPr>
      <w:r>
        <w:t>Kinesiology taping: may be used for proprioceptive feedback or symptomatic relief, at therapist discretion</w:t>
      </w:r>
    </w:p>
    <w:p w14:paraId="696CB58D" w14:textId="77777777" w:rsidR="00832D1C" w:rsidRDefault="00832D1C">
      <w:pPr>
        <w:spacing w:after="260"/>
      </w:pPr>
    </w:p>
    <w:p w14:paraId="0A7DDCF5" w14:textId="77777777" w:rsidR="00832D1C" w:rsidRDefault="00933873">
      <w:pPr>
        <w:pBdr>
          <w:bottom w:val="single" w:sz="6" w:space="0" w:color="0F4A9C"/>
        </w:pBdr>
        <w:spacing w:before="320" w:after="140"/>
      </w:pPr>
      <w:r>
        <w:rPr>
          <w:rFonts w:ascii="Merriweather" w:eastAsia="Merriweather" w:hAnsi="Merriweather" w:cs="Merriweather"/>
          <w:b/>
          <w:bCs/>
          <w:color w:val="0F4A9C"/>
          <w:sz w:val="26"/>
          <w:szCs w:val="26"/>
        </w:rPr>
        <w:t>CLINICAL PEARLS</w:t>
      </w:r>
    </w:p>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080"/>
      </w:tblGrid>
      <w:tr w:rsidR="00832D1C" w14:paraId="5FCCE99D" w14:textId="77777777">
        <w:tblPrEx>
          <w:tblCellMar>
            <w:top w:w="0" w:type="dxa"/>
            <w:bottom w:w="0" w:type="dxa"/>
          </w:tblCellMar>
        </w:tblPrEx>
        <w:tc>
          <w:tcPr>
            <w:tcW w:w="10080" w:type="dxa"/>
            <w:tcBorders>
              <w:top w:val="none" w:sz="0" w:space="0" w:color="FFF6E0"/>
              <w:left w:val="single" w:sz="28" w:space="0" w:color="F2A900"/>
              <w:bottom w:val="none" w:sz="0" w:space="0" w:color="FFF6E0"/>
              <w:right w:val="none" w:sz="0" w:space="0" w:color="FFF6E0"/>
            </w:tcBorders>
            <w:shd w:val="clear" w:color="auto" w:fill="FFF6E0"/>
            <w:tcMar>
              <w:top w:w="180" w:type="dxa"/>
              <w:left w:w="260" w:type="dxa"/>
              <w:bottom w:w="180" w:type="dxa"/>
              <w:right w:w="260" w:type="dxa"/>
            </w:tcMar>
          </w:tcPr>
          <w:p w14:paraId="19926AB7" w14:textId="77777777" w:rsidR="00832D1C" w:rsidRDefault="00933873">
            <w:pPr>
              <w:pStyle w:val="ListParagraph"/>
              <w:numPr>
                <w:ilvl w:val="0"/>
                <w:numId w:val="2"/>
              </w:numPr>
              <w:spacing w:after="60" w:line="260" w:lineRule="auto"/>
            </w:pPr>
            <w:r>
              <w:t>The single most important treatment for these overuse hip conditions is relative rest from the aggravating activity — trying to "push through" pain consistently prolongs recovery and risks progression to a more significant strain or apophyseal injury in the skeletally immature athlete.</w:t>
            </w:r>
          </w:p>
          <w:p w14:paraId="21149B71" w14:textId="77777777" w:rsidR="00832D1C" w:rsidRDefault="00933873">
            <w:pPr>
              <w:pStyle w:val="ListParagraph"/>
              <w:numPr>
                <w:ilvl w:val="0"/>
                <w:numId w:val="2"/>
              </w:numPr>
              <w:spacing w:after="60" w:line="260" w:lineRule="auto"/>
            </w:pPr>
            <w:r>
              <w:t>Weakness of the gluteus medius and poor core/pelvic control are common underlying contributors to hip flexor and abductor overload — addressing proximal strength and mechanics reduces recurrence.</w:t>
            </w:r>
          </w:p>
          <w:p w14:paraId="2E9BF0EE" w14:textId="77777777" w:rsidR="00832D1C" w:rsidRDefault="00933873">
            <w:pPr>
              <w:pStyle w:val="ListParagraph"/>
              <w:numPr>
                <w:ilvl w:val="0"/>
                <w:numId w:val="2"/>
              </w:numPr>
              <w:spacing w:after="60" w:line="260" w:lineRule="auto"/>
            </w:pPr>
            <w:r>
              <w:t>A brief, structured reduction in training volume early on is far more effective than a prolonged, unstructured layoff later.</w:t>
            </w:r>
          </w:p>
          <w:p w14:paraId="2F769AC0" w14:textId="77777777" w:rsidR="00832D1C" w:rsidRDefault="00933873">
            <w:pPr>
              <w:pStyle w:val="ListParagraph"/>
              <w:numPr>
                <w:ilvl w:val="0"/>
                <w:numId w:val="2"/>
              </w:numPr>
              <w:spacing w:after="60" w:line="260" w:lineRule="auto"/>
            </w:pPr>
            <w:r>
              <w:t>Growth-related tightness (particularly of the hip flexors and hamstrings during rapid growth spurts) is a common contributing factor in adolescents and should be addressed with a consistent flexibility program.</w:t>
            </w:r>
          </w:p>
          <w:p w14:paraId="741B8BBE" w14:textId="77777777" w:rsidR="00832D1C" w:rsidRDefault="00933873">
            <w:pPr>
              <w:pStyle w:val="ListParagraph"/>
              <w:numPr>
                <w:ilvl w:val="0"/>
                <w:numId w:val="2"/>
              </w:numPr>
              <w:spacing w:after="60" w:line="260" w:lineRule="auto"/>
            </w:pPr>
            <w:r>
              <w:t>MRI is not routinely needed to begin or guide this protocol. Imaging is reserved for athletes who fail to improve with an adequate trial of activity modification and structured rehabilitation, or when the clinical exam raises concern for a more significant injury (e.g., apophyseal avulsion, stress fracture, labral pathology).</w:t>
            </w:r>
          </w:p>
        </w:tc>
      </w:tr>
    </w:tbl>
    <w:p w14:paraId="532B13F6" w14:textId="77777777" w:rsidR="00832D1C" w:rsidRDefault="00832D1C">
      <w:pPr>
        <w:spacing w:after="260"/>
      </w:pPr>
    </w:p>
    <w:p w14:paraId="36A99BBC" w14:textId="77777777" w:rsidR="00832D1C" w:rsidRDefault="00933873">
      <w:pPr>
        <w:pBdr>
          <w:bottom w:val="single" w:sz="6" w:space="0" w:color="0F4A9C"/>
        </w:pBdr>
        <w:spacing w:before="320" w:after="140"/>
      </w:pPr>
      <w:r>
        <w:rPr>
          <w:rFonts w:ascii="Merriweather" w:eastAsia="Merriweather" w:hAnsi="Merriweather" w:cs="Merriweather"/>
          <w:b/>
          <w:bCs/>
          <w:color w:val="0F4A9C"/>
          <w:sz w:val="26"/>
          <w:szCs w:val="26"/>
        </w:rPr>
        <w:t>PRECAUTIONS &amp; RED FLAGS — NOTIFY THE PHYSICIAN</w:t>
      </w:r>
    </w:p>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080"/>
      </w:tblGrid>
      <w:tr w:rsidR="00832D1C" w14:paraId="62CAC666" w14:textId="77777777">
        <w:tblPrEx>
          <w:tblCellMar>
            <w:top w:w="0" w:type="dxa"/>
            <w:bottom w:w="0" w:type="dxa"/>
          </w:tblCellMar>
        </w:tblPrEx>
        <w:tc>
          <w:tcPr>
            <w:tcW w:w="10080" w:type="dxa"/>
            <w:tcBorders>
              <w:top w:val="none" w:sz="0" w:space="0" w:color="FBE9E9"/>
              <w:left w:val="single" w:sz="28" w:space="0" w:color="C62828"/>
              <w:bottom w:val="none" w:sz="0" w:space="0" w:color="FBE9E9"/>
              <w:right w:val="none" w:sz="0" w:space="0" w:color="FBE9E9"/>
            </w:tcBorders>
            <w:shd w:val="clear" w:color="auto" w:fill="FBE9E9"/>
            <w:tcMar>
              <w:top w:w="180" w:type="dxa"/>
              <w:left w:w="260" w:type="dxa"/>
              <w:bottom w:w="180" w:type="dxa"/>
              <w:right w:w="260" w:type="dxa"/>
            </w:tcMar>
          </w:tcPr>
          <w:p w14:paraId="23C84D32" w14:textId="77777777" w:rsidR="00832D1C" w:rsidRDefault="00933873">
            <w:pPr>
              <w:pStyle w:val="ListParagraph"/>
              <w:numPr>
                <w:ilvl w:val="0"/>
                <w:numId w:val="2"/>
              </w:numPr>
              <w:spacing w:after="60" w:line="260" w:lineRule="auto"/>
            </w:pPr>
            <w:r>
              <w:t>Sudden, sharp pain during activity, especially with a "pop" or immediate inability to bear weight — possible apophyseal avulsion fracture</w:t>
            </w:r>
          </w:p>
          <w:p w14:paraId="56463F18" w14:textId="77777777" w:rsidR="00832D1C" w:rsidRDefault="00933873">
            <w:pPr>
              <w:pStyle w:val="ListParagraph"/>
              <w:numPr>
                <w:ilvl w:val="0"/>
                <w:numId w:val="2"/>
              </w:numPr>
              <w:spacing w:after="60" w:line="260" w:lineRule="auto"/>
            </w:pPr>
            <w:r>
              <w:t>Point tenderness directly over a growth plate (apophysis) in a skeletally immature athlete</w:t>
            </w:r>
          </w:p>
          <w:p w14:paraId="5FEF63F1" w14:textId="77777777" w:rsidR="00832D1C" w:rsidRDefault="00933873">
            <w:pPr>
              <w:pStyle w:val="ListParagraph"/>
              <w:numPr>
                <w:ilvl w:val="0"/>
                <w:numId w:val="2"/>
              </w:numPr>
              <w:spacing w:after="60" w:line="260" w:lineRule="auto"/>
            </w:pPr>
            <w:r>
              <w:t>Progressively worsening pain despite rest and activity modification</w:t>
            </w:r>
          </w:p>
          <w:p w14:paraId="7DDA07C9" w14:textId="77777777" w:rsidR="00832D1C" w:rsidRDefault="00933873">
            <w:pPr>
              <w:pStyle w:val="ListParagraph"/>
              <w:numPr>
                <w:ilvl w:val="0"/>
                <w:numId w:val="2"/>
              </w:numPr>
              <w:spacing w:after="60" w:line="260" w:lineRule="auto"/>
            </w:pPr>
            <w:r>
              <w:t>Night pain, fever, or unexplained weight loss</w:t>
            </w:r>
          </w:p>
          <w:p w14:paraId="3069B829" w14:textId="77777777" w:rsidR="00832D1C" w:rsidRDefault="00933873">
            <w:pPr>
              <w:pStyle w:val="ListParagraph"/>
              <w:numPr>
                <w:ilvl w:val="0"/>
                <w:numId w:val="2"/>
              </w:numPr>
              <w:spacing w:after="60" w:line="260" w:lineRule="auto"/>
            </w:pPr>
            <w:r>
              <w:t>Significant limp that is not improving, or new numbness/tingling</w:t>
            </w:r>
          </w:p>
        </w:tc>
      </w:tr>
    </w:tbl>
    <w:p w14:paraId="182A182A" w14:textId="77777777" w:rsidR="00832D1C" w:rsidRDefault="00832D1C">
      <w:pPr>
        <w:spacing w:after="260"/>
      </w:pPr>
    </w:p>
    <w:p w14:paraId="0163DC8E" w14:textId="77777777" w:rsidR="00BE4B97" w:rsidRDefault="00BE4B97">
      <w:pPr>
        <w:rPr>
          <w:rFonts w:ascii="Merriweather" w:eastAsia="Merriweather" w:hAnsi="Merriweather" w:cs="Merriweather"/>
          <w:b/>
          <w:bCs/>
          <w:color w:val="0F4A9C"/>
          <w:sz w:val="26"/>
          <w:szCs w:val="26"/>
        </w:rPr>
      </w:pPr>
      <w:r>
        <w:rPr>
          <w:rFonts w:ascii="Merriweather" w:eastAsia="Merriweather" w:hAnsi="Merriweather" w:cs="Merriweather"/>
          <w:b/>
          <w:bCs/>
          <w:color w:val="0F4A9C"/>
          <w:sz w:val="26"/>
          <w:szCs w:val="26"/>
        </w:rPr>
        <w:br w:type="page"/>
      </w:r>
    </w:p>
    <w:p w14:paraId="21EDC652" w14:textId="73A7A4A2" w:rsidR="00832D1C" w:rsidRDefault="00933873">
      <w:pPr>
        <w:pBdr>
          <w:bottom w:val="single" w:sz="6" w:space="0" w:color="0F4A9C"/>
        </w:pBdr>
        <w:spacing w:before="320" w:after="140"/>
      </w:pPr>
      <w:r>
        <w:rPr>
          <w:rFonts w:ascii="Merriweather" w:eastAsia="Merriweather" w:hAnsi="Merriweather" w:cs="Merriweather"/>
          <w:b/>
          <w:bCs/>
          <w:color w:val="0F4A9C"/>
          <w:sz w:val="26"/>
          <w:szCs w:val="26"/>
        </w:rPr>
        <w:lastRenderedPageBreak/>
        <w:t>A NOTE FOR FAMILIES</w:t>
      </w:r>
    </w:p>
    <w:p w14:paraId="39DE0112" w14:textId="77777777" w:rsidR="00832D1C" w:rsidRDefault="00933873">
      <w:pPr>
        <w:spacing w:after="100" w:line="280" w:lineRule="auto"/>
      </w:pPr>
      <w:r>
        <w:t xml:space="preserve">These are common, self-limited conditions in growing athletes, and the great majority resolve fully with a structured, criteria-based rehabilitation program and appropriate activity modification. Most adolescent athletes </w:t>
      </w:r>
      <w:proofErr w:type="gramStart"/>
      <w:r>
        <w:t>are able to</w:t>
      </w:r>
      <w:proofErr w:type="gramEnd"/>
      <w:r>
        <w:t xml:space="preserve"> return to their prior level of sport without lasting limitation. Patience with the early activity-modification phase pays off — athletes who respect the initial rest period typically progress more quickly through the remaining phases than those who try to return too soon.</w:t>
      </w:r>
    </w:p>
    <w:sectPr w:rsidR="00832D1C">
      <w:footerReference w:type="default" r:id="rId8"/>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FF5E5" w14:textId="77777777" w:rsidR="00933873" w:rsidRDefault="00933873">
      <w:r>
        <w:separator/>
      </w:r>
    </w:p>
  </w:endnote>
  <w:endnote w:type="continuationSeparator" w:id="0">
    <w:p w14:paraId="1FBE2D12" w14:textId="77777777" w:rsidR="00933873" w:rsidRDefault="00933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ource Sans 3">
    <w:altName w:val="Cambria"/>
    <w:panose1 w:val="00000000000000000000"/>
    <w:charset w:val="00"/>
    <w:family w:val="roman"/>
    <w:notTrueType/>
    <w:pitch w:val="default"/>
  </w:font>
  <w:font w:name="Merriweather">
    <w:charset w:val="00"/>
    <w:family w:val="auto"/>
    <w:pitch w:val="variable"/>
    <w:sig w:usb0="20000207" w:usb1="00000002" w:usb2="00000000" w:usb3="00000000" w:csb0="000001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080"/>
    </w:tblGrid>
    <w:tr w:rsidR="00832D1C" w14:paraId="2E0FC060" w14:textId="77777777">
      <w:tblPrEx>
        <w:tblCellMar>
          <w:top w:w="0" w:type="dxa"/>
          <w:bottom w:w="0" w:type="dxa"/>
        </w:tblCellMar>
      </w:tblPrEx>
      <w:tc>
        <w:tcPr>
          <w:tcW w:w="10080" w:type="dxa"/>
          <w:tcBorders>
            <w:top w:val="none" w:sz="0" w:space="0" w:color="FFFFFF"/>
            <w:left w:val="none" w:sz="0" w:space="0" w:color="FFFFFF"/>
            <w:bottom w:val="none" w:sz="0" w:space="0" w:color="FFFFFF"/>
            <w:right w:val="none" w:sz="0" w:space="0" w:color="FFFFFF"/>
          </w:tcBorders>
          <w:shd w:val="clear" w:color="auto" w:fill="0F4A9C"/>
          <w:tcMar>
            <w:top w:w="120" w:type="dxa"/>
            <w:left w:w="260" w:type="dxa"/>
            <w:bottom w:w="120" w:type="dxa"/>
            <w:right w:w="260" w:type="dxa"/>
          </w:tcMar>
        </w:tcPr>
        <w:p w14:paraId="06D98934" w14:textId="77777777" w:rsidR="00832D1C" w:rsidRDefault="00933873">
          <w:pPr>
            <w:jc w:val="center"/>
          </w:pPr>
          <w:r>
            <w:rPr>
              <w:b/>
              <w:bCs/>
              <w:color w:val="FFFFFF"/>
              <w:sz w:val="15"/>
              <w:szCs w:val="15"/>
            </w:rPr>
            <w:t>David Roberts, MD FAAOS · Pediatric Orthopedic Surgery</w:t>
          </w:r>
        </w:p>
        <w:p w14:paraId="62714277" w14:textId="77777777" w:rsidR="00832D1C" w:rsidRDefault="00933873">
          <w:pPr>
            <w:spacing w:before="20"/>
            <w:jc w:val="center"/>
          </w:pPr>
          <w:r>
            <w:rPr>
              <w:color w:val="E8F0FC"/>
              <w:sz w:val="15"/>
              <w:szCs w:val="15"/>
            </w:rPr>
            <w:t xml:space="preserve">9650 Gross Point Road, Suite 2900, Skokie, IL </w:t>
          </w:r>
          <w:proofErr w:type="gramStart"/>
          <w:r>
            <w:rPr>
              <w:color w:val="E8F0FC"/>
              <w:sz w:val="15"/>
              <w:szCs w:val="15"/>
            </w:rPr>
            <w:t>60076 · (</w:t>
          </w:r>
          <w:proofErr w:type="gramEnd"/>
          <w:r>
            <w:rPr>
              <w:color w:val="E8F0FC"/>
              <w:sz w:val="15"/>
              <w:szCs w:val="15"/>
            </w:rPr>
            <w:t>847) 866-7846</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74ADB" w14:textId="77777777" w:rsidR="00933873" w:rsidRDefault="00933873">
      <w:r>
        <w:separator/>
      </w:r>
    </w:p>
  </w:footnote>
  <w:footnote w:type="continuationSeparator" w:id="0">
    <w:p w14:paraId="0D87CF13" w14:textId="77777777" w:rsidR="00933873" w:rsidRDefault="009338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372F08"/>
    <w:multiLevelType w:val="hybridMultilevel"/>
    <w:tmpl w:val="07D61C38"/>
    <w:lvl w:ilvl="0" w:tplc="F0F44232">
      <w:start w:val="1"/>
      <w:numFmt w:val="bullet"/>
      <w:lvlText w:val="●"/>
      <w:lvlJc w:val="left"/>
      <w:pPr>
        <w:ind w:left="720" w:hanging="360"/>
      </w:pPr>
    </w:lvl>
    <w:lvl w:ilvl="1" w:tplc="E9B68038">
      <w:start w:val="1"/>
      <w:numFmt w:val="bullet"/>
      <w:lvlText w:val="○"/>
      <w:lvlJc w:val="left"/>
      <w:pPr>
        <w:ind w:left="1440" w:hanging="360"/>
      </w:pPr>
    </w:lvl>
    <w:lvl w:ilvl="2" w:tplc="5DC01AE0">
      <w:start w:val="1"/>
      <w:numFmt w:val="bullet"/>
      <w:lvlText w:val="■"/>
      <w:lvlJc w:val="left"/>
      <w:pPr>
        <w:ind w:left="2160" w:hanging="360"/>
      </w:pPr>
    </w:lvl>
    <w:lvl w:ilvl="3" w:tplc="4AF887FE">
      <w:start w:val="1"/>
      <w:numFmt w:val="bullet"/>
      <w:lvlText w:val="●"/>
      <w:lvlJc w:val="left"/>
      <w:pPr>
        <w:ind w:left="2880" w:hanging="360"/>
      </w:pPr>
    </w:lvl>
    <w:lvl w:ilvl="4" w:tplc="B4464ED6">
      <w:start w:val="1"/>
      <w:numFmt w:val="bullet"/>
      <w:lvlText w:val="○"/>
      <w:lvlJc w:val="left"/>
      <w:pPr>
        <w:ind w:left="3600" w:hanging="360"/>
      </w:pPr>
    </w:lvl>
    <w:lvl w:ilvl="5" w:tplc="C3BCB16C">
      <w:start w:val="1"/>
      <w:numFmt w:val="bullet"/>
      <w:lvlText w:val="■"/>
      <w:lvlJc w:val="left"/>
      <w:pPr>
        <w:ind w:left="4320" w:hanging="360"/>
      </w:pPr>
    </w:lvl>
    <w:lvl w:ilvl="6" w:tplc="059EBFE0">
      <w:start w:val="1"/>
      <w:numFmt w:val="bullet"/>
      <w:lvlText w:val="●"/>
      <w:lvlJc w:val="left"/>
      <w:pPr>
        <w:ind w:left="5040" w:hanging="360"/>
      </w:pPr>
    </w:lvl>
    <w:lvl w:ilvl="7" w:tplc="8A207346">
      <w:start w:val="1"/>
      <w:numFmt w:val="bullet"/>
      <w:lvlText w:val="●"/>
      <w:lvlJc w:val="left"/>
      <w:pPr>
        <w:ind w:left="5760" w:hanging="360"/>
      </w:pPr>
    </w:lvl>
    <w:lvl w:ilvl="8" w:tplc="DE74A07C">
      <w:start w:val="1"/>
      <w:numFmt w:val="bullet"/>
      <w:lvlText w:val="●"/>
      <w:lvlJc w:val="left"/>
      <w:pPr>
        <w:ind w:left="6480" w:hanging="360"/>
      </w:pPr>
    </w:lvl>
  </w:abstractNum>
  <w:abstractNum w:abstractNumId="1" w15:restartNumberingAfterBreak="0">
    <w:nsid w:val="493258A1"/>
    <w:multiLevelType w:val="hybridMultilevel"/>
    <w:tmpl w:val="D3AC0452"/>
    <w:lvl w:ilvl="0" w:tplc="353ED450">
      <w:start w:val="1"/>
      <w:numFmt w:val="decimal"/>
      <w:lvlText w:val="%1."/>
      <w:lvlJc w:val="left"/>
      <w:pPr>
        <w:ind w:left="360" w:hanging="260"/>
      </w:pPr>
    </w:lvl>
    <w:lvl w:ilvl="1" w:tplc="BCC4408A">
      <w:numFmt w:val="decimal"/>
      <w:lvlText w:val=""/>
      <w:lvlJc w:val="left"/>
    </w:lvl>
    <w:lvl w:ilvl="2" w:tplc="78968872">
      <w:numFmt w:val="decimal"/>
      <w:lvlText w:val=""/>
      <w:lvlJc w:val="left"/>
    </w:lvl>
    <w:lvl w:ilvl="3" w:tplc="11E028AE">
      <w:numFmt w:val="decimal"/>
      <w:lvlText w:val=""/>
      <w:lvlJc w:val="left"/>
    </w:lvl>
    <w:lvl w:ilvl="4" w:tplc="E3E0B8CC">
      <w:numFmt w:val="decimal"/>
      <w:lvlText w:val=""/>
      <w:lvlJc w:val="left"/>
    </w:lvl>
    <w:lvl w:ilvl="5" w:tplc="EE8E4F22">
      <w:numFmt w:val="decimal"/>
      <w:lvlText w:val=""/>
      <w:lvlJc w:val="left"/>
    </w:lvl>
    <w:lvl w:ilvl="6" w:tplc="5010CDFE">
      <w:numFmt w:val="decimal"/>
      <w:lvlText w:val=""/>
      <w:lvlJc w:val="left"/>
    </w:lvl>
    <w:lvl w:ilvl="7" w:tplc="29587638">
      <w:numFmt w:val="decimal"/>
      <w:lvlText w:val=""/>
      <w:lvlJc w:val="left"/>
    </w:lvl>
    <w:lvl w:ilvl="8" w:tplc="9E2A318E">
      <w:numFmt w:val="decimal"/>
      <w:lvlText w:val=""/>
      <w:lvlJc w:val="left"/>
    </w:lvl>
  </w:abstractNum>
  <w:abstractNum w:abstractNumId="2" w15:restartNumberingAfterBreak="0">
    <w:nsid w:val="4A6B379E"/>
    <w:multiLevelType w:val="hybridMultilevel"/>
    <w:tmpl w:val="AA760CA6"/>
    <w:lvl w:ilvl="0" w:tplc="8CDC3544">
      <w:start w:val="1"/>
      <w:numFmt w:val="bullet"/>
      <w:lvlText w:val="•"/>
      <w:lvlJc w:val="left"/>
      <w:pPr>
        <w:ind w:left="360" w:hanging="260"/>
      </w:pPr>
      <w:rPr>
        <w:color w:val="0F4A9C"/>
      </w:rPr>
    </w:lvl>
    <w:lvl w:ilvl="1" w:tplc="EE5E49C2">
      <w:start w:val="1"/>
      <w:numFmt w:val="bullet"/>
      <w:lvlText w:val="◦"/>
      <w:lvlJc w:val="left"/>
      <w:pPr>
        <w:ind w:left="720" w:hanging="260"/>
      </w:pPr>
    </w:lvl>
    <w:lvl w:ilvl="2" w:tplc="FD82E8A2">
      <w:numFmt w:val="decimal"/>
      <w:lvlText w:val=""/>
      <w:lvlJc w:val="left"/>
    </w:lvl>
    <w:lvl w:ilvl="3" w:tplc="546AB83C">
      <w:numFmt w:val="decimal"/>
      <w:lvlText w:val=""/>
      <w:lvlJc w:val="left"/>
    </w:lvl>
    <w:lvl w:ilvl="4" w:tplc="5BA8A7C4">
      <w:numFmt w:val="decimal"/>
      <w:lvlText w:val=""/>
      <w:lvlJc w:val="left"/>
    </w:lvl>
    <w:lvl w:ilvl="5" w:tplc="A77E1604">
      <w:numFmt w:val="decimal"/>
      <w:lvlText w:val=""/>
      <w:lvlJc w:val="left"/>
    </w:lvl>
    <w:lvl w:ilvl="6" w:tplc="DAB29CEE">
      <w:numFmt w:val="decimal"/>
      <w:lvlText w:val=""/>
      <w:lvlJc w:val="left"/>
    </w:lvl>
    <w:lvl w:ilvl="7" w:tplc="03845390">
      <w:numFmt w:val="decimal"/>
      <w:lvlText w:val=""/>
      <w:lvlJc w:val="left"/>
    </w:lvl>
    <w:lvl w:ilvl="8" w:tplc="3A728FDE">
      <w:numFmt w:val="decimal"/>
      <w:lvlText w:val=""/>
      <w:lvlJc w:val="left"/>
    </w:lvl>
  </w:abstractNum>
  <w:num w:numId="1" w16cid:durableId="2087996758">
    <w:abstractNumId w:val="0"/>
    <w:lvlOverride w:ilvl="0">
      <w:startOverride w:val="1"/>
    </w:lvlOverride>
  </w:num>
  <w:num w:numId="2" w16cid:durableId="120097217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D1C"/>
    <w:rsid w:val="007E3BAA"/>
    <w:rsid w:val="00832D1C"/>
    <w:rsid w:val="00933873"/>
    <w:rsid w:val="00BE4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93826"/>
  <w15:docId w15:val="{22010C00-B73A-4ED8-8973-2BB098875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urce Sans 3" w:eastAsia="Source Sans 3" w:hAnsi="Source Sans 3" w:cs="Source Sans 3"/>
        <w:color w:val="1A1A1A"/>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1202</Words>
  <Characters>7647</Characters>
  <Application>Microsoft Office Word</Application>
  <DocSecurity>0</DocSecurity>
  <Lines>191</Lines>
  <Paragraphs>119</Paragraphs>
  <ScaleCrop>false</ScaleCrop>
  <Company/>
  <LinksUpToDate>false</LinksUpToDate>
  <CharactersWithSpaces>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David Roberts</cp:lastModifiedBy>
  <cp:revision>2</cp:revision>
  <dcterms:created xsi:type="dcterms:W3CDTF">2026-08-01T18:51:00Z</dcterms:created>
  <dcterms:modified xsi:type="dcterms:W3CDTF">2026-08-01T18:51:00Z</dcterms:modified>
</cp:coreProperties>
</file>