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3360"/>
      </w:tblGrid>
      <w:tr w:rsidR="00E25832" w14:paraId="470BB890" w14:textId="77777777">
        <w:tblPrEx>
          <w:tblCellMar>
            <w:top w:w="0" w:type="dxa"/>
            <w:bottom w:w="0" w:type="dxa"/>
          </w:tblCellMar>
        </w:tblPrEx>
        <w:tc>
          <w:tcPr>
            <w:tcW w:w="3600" w:type="pct"/>
            <w:shd w:val="clear" w:color="auto" w:fill="0F4A9C"/>
            <w:tcMar>
              <w:top w:w="200" w:type="dxa"/>
              <w:left w:w="260" w:type="dxa"/>
              <w:bottom w:w="200" w:type="dxa"/>
              <w:right w:w="160" w:type="dxa"/>
            </w:tcMar>
            <w:vAlign w:val="center"/>
          </w:tcPr>
          <w:p w14:paraId="514BAA2A" w14:textId="77777777" w:rsidR="00E25832" w:rsidRDefault="008D4EBE">
            <w:r>
              <w:rPr>
                <w:b/>
                <w:bCs/>
                <w:color w:val="C2D5F5"/>
                <w:sz w:val="15"/>
                <w:szCs w:val="15"/>
              </w:rPr>
              <w:t>POST-OPERATIVE REHABILITATION PROTOCOL — PEDIATRIC &amp; ADOLESCENT ORTHOPEDICS</w:t>
            </w:r>
          </w:p>
          <w:p w14:paraId="5ECBF961" w14:textId="77777777" w:rsidR="00E25832" w:rsidRDefault="008D4EBE">
            <w:pPr>
              <w:spacing w:before="40"/>
            </w:pPr>
            <w:proofErr w:type="spellStart"/>
            <w:r>
              <w:rPr>
                <w:b/>
                <w:bCs/>
                <w:color w:val="FFFFFF"/>
                <w:sz w:val="40"/>
                <w:szCs w:val="40"/>
              </w:rPr>
              <w:t>Broström</w:t>
            </w:r>
            <w:proofErr w:type="spellEnd"/>
            <w:r>
              <w:rPr>
                <w:b/>
                <w:bCs/>
                <w:color w:val="FFFFFF"/>
                <w:sz w:val="40"/>
                <w:szCs w:val="40"/>
              </w:rPr>
              <w:t xml:space="preserve"> Repair with Internal Brace Augmentation</w:t>
            </w:r>
          </w:p>
          <w:p w14:paraId="522ADC33" w14:textId="77777777" w:rsidR="00E25832" w:rsidRDefault="008D4EBE">
            <w:pPr>
              <w:spacing w:before="30"/>
            </w:pPr>
            <w:r>
              <w:rPr>
                <w:i/>
                <w:iCs/>
                <w:color w:val="C2D5F5"/>
                <w:sz w:val="21"/>
                <w:szCs w:val="21"/>
              </w:rPr>
              <w:t>Lateral Ankle Ligament Reconstruction — Therapist &amp; Patient Guide</w:t>
            </w:r>
          </w:p>
        </w:tc>
        <w:tc>
          <w:tcPr>
            <w:tcW w:w="1400" w:type="pct"/>
            <w:shd w:val="clear" w:color="auto" w:fill="0F4A9C"/>
            <w:tcMar>
              <w:top w:w="100" w:type="dxa"/>
              <w:left w:w="100" w:type="dxa"/>
              <w:bottom w:w="100" w:type="dxa"/>
              <w:right w:w="260" w:type="dxa"/>
            </w:tcMar>
            <w:vAlign w:val="center"/>
          </w:tcPr>
          <w:p w14:paraId="514E61D3" w14:textId="77777777" w:rsidR="00E25832" w:rsidRDefault="008D4EB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5712E39" wp14:editId="32070651">
                  <wp:extent cx="190500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44F25" w14:textId="77777777" w:rsidR="00E25832" w:rsidRDefault="00E25832">
      <w:pPr>
        <w:spacing w:after="120"/>
      </w:pPr>
    </w:p>
    <w:tbl>
      <w:tblPr>
        <w:tblW w:w="5000" w:type="pct"/>
        <w:tblBorders>
          <w:left w:val="single" w:sz="24" w:space="0" w:color="1A63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70"/>
      </w:tblGrid>
      <w:tr w:rsidR="00E25832" w14:paraId="65450F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0F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4B4D0852" w14:textId="77777777" w:rsidR="00E25832" w:rsidRDefault="008D4EBE">
            <w:r>
              <w:rPr>
                <w:b/>
                <w:bCs/>
                <w:color w:val="0F4A9C"/>
                <w:sz w:val="21"/>
                <w:szCs w:val="21"/>
              </w:rPr>
              <w:t>Internal brace advantage: Because the suture-tape augmentation reinforces the repaired ligament, this protocol allows a brief 3–</w:t>
            </w:r>
            <w:proofErr w:type="gramStart"/>
            <w:r>
              <w:rPr>
                <w:b/>
                <w:bCs/>
                <w:color w:val="0F4A9C"/>
                <w:sz w:val="21"/>
                <w:szCs w:val="21"/>
              </w:rPr>
              <w:t>5 day</w:t>
            </w:r>
            <w:proofErr w:type="gramEnd"/>
            <w:r>
              <w:rPr>
                <w:b/>
                <w:bCs/>
                <w:color w:val="0F4A9C"/>
                <w:sz w:val="21"/>
                <w:szCs w:val="21"/>
              </w:rPr>
              <w:t xml:space="preserve"> non-weight-bearing period (rather than a full 2 weeks) before transitioning to protected weight bearing, and an overall fa</w:t>
            </w:r>
            <w:r>
              <w:rPr>
                <w:b/>
                <w:bCs/>
                <w:color w:val="0F4A9C"/>
                <w:sz w:val="21"/>
                <w:szCs w:val="21"/>
              </w:rPr>
              <w:t xml:space="preserve">ster progression than a traditional </w:t>
            </w:r>
            <w:proofErr w:type="spellStart"/>
            <w:r>
              <w:rPr>
                <w:b/>
                <w:bCs/>
                <w:color w:val="0F4A9C"/>
                <w:sz w:val="21"/>
                <w:szCs w:val="21"/>
              </w:rPr>
              <w:t>Broström</w:t>
            </w:r>
            <w:proofErr w:type="spellEnd"/>
            <w:r>
              <w:rPr>
                <w:b/>
                <w:bCs/>
                <w:color w:val="0F4A9C"/>
                <w:sz w:val="21"/>
                <w:szCs w:val="21"/>
              </w:rPr>
              <w:t xml:space="preserve"> repair without internal brace.</w:t>
            </w:r>
          </w:p>
        </w:tc>
      </w:tr>
    </w:tbl>
    <w:p w14:paraId="256BAAB2" w14:textId="77777777" w:rsidR="00E25832" w:rsidRDefault="00E25832">
      <w:pPr>
        <w:spacing w:after="14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0"/>
      </w:tblGrid>
      <w:tr w:rsidR="00E25832" w14:paraId="32558A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5F7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E8039D2" w14:textId="77777777" w:rsidR="00E25832" w:rsidRDefault="008D4EBE">
            <w:r>
              <w:rPr>
                <w:b/>
                <w:bCs/>
                <w:color w:val="0F4A9C"/>
                <w:sz w:val="18"/>
                <w:szCs w:val="18"/>
              </w:rPr>
              <w:t>GENERAL NOTES</w:t>
            </w:r>
          </w:p>
          <w:p w14:paraId="0836E7E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before="80" w:after="40"/>
            </w:pPr>
            <w:r>
              <w:rPr>
                <w:color w:val="4A4A4A"/>
                <w:sz w:val="21"/>
                <w:szCs w:val="21"/>
              </w:rPr>
              <w:t>“Week 0” begins on the day of surgery. Each subsequent week begins on that same day of the week post-operatively.</w:t>
            </w:r>
          </w:p>
          <w:p w14:paraId="3D6AA49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 xml:space="preserve">This protocol is written for an athletic adolescent population. Return to sport (RTS) may be possible as early as </w:t>
            </w:r>
            <w:r>
              <w:rPr>
                <w:b/>
                <w:bCs/>
                <w:color w:val="111111"/>
                <w:sz w:val="21"/>
                <w:szCs w:val="21"/>
              </w:rPr>
              <w:t>8–10 weeks</w:t>
            </w:r>
            <w:r>
              <w:rPr>
                <w:color w:val="4A4A4A"/>
                <w:sz w:val="21"/>
                <w:szCs w:val="21"/>
              </w:rPr>
              <w:t xml:space="preserve"> post-operatively </w:t>
            </w:r>
            <w:r>
              <w:rPr>
                <w:color w:val="4A4A4A"/>
                <w:sz w:val="21"/>
                <w:szCs w:val="21"/>
              </w:rPr>
              <w:t xml:space="preserve">in patients who meet all RTS criteria; the protocol below is detailed through </w:t>
            </w:r>
            <w:r>
              <w:rPr>
                <w:b/>
                <w:bCs/>
                <w:color w:val="111111"/>
                <w:sz w:val="21"/>
                <w:szCs w:val="21"/>
              </w:rPr>
              <w:t>12 weeks</w:t>
            </w:r>
            <w:r>
              <w:rPr>
                <w:color w:val="4A4A4A"/>
                <w:sz w:val="21"/>
                <w:szCs w:val="21"/>
              </w:rPr>
              <w:t xml:space="preserve"> for patients progressing more gradually.</w:t>
            </w:r>
          </w:p>
          <w:p w14:paraId="3F390661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>RTS timing is criterion-based, not purely calendar-based — advancement at every phase should be driven by the patient's pain, sw</w:t>
            </w:r>
            <w:r>
              <w:rPr>
                <w:color w:val="4A4A4A"/>
                <w:sz w:val="21"/>
                <w:szCs w:val="21"/>
              </w:rPr>
              <w:t>elling, wound status, and quality of movement, not the week number alone.</w:t>
            </w:r>
          </w:p>
          <w:p w14:paraId="09B682B2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>Patients with concomitant procedures (peroneal tendon repair, osteotomy, cartilage work), hyperlaxity, obesity, or other risk factors for delayed healing should progress more conserv</w:t>
            </w:r>
            <w:r>
              <w:rPr>
                <w:color w:val="4A4A4A"/>
                <w:sz w:val="21"/>
                <w:szCs w:val="21"/>
              </w:rPr>
              <w:t>atively at the surgeon's discretion.</w:t>
            </w:r>
          </w:p>
          <w:p w14:paraId="39C096C5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>This is a general guide. Dr. Roberts may adjust timing for individual patients based on intraoperative findings, tissue quality, and concomitant procedures — please follow any specific written instructions provided at t</w:t>
            </w:r>
            <w:r>
              <w:rPr>
                <w:color w:val="4A4A4A"/>
                <w:sz w:val="21"/>
                <w:szCs w:val="21"/>
              </w:rPr>
              <w:t>he post-op visit.</w:t>
            </w:r>
          </w:p>
          <w:p w14:paraId="2C64CE92" w14:textId="77777777" w:rsidR="00E25832" w:rsidRDefault="008D4EBE">
            <w:pPr>
              <w:pStyle w:val="ListParagraph"/>
              <w:numPr>
                <w:ilvl w:val="0"/>
                <w:numId w:val="2"/>
              </w:numPr>
            </w:pPr>
            <w:r>
              <w:rPr>
                <w:i/>
                <w:iCs/>
                <w:color w:val="1A63CC"/>
                <w:sz w:val="21"/>
                <w:szCs w:val="21"/>
              </w:rPr>
              <w:t xml:space="preserve">Adapted from a published accelerated rehabilitation protocol specific to </w:t>
            </w:r>
            <w:proofErr w:type="spellStart"/>
            <w:r>
              <w:rPr>
                <w:i/>
                <w:iCs/>
                <w:color w:val="1A63CC"/>
                <w:sz w:val="21"/>
                <w:szCs w:val="21"/>
              </w:rPr>
              <w:t>Broström</w:t>
            </w:r>
            <w:proofErr w:type="spellEnd"/>
            <w:r>
              <w:rPr>
                <w:i/>
                <w:iCs/>
                <w:color w:val="1A63CC"/>
                <w:sz w:val="21"/>
                <w:szCs w:val="21"/>
              </w:rPr>
              <w:t xml:space="preserve"> repair with internal brace augmentation (Hoch et al., Int J Sports Phys </w:t>
            </w:r>
            <w:proofErr w:type="spellStart"/>
            <w:r>
              <w:rPr>
                <w:i/>
                <w:iCs/>
                <w:color w:val="1A63CC"/>
                <w:sz w:val="21"/>
                <w:szCs w:val="21"/>
              </w:rPr>
              <w:t>Ther</w:t>
            </w:r>
            <w:proofErr w:type="spellEnd"/>
            <w:r>
              <w:rPr>
                <w:i/>
                <w:iCs/>
                <w:color w:val="1A63CC"/>
                <w:sz w:val="21"/>
                <w:szCs w:val="21"/>
              </w:rPr>
              <w:t>, 2025), modified for an adolescent population at Dr. Roberts' discretion.</w:t>
            </w:r>
          </w:p>
        </w:tc>
      </w:tr>
    </w:tbl>
    <w:p w14:paraId="169E452E" w14:textId="77777777" w:rsidR="00E25832" w:rsidRDefault="00E25832">
      <w:pPr>
        <w:spacing w:after="200"/>
      </w:pPr>
    </w:p>
    <w:p w14:paraId="7E1D2436" w14:textId="538DCA5F" w:rsidR="008D4EBE" w:rsidRDefault="008D4EBE" w:rsidP="008D4EBE">
      <w:pPr>
        <w:jc w:val="center"/>
      </w:pPr>
      <w:r w:rsidRPr="008D4EBE">
        <w:drawing>
          <wp:inline distT="0" distB="0" distL="0" distR="0" wp14:anchorId="2C79C619" wp14:editId="2AA49552">
            <wp:extent cx="219867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867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7AE7" w14:textId="3965ECAD" w:rsidR="008D4EBE" w:rsidRDefault="008D4EBE">
      <w:r>
        <w:br w:type="page"/>
      </w:r>
    </w:p>
    <w:p w14:paraId="16357833" w14:textId="77777777" w:rsidR="008D4EBE" w:rsidRDefault="008D4EBE" w:rsidP="008D4EBE">
      <w:pPr>
        <w:jc w:val="center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E25832" w14:paraId="745B55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0D0C67C" w14:textId="1CA196A6" w:rsidR="00E25832" w:rsidRDefault="008D4EBE">
            <w:r>
              <w:rPr>
                <w:b/>
                <w:bCs/>
                <w:color w:val="FFFFFF"/>
                <w:sz w:val="22"/>
                <w:szCs w:val="22"/>
              </w:rPr>
              <w:t>Phase I — Immediate Post-Op Protection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Days 0–5)</w:t>
            </w:r>
          </w:p>
        </w:tc>
      </w:tr>
      <w:tr w:rsidR="00E25832" w14:paraId="7539A24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6EED8ECF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WEIGHT BEARING &amp; IMMOBILIZATION</w:t>
            </w:r>
          </w:p>
          <w:p w14:paraId="2A8C88D2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Non-weight bearing in a rigid splint immediately after surgery, using an appropriate assistive device (crutches), for the first 3–5 days.</w:t>
            </w:r>
          </w:p>
          <w:p w14:paraId="6C69B03C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This brief immobilization period protects the incision and allows initial soft-tissue healing to begin before the pati</w:t>
            </w:r>
            <w:r>
              <w:rPr>
                <w:color w:val="4A4A4A"/>
                <w:sz w:val="17"/>
                <w:szCs w:val="17"/>
              </w:rPr>
              <w:t>ent is loaded.</w:t>
            </w:r>
          </w:p>
          <w:p w14:paraId="2D9AE6BC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inversion (turning the sole of the foot inward) is avoided throughout this phase.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2A92745E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GOALS</w:t>
            </w:r>
          </w:p>
          <w:p w14:paraId="4F870B38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Protect the incision and repair; control swelling and pain (rest, ice, compression, elevation as needed).</w:t>
            </w:r>
          </w:p>
          <w:p w14:paraId="0AC651B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Maintain toe and knee motion; avoid prolonged complete immobility of the limb.</w:t>
            </w:r>
          </w:p>
        </w:tc>
      </w:tr>
    </w:tbl>
    <w:p w14:paraId="3F149FD1" w14:textId="24929B0B" w:rsidR="00E25832" w:rsidRDefault="00E25832">
      <w:pPr>
        <w:spacing w:after="160"/>
      </w:pPr>
    </w:p>
    <w:p w14:paraId="2752B5D0" w14:textId="2B15A49C" w:rsidR="008D4EBE" w:rsidRDefault="008D4EBE">
      <w:pPr>
        <w:spacing w:after="160"/>
      </w:pPr>
    </w:p>
    <w:p w14:paraId="7858C96A" w14:textId="77777777" w:rsidR="008D4EBE" w:rsidRDefault="008D4EBE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E25832" w14:paraId="6C538E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543FD27" w14:textId="77777777" w:rsidR="00E25832" w:rsidRDefault="008D4EBE">
            <w:r>
              <w:rPr>
                <w:b/>
                <w:bCs/>
                <w:color w:val="FFFFFF"/>
                <w:sz w:val="22"/>
                <w:szCs w:val="22"/>
              </w:rPr>
              <w:t>Phase II — Transition to Weight Bearing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Days 3–5 to Week 3)</w:t>
            </w:r>
          </w:p>
        </w:tc>
      </w:tr>
      <w:tr w:rsidR="00E25832" w14:paraId="66D7ED7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5C7D23C5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PROGRESSION</w:t>
            </w:r>
          </w:p>
          <w:p w14:paraId="47D22C6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Once the wound is confirmed to be healing without complication (typically days 3–5), the patient transitions out of the splint into a removable walking boot and progresses to full weight bearing as tolerated.</w:t>
            </w:r>
          </w:p>
          <w:p w14:paraId="64FF7F6E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Formal physical therapy is initiated around thi</w:t>
            </w:r>
            <w:r>
              <w:rPr>
                <w:color w:val="4A4A4A"/>
                <w:sz w:val="17"/>
                <w:szCs w:val="17"/>
              </w:rPr>
              <w:t>s time, per Dr. Roberts' order.</w:t>
            </w:r>
          </w:p>
          <w:p w14:paraId="38C8886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inversion remains restricted during this phase to protect the lateral ligament repair.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00250740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EXERCISE OPTIONS (EARLIEST DAY/WEEK NOTED)</w:t>
            </w:r>
          </w:p>
          <w:p w14:paraId="2793C81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range of motion: ankle plantarflexion / dorsiflexion</w:t>
            </w:r>
          </w:p>
          <w:p w14:paraId="6B6FE9C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Towel-assisted calf stretch</w:t>
            </w:r>
          </w:p>
          <w:p w14:paraId="3F68743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Toe curls and intrinsic foot/arch strengthening</w:t>
            </w:r>
          </w:p>
          <w:p w14:paraId="253E9A9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Seated heel raises with light resistance</w:t>
            </w:r>
          </w:p>
          <w:p w14:paraId="6DBCCF45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Stationary bike, boot removed for pedaling (2–3 </w:t>
            </w:r>
            <w:proofErr w:type="spellStart"/>
            <w:r>
              <w:rPr>
                <w:color w:val="4A4A4A"/>
                <w:sz w:val="17"/>
                <w:szCs w:val="17"/>
              </w:rPr>
              <w:t>wk</w:t>
            </w:r>
            <w:proofErr w:type="spellEnd"/>
            <w:r>
              <w:rPr>
                <w:color w:val="4A4A4A"/>
                <w:sz w:val="17"/>
                <w:szCs w:val="17"/>
              </w:rPr>
              <w:t>)</w:t>
            </w:r>
          </w:p>
          <w:p w14:paraId="7F686A0C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Weight-shifting and gentle proprioceptive loading (2–3 </w:t>
            </w:r>
            <w:proofErr w:type="spellStart"/>
            <w:r>
              <w:rPr>
                <w:color w:val="4A4A4A"/>
                <w:sz w:val="17"/>
                <w:szCs w:val="17"/>
              </w:rPr>
              <w:t>wk</w:t>
            </w:r>
            <w:proofErr w:type="spellEnd"/>
            <w:r>
              <w:rPr>
                <w:color w:val="4A4A4A"/>
                <w:sz w:val="17"/>
                <w:szCs w:val="17"/>
              </w:rPr>
              <w:t>)</w:t>
            </w:r>
          </w:p>
          <w:p w14:paraId="63B9426C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Resisted plantarflexion/dorsiflexion with elastic band </w:t>
            </w:r>
            <w:r>
              <w:rPr>
                <w:color w:val="4A4A4A"/>
                <w:sz w:val="17"/>
                <w:szCs w:val="17"/>
              </w:rPr>
              <w:t xml:space="preserve">(2–3 </w:t>
            </w:r>
            <w:proofErr w:type="spellStart"/>
            <w:r>
              <w:rPr>
                <w:color w:val="4A4A4A"/>
                <w:sz w:val="17"/>
                <w:szCs w:val="17"/>
              </w:rPr>
              <w:t>wk</w:t>
            </w:r>
            <w:proofErr w:type="spellEnd"/>
            <w:r>
              <w:rPr>
                <w:color w:val="4A4A4A"/>
                <w:sz w:val="17"/>
                <w:szCs w:val="17"/>
              </w:rPr>
              <w:t>)</w:t>
            </w:r>
          </w:p>
          <w:p w14:paraId="55361102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Active eversion range of motion (2–3 </w:t>
            </w:r>
            <w:proofErr w:type="spellStart"/>
            <w:r>
              <w:rPr>
                <w:color w:val="4A4A4A"/>
                <w:sz w:val="17"/>
                <w:szCs w:val="17"/>
              </w:rPr>
              <w:t>wk</w:t>
            </w:r>
            <w:proofErr w:type="spellEnd"/>
            <w:r>
              <w:rPr>
                <w:color w:val="4A4A4A"/>
                <w:sz w:val="17"/>
                <w:szCs w:val="17"/>
              </w:rPr>
              <w:t>)</w:t>
            </w:r>
          </w:p>
          <w:p w14:paraId="16376986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Core and hip work: bridges, straight-leg raises, quad sets</w:t>
            </w:r>
          </w:p>
        </w:tc>
      </w:tr>
    </w:tbl>
    <w:p w14:paraId="04BD68B1" w14:textId="0133D20F" w:rsidR="00E25832" w:rsidRDefault="00E25832">
      <w:pPr>
        <w:spacing w:after="160"/>
      </w:pPr>
    </w:p>
    <w:p w14:paraId="3C0E4851" w14:textId="0AF90E1E" w:rsidR="008D4EBE" w:rsidRDefault="008D4EBE">
      <w:pPr>
        <w:spacing w:after="160"/>
      </w:pPr>
    </w:p>
    <w:p w14:paraId="0F9F46CE" w14:textId="77777777" w:rsidR="008D4EBE" w:rsidRDefault="008D4EBE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E25832" w14:paraId="6ED55E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165F0D7" w14:textId="77777777" w:rsidR="00E25832" w:rsidRDefault="008D4EBE">
            <w:r>
              <w:rPr>
                <w:b/>
                <w:bCs/>
                <w:color w:val="FFFFFF"/>
                <w:sz w:val="22"/>
                <w:szCs w:val="22"/>
              </w:rPr>
              <w:t>Phase III — Brace Transition &amp; Strengthening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3–6)</w:t>
            </w:r>
          </w:p>
        </w:tc>
      </w:tr>
      <w:tr w:rsidR="00E25832" w14:paraId="1695174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0A8B61D5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PROGRESSION</w:t>
            </w:r>
          </w:p>
          <w:p w14:paraId="2034EEBD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Transition from the walking boot into a lace-up ankle brace (ASO-style) or equivalent supportive brace as early as week 3, dependent on the patient's progress in therapy and wound evaluation, paired with a supportive athletic shoe.</w:t>
            </w:r>
          </w:p>
          <w:p w14:paraId="29B791A4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inversion remains</w:t>
            </w:r>
            <w:r>
              <w:rPr>
                <w:color w:val="4A4A4A"/>
                <w:sz w:val="17"/>
                <w:szCs w:val="17"/>
              </w:rPr>
              <w:t xml:space="preserve"> restricted through the end of this phase — it is not introduced until week 6, to avoid stressing the lateral ankle repair during this critical healing window.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025B1746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EXERCISE OPTIONS (EARLIEST WEEK NOTED)</w:t>
            </w:r>
          </w:p>
          <w:p w14:paraId="7B9891F9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Progress all prior exercises in resistance and range</w:t>
            </w:r>
          </w:p>
          <w:p w14:paraId="2724EA7B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Doub</w:t>
            </w:r>
            <w:r>
              <w:rPr>
                <w:color w:val="4A4A4A"/>
                <w:sz w:val="17"/>
                <w:szCs w:val="17"/>
              </w:rPr>
              <w:t>le-leg squats (bodyweight) (3)</w:t>
            </w:r>
          </w:p>
          <w:p w14:paraId="4E44462D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Standing hip strengthening: 3-way hip and fire hydrants (4)</w:t>
            </w:r>
          </w:p>
          <w:p w14:paraId="2C450FDB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Step-ups, low height (4)</w:t>
            </w:r>
          </w:p>
          <w:p w14:paraId="707E006C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Tandem stance progressing to single-leg stance on stable ground (4–5)</w:t>
            </w:r>
          </w:p>
          <w:p w14:paraId="2CE33475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Gentle isometric inversion/eversion, pain-free only (4–5)</w:t>
            </w:r>
          </w:p>
          <w:p w14:paraId="236044D9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Single-leg s</w:t>
            </w:r>
            <w:r>
              <w:rPr>
                <w:color w:val="4A4A4A"/>
                <w:sz w:val="17"/>
                <w:szCs w:val="17"/>
              </w:rPr>
              <w:t>quats — shallow, progressing toward 90° knee flexion (5)</w:t>
            </w:r>
          </w:p>
          <w:p w14:paraId="3F3DF23A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Standing double-leg heel raises (5), progressing toward eccentric loading (6)</w:t>
            </w:r>
          </w:p>
          <w:p w14:paraId="46827A2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Anti-gravity (body-weight-supported) treadmill walking, where available (5–6)</w:t>
            </w:r>
          </w:p>
        </w:tc>
      </w:tr>
    </w:tbl>
    <w:p w14:paraId="70AA5129" w14:textId="3CA66CA7" w:rsidR="008D4EBE" w:rsidRDefault="008D4EBE">
      <w:pPr>
        <w:spacing w:after="160"/>
      </w:pPr>
    </w:p>
    <w:p w14:paraId="57A308BA" w14:textId="77777777" w:rsidR="008D4EBE" w:rsidRDefault="008D4EBE">
      <w:r>
        <w:br w:type="page"/>
      </w:r>
    </w:p>
    <w:p w14:paraId="6A22305E" w14:textId="77777777" w:rsidR="00E25832" w:rsidRDefault="00E25832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E25832" w14:paraId="677A63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0F87A58" w14:textId="77777777" w:rsidR="00E25832" w:rsidRDefault="008D4EBE">
            <w:r>
              <w:rPr>
                <w:b/>
                <w:bCs/>
                <w:color w:val="FFFFFF"/>
                <w:sz w:val="22"/>
                <w:szCs w:val="22"/>
              </w:rPr>
              <w:t>Phase IV — Inversion Introduction &amp; Advan</w:t>
            </w:r>
            <w:r>
              <w:rPr>
                <w:b/>
                <w:bCs/>
                <w:color w:val="FFFFFF"/>
                <w:sz w:val="22"/>
                <w:szCs w:val="22"/>
              </w:rPr>
              <w:t>ced Strength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6–8)</w:t>
            </w:r>
          </w:p>
        </w:tc>
      </w:tr>
      <w:tr w:rsidR="00E25832" w14:paraId="6F7EA0E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5D5757E7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PROGRESSION</w:t>
            </w:r>
          </w:p>
          <w:p w14:paraId="7AD42197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inversion range of motion and resisted inversion/eversion are introduced at week 6, now that the lateral repair has progressed further in healing.</w:t>
            </w:r>
          </w:p>
          <w:p w14:paraId="3719948B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Lateral and multidirectional loading is added cautiously and progressed based on tolerance.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6B64678B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EXERCISE O</w:t>
            </w:r>
            <w:r>
              <w:rPr>
                <w:b/>
                <w:bCs/>
                <w:color w:val="0F4A9C"/>
                <w:sz w:val="16"/>
                <w:szCs w:val="16"/>
              </w:rPr>
              <w:t>PTIONS (EARLIEST WEEK NOTED)</w:t>
            </w:r>
          </w:p>
          <w:p w14:paraId="05E5318A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Active inversion range of motion (6)</w:t>
            </w:r>
          </w:p>
          <w:p w14:paraId="44AA404B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Resisted inversion/eversion with band (6)</w:t>
            </w:r>
          </w:p>
          <w:p w14:paraId="527149D2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Single-leg heel raises, progressing to full range (6–7)</w:t>
            </w:r>
          </w:p>
          <w:p w14:paraId="5F29EF8E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Lateral stepping against light resistance (6–7)</w:t>
            </w:r>
          </w:p>
          <w:p w14:paraId="66D7F47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Forward and lateral eccentric step-downs (7)</w:t>
            </w:r>
          </w:p>
          <w:p w14:paraId="05CBAB25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Weighted squats, forward and reverse lunges (avoid lateral lunges at this stage) (7)</w:t>
            </w:r>
          </w:p>
          <w:p w14:paraId="71715958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Sled pushes and pulls for lower-extremity strength (7–8)</w:t>
            </w:r>
          </w:p>
          <w:p w14:paraId="247D79E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Dynamic single-leg stance with perturbation; progress to unstable surfaces as tolerated (8)</w:t>
            </w:r>
          </w:p>
          <w:p w14:paraId="7CBB8E20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Light agility and ply</w:t>
            </w:r>
            <w:r>
              <w:rPr>
                <w:color w:val="4A4A4A"/>
                <w:sz w:val="17"/>
                <w:szCs w:val="17"/>
              </w:rPr>
              <w:t>ometric introduction: double-leg snap-downs, line hops or wall taps, skipping, linear ladder drills (8)</w:t>
            </w:r>
          </w:p>
          <w:p w14:paraId="42486CB1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Formal inversion/eversion strength testing (handheld dynamometer or isokinetic device) to track objective recovery (8)</w:t>
            </w:r>
          </w:p>
        </w:tc>
      </w:tr>
    </w:tbl>
    <w:p w14:paraId="67F0DA79" w14:textId="6C6BFF43" w:rsidR="00E25832" w:rsidRDefault="00E25832">
      <w:pPr>
        <w:spacing w:after="160"/>
      </w:pPr>
    </w:p>
    <w:p w14:paraId="062C908C" w14:textId="76B21137" w:rsidR="008D4EBE" w:rsidRDefault="008D4EBE">
      <w:pPr>
        <w:spacing w:after="160"/>
      </w:pPr>
    </w:p>
    <w:p w14:paraId="284B5A53" w14:textId="77777777" w:rsidR="008D4EBE" w:rsidRDefault="008D4EBE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E25832" w14:paraId="226835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DFA324B" w14:textId="77777777" w:rsidR="00E25832" w:rsidRDefault="008D4EBE">
            <w:r>
              <w:rPr>
                <w:b/>
                <w:bCs/>
                <w:color w:val="FFFFFF"/>
                <w:sz w:val="22"/>
                <w:szCs w:val="22"/>
              </w:rPr>
              <w:t>Phase V — Sport-Specific Training &amp; Return to Sport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8–12)</w:t>
            </w:r>
          </w:p>
        </w:tc>
      </w:tr>
      <w:tr w:rsidR="00E25832" w14:paraId="2207A50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12C6EF7D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EXERCISE OPTIONS</w:t>
            </w:r>
          </w:p>
          <w:p w14:paraId="74DE4CB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Agility and change-of-direction drills (e.g., 5-cone drill)</w:t>
            </w:r>
          </w:p>
          <w:p w14:paraId="0F33406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Progressive lateral movement: side shuffling, carioca, lateral ladder drills</w:t>
            </w:r>
          </w:p>
          <w:p w14:paraId="3C39D95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Advanced plyometrics: higher box jumps, single-leg hopping, hurdles</w:t>
            </w:r>
          </w:p>
          <w:p w14:paraId="12532A4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Single-leg plyometric drills with emphasis on controlled, quiet landing mechanics</w:t>
            </w:r>
          </w:p>
          <w:p w14:paraId="1B8AD46B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Sport-specific drills and con</w:t>
            </w:r>
            <w:r>
              <w:rPr>
                <w:color w:val="4A4A4A"/>
                <w:sz w:val="17"/>
                <w:szCs w:val="17"/>
              </w:rPr>
              <w:t>ditioning matched to the patient's position/event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3803DDCB" w14:textId="77777777" w:rsidR="00E25832" w:rsidRDefault="008D4EBE">
            <w:r>
              <w:rPr>
                <w:b/>
                <w:bCs/>
                <w:color w:val="0F4A9C"/>
                <w:sz w:val="16"/>
                <w:szCs w:val="16"/>
              </w:rPr>
              <w:t>RETURN TO SPORT</w:t>
            </w:r>
          </w:p>
          <w:p w14:paraId="0760952F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Patients who meet all RTS criteria (below) may return to sport as early as 8–10 weeks post-operatively.</w:t>
            </w:r>
          </w:p>
          <w:p w14:paraId="1F47D6C9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Patients progressing more gradually continue sport-specific training through week 12, </w:t>
            </w:r>
            <w:r>
              <w:rPr>
                <w:color w:val="4A4A4A"/>
                <w:sz w:val="17"/>
                <w:szCs w:val="17"/>
              </w:rPr>
              <w:t>with criteria-based — not calendar-based — clearance.</w:t>
            </w:r>
          </w:p>
        </w:tc>
      </w:tr>
    </w:tbl>
    <w:p w14:paraId="1A52C660" w14:textId="77777777" w:rsidR="00E25832" w:rsidRDefault="00E25832">
      <w:pPr>
        <w:spacing w:after="16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0"/>
      </w:tblGrid>
      <w:tr w:rsidR="00E25832" w14:paraId="77DABF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0F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49119A1" w14:textId="77777777" w:rsidR="00E25832" w:rsidRDefault="008D4EBE">
            <w:r>
              <w:rPr>
                <w:b/>
                <w:bCs/>
                <w:color w:val="0F4A9C"/>
                <w:sz w:val="18"/>
                <w:szCs w:val="18"/>
              </w:rPr>
              <w:t>RETURN-TO-SPORT CRITERIA</w:t>
            </w:r>
          </w:p>
          <w:p w14:paraId="7D911DA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before="80" w:after="40"/>
            </w:pPr>
            <w:r>
              <w:rPr>
                <w:color w:val="4A4A4A"/>
                <w:sz w:val="21"/>
                <w:szCs w:val="21"/>
              </w:rPr>
              <w:t>No swelling following activity or running</w:t>
            </w:r>
          </w:p>
          <w:p w14:paraId="432AE2A3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>Single-leg stance maintained ≥30 seconds without loss of balance</w:t>
            </w:r>
          </w:p>
          <w:p w14:paraId="5F455AC2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21"/>
                <w:szCs w:val="21"/>
              </w:rPr>
              <w:t>Inversion/eversion strength ≥90% of the uninvolved side</w:t>
            </w:r>
          </w:p>
          <w:p w14:paraId="02B7B2A0" w14:textId="77777777" w:rsidR="00E25832" w:rsidRDefault="008D4EBE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4A4A4A"/>
                <w:sz w:val="21"/>
                <w:szCs w:val="21"/>
              </w:rPr>
              <w:t>25 single-leg heel raises completed without pain</w:t>
            </w:r>
          </w:p>
          <w:p w14:paraId="5C4C580D" w14:textId="77777777" w:rsidR="00E25832" w:rsidRDefault="008D4EBE">
            <w:r>
              <w:rPr>
                <w:i/>
                <w:iCs/>
                <w:color w:val="0F4A9C"/>
                <w:sz w:val="17"/>
                <w:szCs w:val="17"/>
              </w:rPr>
              <w:t>Final clearance for return to sport is determined by Dr. Roberts. Patients who meet all of the above criteria may return as early as 8–10 weeks post-op</w:t>
            </w:r>
            <w:r>
              <w:rPr>
                <w:i/>
                <w:iCs/>
                <w:color w:val="0F4A9C"/>
                <w:sz w:val="17"/>
                <w:szCs w:val="17"/>
              </w:rPr>
              <w:t>eratively; others should continue rehabilitation through 12 weeks before clearance. Clearance is always criteria-based, not based on the calendar date alone.</w:t>
            </w:r>
          </w:p>
        </w:tc>
      </w:tr>
    </w:tbl>
    <w:p w14:paraId="4D6E1DE6" w14:textId="77777777" w:rsidR="00E25832" w:rsidRDefault="00E25832">
      <w:pPr>
        <w:spacing w:after="120"/>
      </w:pPr>
    </w:p>
    <w:tbl>
      <w:tblPr>
        <w:tblW w:w="5000" w:type="pct"/>
        <w:tblBorders>
          <w:top w:val="single" w:sz="6" w:space="0" w:color="F5C2C2"/>
          <w:left w:val="single" w:sz="6" w:space="0" w:color="F5C2C2"/>
          <w:bottom w:val="single" w:sz="6" w:space="0" w:color="F5C2C2"/>
          <w:right w:val="single" w:sz="6" w:space="0" w:color="F5C2C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4"/>
      </w:tblGrid>
      <w:tr w:rsidR="00E25832" w14:paraId="25A335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AE8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147DDB98" w14:textId="77777777" w:rsidR="00E25832" w:rsidRDefault="008D4EBE">
            <w:r>
              <w:rPr>
                <w:b/>
                <w:bCs/>
                <w:color w:val="5A3D00"/>
              </w:rPr>
              <w:t>Contact our office if:</w:t>
            </w:r>
          </w:p>
          <w:p w14:paraId="3B5E244B" w14:textId="77777777" w:rsidR="00E25832" w:rsidRDefault="008D4EBE">
            <w:pPr>
              <w:spacing w:before="40"/>
            </w:pPr>
            <w:r>
              <w:rPr>
                <w:color w:val="5A3D00"/>
              </w:rPr>
              <w:t>there is increasing pain, swelling, redness, or warmth at the incision after the first two weeks; drainage or signs of wound infection develop; numbness or tingling in the foot persists or worsens; the patient is unable to bear weight comfortably in the bo</w:t>
            </w:r>
            <w:r>
              <w:rPr>
                <w:color w:val="5A3D00"/>
              </w:rPr>
              <w:t>ot by the end of week 2; or there is a new sensation of the ankle “giving way” at any point in the protocol.</w:t>
            </w:r>
          </w:p>
        </w:tc>
      </w:tr>
    </w:tbl>
    <w:p w14:paraId="01456AD2" w14:textId="77777777" w:rsidR="00E25832" w:rsidRDefault="00E25832">
      <w:pPr>
        <w:spacing w:after="200"/>
      </w:pPr>
    </w:p>
    <w:p w14:paraId="5F1FB40F" w14:textId="77777777" w:rsidR="00E25832" w:rsidRDefault="008D4EBE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QUICK REFERENCE TIMELINE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9"/>
        <w:gridCol w:w="2857"/>
        <w:gridCol w:w="6264"/>
      </w:tblGrid>
      <w:tr w:rsidR="00E25832" w14:paraId="1776FBF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B7F03" w14:textId="77777777" w:rsidR="00E25832" w:rsidRDefault="008D4EBE">
            <w:r>
              <w:rPr>
                <w:b/>
                <w:bCs/>
                <w:color w:val="FFFFFF"/>
                <w:sz w:val="15"/>
                <w:szCs w:val="15"/>
              </w:rPr>
              <w:t>TIMEFRAME</w:t>
            </w:r>
          </w:p>
        </w:tc>
        <w:tc>
          <w:tcPr>
            <w:tcW w:w="26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47A0C" w14:textId="77777777" w:rsidR="00E25832" w:rsidRDefault="008D4EBE">
            <w:r>
              <w:rPr>
                <w:b/>
                <w:bCs/>
                <w:color w:val="FFFFFF"/>
                <w:sz w:val="15"/>
                <w:szCs w:val="15"/>
              </w:rPr>
              <w:t>WEIGHT BEARING / BRACE</w:t>
            </w:r>
          </w:p>
        </w:tc>
        <w:tc>
          <w:tcPr>
            <w:tcW w:w="57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ADDAC" w14:textId="77777777" w:rsidR="00E25832" w:rsidRDefault="008D4EBE">
            <w:r>
              <w:rPr>
                <w:b/>
                <w:bCs/>
                <w:color w:val="FFFFFF"/>
                <w:sz w:val="15"/>
                <w:szCs w:val="15"/>
              </w:rPr>
              <w:t>KEY MILESTONE</w:t>
            </w:r>
          </w:p>
        </w:tc>
      </w:tr>
      <w:tr w:rsidR="00E25832" w14:paraId="2E9AAB58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DA69F" w14:textId="77777777" w:rsidR="00E25832" w:rsidRDefault="008D4EBE">
            <w:r>
              <w:rPr>
                <w:b/>
                <w:bCs/>
                <w:color w:val="1A63CC"/>
                <w:sz w:val="15"/>
                <w:szCs w:val="15"/>
              </w:rPr>
              <w:t>Days 0–5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DE04D2" w14:textId="77777777" w:rsidR="00E25832" w:rsidRDefault="008D4EBE">
            <w:r>
              <w:rPr>
                <w:color w:val="4A4A4A"/>
                <w:sz w:val="15"/>
                <w:szCs w:val="15"/>
              </w:rPr>
              <w:t>Non-weight bearing, splint</w:t>
            </w:r>
          </w:p>
        </w:tc>
        <w:tc>
          <w:tcPr>
            <w:tcW w:w="5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6BA4B6" w14:textId="77777777" w:rsidR="00E25832" w:rsidRDefault="008D4EBE">
            <w:r>
              <w:rPr>
                <w:color w:val="4A4A4A"/>
                <w:sz w:val="15"/>
                <w:szCs w:val="15"/>
              </w:rPr>
              <w:t>Protect incision; control swelling/pain. No active inversion.</w:t>
            </w:r>
          </w:p>
        </w:tc>
      </w:tr>
      <w:tr w:rsidR="00E25832" w14:paraId="566F1B6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C158C" w14:textId="77777777" w:rsidR="00E25832" w:rsidRDefault="008D4EBE">
            <w:r>
              <w:rPr>
                <w:b/>
                <w:bCs/>
                <w:color w:val="1A63CC"/>
                <w:sz w:val="15"/>
                <w:szCs w:val="15"/>
              </w:rPr>
              <w:t xml:space="preserve">Days 3–5 to </w:t>
            </w:r>
            <w:proofErr w:type="spellStart"/>
            <w:r>
              <w:rPr>
                <w:b/>
                <w:bCs/>
                <w:color w:val="1A63CC"/>
                <w:sz w:val="15"/>
                <w:szCs w:val="15"/>
              </w:rPr>
              <w:t>Wk</w:t>
            </w:r>
            <w:proofErr w:type="spellEnd"/>
            <w:r>
              <w:rPr>
                <w:b/>
                <w:bCs/>
                <w:color w:val="1A63CC"/>
                <w:sz w:val="15"/>
                <w:szCs w:val="15"/>
              </w:rPr>
              <w:t xml:space="preserve"> 3</w:t>
            </w:r>
          </w:p>
        </w:tc>
        <w:tc>
          <w:tcPr>
            <w:tcW w:w="26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3A01C" w14:textId="77777777" w:rsidR="00E25832" w:rsidRDefault="008D4EBE">
            <w:r>
              <w:rPr>
                <w:color w:val="4A4A4A"/>
                <w:sz w:val="15"/>
                <w:szCs w:val="15"/>
              </w:rPr>
              <w:t>WBAT in walking boot</w:t>
            </w:r>
          </w:p>
        </w:tc>
        <w:tc>
          <w:tcPr>
            <w:tcW w:w="57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21C94" w14:textId="77777777" w:rsidR="00E25832" w:rsidRDefault="008D4EBE">
            <w:r>
              <w:rPr>
                <w:color w:val="4A4A4A"/>
                <w:sz w:val="15"/>
                <w:szCs w:val="15"/>
              </w:rPr>
              <w:t>PT initiated. Still no active inversion.</w:t>
            </w:r>
          </w:p>
        </w:tc>
      </w:tr>
      <w:tr w:rsidR="00E25832" w14:paraId="5AD6D0C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B1CC0" w14:textId="77777777" w:rsidR="00E25832" w:rsidRDefault="008D4EBE">
            <w:r>
              <w:rPr>
                <w:b/>
                <w:bCs/>
                <w:color w:val="1A63CC"/>
                <w:sz w:val="15"/>
                <w:szCs w:val="15"/>
              </w:rPr>
              <w:t>Weeks 3–6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AE5E4" w14:textId="77777777" w:rsidR="00E25832" w:rsidRDefault="008D4EBE">
            <w:r>
              <w:rPr>
                <w:color w:val="4A4A4A"/>
                <w:sz w:val="15"/>
                <w:szCs w:val="15"/>
              </w:rPr>
              <w:t>Transition to ASO/lace-up brace</w:t>
            </w:r>
          </w:p>
        </w:tc>
        <w:tc>
          <w:tcPr>
            <w:tcW w:w="5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2244A" w14:textId="77777777" w:rsidR="00E25832" w:rsidRDefault="008D4EBE">
            <w:r>
              <w:rPr>
                <w:color w:val="4A4A4A"/>
                <w:sz w:val="15"/>
                <w:szCs w:val="15"/>
              </w:rPr>
              <w:t xml:space="preserve">Strengthening progresses. Inversion remains restricted until </w:t>
            </w:r>
            <w:proofErr w:type="spellStart"/>
            <w:r>
              <w:rPr>
                <w:color w:val="4A4A4A"/>
                <w:sz w:val="15"/>
                <w:szCs w:val="15"/>
              </w:rPr>
              <w:t>wk</w:t>
            </w:r>
            <w:proofErr w:type="spellEnd"/>
            <w:r>
              <w:rPr>
                <w:color w:val="4A4A4A"/>
                <w:sz w:val="15"/>
                <w:szCs w:val="15"/>
              </w:rPr>
              <w:t xml:space="preserve"> 6.</w:t>
            </w:r>
          </w:p>
        </w:tc>
      </w:tr>
      <w:tr w:rsidR="00E25832" w14:paraId="26FE9605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4F880" w14:textId="77777777" w:rsidR="00E25832" w:rsidRDefault="008D4EBE">
            <w:r>
              <w:rPr>
                <w:b/>
                <w:bCs/>
                <w:color w:val="1A63CC"/>
                <w:sz w:val="15"/>
                <w:szCs w:val="15"/>
              </w:rPr>
              <w:t>Weeks 6–8</w:t>
            </w:r>
          </w:p>
        </w:tc>
        <w:tc>
          <w:tcPr>
            <w:tcW w:w="26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E30E7" w14:textId="77777777" w:rsidR="00E25832" w:rsidRDefault="008D4EBE">
            <w:r>
              <w:rPr>
                <w:color w:val="4A4A4A"/>
                <w:sz w:val="15"/>
                <w:szCs w:val="15"/>
              </w:rPr>
              <w:t>Brace for sport/activity</w:t>
            </w:r>
          </w:p>
        </w:tc>
        <w:tc>
          <w:tcPr>
            <w:tcW w:w="57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6BEB2" w14:textId="77777777" w:rsidR="00E25832" w:rsidRDefault="008D4EBE">
            <w:r>
              <w:rPr>
                <w:color w:val="4A4A4A"/>
                <w:sz w:val="15"/>
                <w:szCs w:val="15"/>
              </w:rPr>
              <w:t>Active inversion introduced. Light agility &amp; plyometrics begin.</w:t>
            </w:r>
          </w:p>
        </w:tc>
      </w:tr>
      <w:tr w:rsidR="00E25832" w14:paraId="1317C2F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E121D" w14:textId="77777777" w:rsidR="00E25832" w:rsidRDefault="008D4EBE">
            <w:r>
              <w:rPr>
                <w:b/>
                <w:bCs/>
                <w:color w:val="1A63CC"/>
                <w:sz w:val="15"/>
                <w:szCs w:val="15"/>
              </w:rPr>
              <w:t>Weeks 8–12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9A345" w14:textId="77777777" w:rsidR="00E25832" w:rsidRDefault="008D4EBE">
            <w:r>
              <w:rPr>
                <w:color w:val="4A4A4A"/>
                <w:sz w:val="15"/>
                <w:szCs w:val="15"/>
              </w:rPr>
              <w:t>Brace per surgeon/PT preference</w:t>
            </w:r>
          </w:p>
        </w:tc>
        <w:tc>
          <w:tcPr>
            <w:tcW w:w="5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98BDE" w14:textId="77777777" w:rsidR="00E25832" w:rsidRDefault="008D4EBE">
            <w:r>
              <w:rPr>
                <w:color w:val="4A4A4A"/>
                <w:sz w:val="15"/>
                <w:szCs w:val="15"/>
              </w:rPr>
              <w:t xml:space="preserve">Sport-specific training. RTS as early as 8–10 </w:t>
            </w:r>
            <w:proofErr w:type="spellStart"/>
            <w:r>
              <w:rPr>
                <w:color w:val="4A4A4A"/>
                <w:sz w:val="15"/>
                <w:szCs w:val="15"/>
              </w:rPr>
              <w:t>wks</w:t>
            </w:r>
            <w:proofErr w:type="spellEnd"/>
            <w:r>
              <w:rPr>
                <w:color w:val="4A4A4A"/>
                <w:sz w:val="15"/>
                <w:szCs w:val="15"/>
              </w:rPr>
              <w:t xml:space="preserve"> if criteria met; criteria-based clearance through </w:t>
            </w:r>
            <w:proofErr w:type="spellStart"/>
            <w:r>
              <w:rPr>
                <w:color w:val="4A4A4A"/>
                <w:sz w:val="15"/>
                <w:szCs w:val="15"/>
              </w:rPr>
              <w:t>wk</w:t>
            </w:r>
            <w:proofErr w:type="spellEnd"/>
            <w:r>
              <w:rPr>
                <w:color w:val="4A4A4A"/>
                <w:sz w:val="15"/>
                <w:szCs w:val="15"/>
              </w:rPr>
              <w:t xml:space="preserve"> 12.</w:t>
            </w:r>
          </w:p>
        </w:tc>
      </w:tr>
    </w:tbl>
    <w:p w14:paraId="119ED57F" w14:textId="77777777" w:rsidR="00000000" w:rsidRDefault="008D4EBE"/>
    <w:sectPr w:rsidR="00000000">
      <w:footerReference w:type="default" r:id="rId9"/>
      <w:pgSz w:w="12240" w:h="15840"/>
      <w:pgMar w:top="620" w:right="620" w:bottom="620" w:left="6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C7E1" w14:textId="77777777" w:rsidR="00000000" w:rsidRDefault="008D4EBE">
      <w:r>
        <w:separator/>
      </w:r>
    </w:p>
  </w:endnote>
  <w:endnote w:type="continuationSeparator" w:id="0">
    <w:p w14:paraId="2D2E2DA7" w14:textId="77777777" w:rsidR="00000000" w:rsidRDefault="008D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600"/>
      <w:gridCol w:w="4400"/>
    </w:tblGrid>
    <w:tr w:rsidR="00E25832" w14:paraId="66A9C503" w14:textId="77777777">
      <w:tblPrEx>
        <w:tblCellMar>
          <w:top w:w="0" w:type="dxa"/>
          <w:bottom w:w="0" w:type="dxa"/>
        </w:tblCellMar>
      </w:tblPrEx>
      <w:tc>
        <w:tcPr>
          <w:tcW w:w="3000" w:type="pct"/>
          <w:shd w:val="clear" w:color="auto" w:fill="0F4A9C"/>
          <w:tcMar>
            <w:top w:w="140" w:type="dxa"/>
            <w:left w:w="260" w:type="dxa"/>
            <w:bottom w:w="140" w:type="dxa"/>
            <w:right w:w="120" w:type="dxa"/>
          </w:tcMar>
          <w:vAlign w:val="center"/>
        </w:tcPr>
        <w:p w14:paraId="3A8BC2AD" w14:textId="77777777" w:rsidR="00E25832" w:rsidRDefault="008D4EBE">
          <w:r>
            <w:rPr>
              <w:b/>
              <w:bCs/>
              <w:color w:val="FFFFFF"/>
              <w:sz w:val="22"/>
              <w:szCs w:val="22"/>
            </w:rPr>
            <w:t>David Roberts, MD FAAOS</w:t>
          </w:r>
        </w:p>
        <w:p w14:paraId="1EB8329A" w14:textId="77777777" w:rsidR="00E25832" w:rsidRDefault="008D4EBE">
          <w:r>
            <w:rPr>
              <w:color w:val="C2D5F5"/>
              <w:sz w:val="17"/>
              <w:szCs w:val="17"/>
            </w:rPr>
            <w:t>Pediatric Orthopedic Surgery</w:t>
          </w:r>
        </w:p>
        <w:p w14:paraId="1B7A09ED" w14:textId="77777777" w:rsidR="00E25832" w:rsidRDefault="008D4EBE">
          <w:r>
            <w:rPr>
              <w:color w:val="C2D5F5"/>
              <w:sz w:val="17"/>
              <w:szCs w:val="17"/>
            </w:rPr>
            <w:t xml:space="preserve">9650 Gross Point Road, Suite </w:t>
          </w:r>
          <w:proofErr w:type="gramStart"/>
          <w:r>
            <w:rPr>
              <w:color w:val="C2D5F5"/>
              <w:sz w:val="17"/>
              <w:szCs w:val="17"/>
            </w:rPr>
            <w:t>2900  |</w:t>
          </w:r>
          <w:proofErr w:type="gramEnd"/>
          <w:r>
            <w:rPr>
              <w:color w:val="C2D5F5"/>
              <w:sz w:val="17"/>
              <w:szCs w:val="17"/>
            </w:rPr>
            <w:t xml:space="preserve">  Skokie, IL</w:t>
          </w:r>
        </w:p>
        <w:p w14:paraId="33DB839E" w14:textId="77777777" w:rsidR="00E25832" w:rsidRDefault="008D4EBE">
          <w:r>
            <w:rPr>
              <w:color w:val="C2D5F5"/>
              <w:sz w:val="17"/>
              <w:szCs w:val="17"/>
            </w:rPr>
            <w:t>(847) 866-7846</w:t>
          </w:r>
        </w:p>
      </w:tc>
      <w:tc>
        <w:tcPr>
          <w:tcW w:w="2000" w:type="pct"/>
          <w:shd w:val="clear" w:color="auto" w:fill="0F4A9C"/>
          <w:tcMar>
            <w:top w:w="140" w:type="dxa"/>
            <w:left w:w="120" w:type="dxa"/>
            <w:bottom w:w="140" w:type="dxa"/>
            <w:right w:w="260" w:type="dxa"/>
          </w:tcMar>
          <w:vAlign w:val="center"/>
        </w:tcPr>
        <w:p w14:paraId="075518EC" w14:textId="77777777" w:rsidR="00E25832" w:rsidRDefault="008D4EBE">
          <w:pPr>
            <w:jc w:val="right"/>
          </w:pPr>
          <w:r>
            <w:rPr>
              <w:i/>
              <w:iCs/>
              <w:color w:val="C2D5F5"/>
              <w:sz w:val="15"/>
              <w:szCs w:val="15"/>
            </w:rPr>
            <w:t>This document is for educational purposes only and does not replace individualized medical advice.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2173" w14:textId="77777777" w:rsidR="00000000" w:rsidRDefault="008D4EBE">
      <w:r>
        <w:separator/>
      </w:r>
    </w:p>
  </w:footnote>
  <w:footnote w:type="continuationSeparator" w:id="0">
    <w:p w14:paraId="53F58996" w14:textId="77777777" w:rsidR="00000000" w:rsidRDefault="008D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A92"/>
    <w:multiLevelType w:val="hybridMultilevel"/>
    <w:tmpl w:val="50AE9978"/>
    <w:lvl w:ilvl="0" w:tplc="2AC06CEA">
      <w:start w:val="1"/>
      <w:numFmt w:val="bullet"/>
      <w:lvlText w:val="●"/>
      <w:lvlJc w:val="left"/>
      <w:pPr>
        <w:ind w:left="720" w:hanging="360"/>
      </w:pPr>
    </w:lvl>
    <w:lvl w:ilvl="1" w:tplc="CE728CB4">
      <w:start w:val="1"/>
      <w:numFmt w:val="bullet"/>
      <w:lvlText w:val="○"/>
      <w:lvlJc w:val="left"/>
      <w:pPr>
        <w:ind w:left="1440" w:hanging="360"/>
      </w:pPr>
    </w:lvl>
    <w:lvl w:ilvl="2" w:tplc="7918197A">
      <w:start w:val="1"/>
      <w:numFmt w:val="bullet"/>
      <w:lvlText w:val="■"/>
      <w:lvlJc w:val="left"/>
      <w:pPr>
        <w:ind w:left="2160" w:hanging="360"/>
      </w:pPr>
    </w:lvl>
    <w:lvl w:ilvl="3" w:tplc="B5C27530">
      <w:start w:val="1"/>
      <w:numFmt w:val="bullet"/>
      <w:lvlText w:val="●"/>
      <w:lvlJc w:val="left"/>
      <w:pPr>
        <w:ind w:left="2880" w:hanging="360"/>
      </w:pPr>
    </w:lvl>
    <w:lvl w:ilvl="4" w:tplc="30DCB150">
      <w:start w:val="1"/>
      <w:numFmt w:val="bullet"/>
      <w:lvlText w:val="○"/>
      <w:lvlJc w:val="left"/>
      <w:pPr>
        <w:ind w:left="3600" w:hanging="360"/>
      </w:pPr>
    </w:lvl>
    <w:lvl w:ilvl="5" w:tplc="C4743CF2">
      <w:start w:val="1"/>
      <w:numFmt w:val="bullet"/>
      <w:lvlText w:val="■"/>
      <w:lvlJc w:val="left"/>
      <w:pPr>
        <w:ind w:left="4320" w:hanging="360"/>
      </w:pPr>
    </w:lvl>
    <w:lvl w:ilvl="6" w:tplc="9E6C1B2C">
      <w:start w:val="1"/>
      <w:numFmt w:val="bullet"/>
      <w:lvlText w:val="●"/>
      <w:lvlJc w:val="left"/>
      <w:pPr>
        <w:ind w:left="5040" w:hanging="360"/>
      </w:pPr>
    </w:lvl>
    <w:lvl w:ilvl="7" w:tplc="ACBAC696">
      <w:start w:val="1"/>
      <w:numFmt w:val="bullet"/>
      <w:lvlText w:val="●"/>
      <w:lvlJc w:val="left"/>
      <w:pPr>
        <w:ind w:left="5760" w:hanging="360"/>
      </w:pPr>
    </w:lvl>
    <w:lvl w:ilvl="8" w:tplc="101ED3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7D360F9"/>
    <w:multiLevelType w:val="hybridMultilevel"/>
    <w:tmpl w:val="DCA433C2"/>
    <w:lvl w:ilvl="0" w:tplc="F296EE0C">
      <w:start w:val="1"/>
      <w:numFmt w:val="bullet"/>
      <w:lvlText w:val="▸"/>
      <w:lvlJc w:val="left"/>
      <w:pPr>
        <w:ind w:left="360" w:hanging="260"/>
      </w:pPr>
      <w:rPr>
        <w:color w:val="1A63CC"/>
      </w:rPr>
    </w:lvl>
    <w:lvl w:ilvl="1" w:tplc="C90C482E">
      <w:numFmt w:val="decimal"/>
      <w:lvlText w:val=""/>
      <w:lvlJc w:val="left"/>
    </w:lvl>
    <w:lvl w:ilvl="2" w:tplc="6A5CD438">
      <w:numFmt w:val="decimal"/>
      <w:lvlText w:val=""/>
      <w:lvlJc w:val="left"/>
    </w:lvl>
    <w:lvl w:ilvl="3" w:tplc="E2A8FD14">
      <w:numFmt w:val="decimal"/>
      <w:lvlText w:val=""/>
      <w:lvlJc w:val="left"/>
    </w:lvl>
    <w:lvl w:ilvl="4" w:tplc="B3881BBA">
      <w:numFmt w:val="decimal"/>
      <w:lvlText w:val=""/>
      <w:lvlJc w:val="left"/>
    </w:lvl>
    <w:lvl w:ilvl="5" w:tplc="273CA110">
      <w:numFmt w:val="decimal"/>
      <w:lvlText w:val=""/>
      <w:lvlJc w:val="left"/>
    </w:lvl>
    <w:lvl w:ilvl="6" w:tplc="7A4AD610">
      <w:numFmt w:val="decimal"/>
      <w:lvlText w:val=""/>
      <w:lvlJc w:val="left"/>
    </w:lvl>
    <w:lvl w:ilvl="7" w:tplc="A2449E42">
      <w:numFmt w:val="decimal"/>
      <w:lvlText w:val=""/>
      <w:lvlJc w:val="left"/>
    </w:lvl>
    <w:lvl w:ilvl="8" w:tplc="DBA267C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32"/>
    <w:rsid w:val="008D4EBE"/>
    <w:rsid w:val="00E2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7311F"/>
  <w15:docId w15:val="{46A05828-20F1-46EC-B8E8-39F83EA2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6654</Characters>
  <Application>Microsoft Office Word</Application>
  <DocSecurity>0</DocSecurity>
  <Lines>55</Lines>
  <Paragraphs>15</Paragraphs>
  <ScaleCrop>false</ScaleCrop>
  <Company>NorthShore University HealthSystem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Roberts, David</cp:lastModifiedBy>
  <cp:revision>2</cp:revision>
  <dcterms:created xsi:type="dcterms:W3CDTF">2026-07-02T20:46:00Z</dcterms:created>
  <dcterms:modified xsi:type="dcterms:W3CDTF">2026-07-02T21:26:00Z</dcterms:modified>
</cp:coreProperties>
</file>