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40"/>
        <w:gridCol w:w="3360"/>
      </w:tblGrid>
      <w:tr w:rsidR="00897B7A" w14:paraId="248FE07B" w14:textId="77777777">
        <w:tblPrEx>
          <w:tblCellMar>
            <w:top w:w="0" w:type="dxa"/>
            <w:bottom w:w="0" w:type="dxa"/>
          </w:tblCellMar>
        </w:tblPrEx>
        <w:tc>
          <w:tcPr>
            <w:tcW w:w="3600" w:type="pct"/>
            <w:shd w:val="clear" w:color="auto" w:fill="0F4A9C"/>
            <w:tcMar>
              <w:top w:w="200" w:type="dxa"/>
              <w:left w:w="260" w:type="dxa"/>
              <w:bottom w:w="200" w:type="dxa"/>
              <w:right w:w="160" w:type="dxa"/>
            </w:tcMar>
            <w:vAlign w:val="center"/>
          </w:tcPr>
          <w:p w14:paraId="12554764" w14:textId="77777777" w:rsidR="00897B7A" w:rsidRDefault="00CF6360">
            <w:r>
              <w:rPr>
                <w:b/>
                <w:bCs/>
                <w:color w:val="C2D5F5"/>
                <w:sz w:val="15"/>
                <w:szCs w:val="15"/>
              </w:rPr>
              <w:t>REHABILITATION PROTOCOL — PEDIATRIC ORTHOPEDICS</w:t>
            </w:r>
          </w:p>
          <w:p w14:paraId="6CA07A6D" w14:textId="77777777" w:rsidR="00897B7A" w:rsidRDefault="00CF6360">
            <w:pPr>
              <w:spacing w:before="40"/>
            </w:pPr>
            <w:r>
              <w:rPr>
                <w:b/>
                <w:bCs/>
                <w:color w:val="FFFFFF"/>
                <w:sz w:val="40"/>
                <w:szCs w:val="40"/>
              </w:rPr>
              <w:t>Discoid Meniscus: Saucerization ± Repair</w:t>
            </w:r>
          </w:p>
          <w:p w14:paraId="6385A327" w14:textId="77777777" w:rsidR="00897B7A" w:rsidRDefault="00CF6360">
            <w:pPr>
              <w:spacing w:before="30"/>
            </w:pPr>
            <w:r>
              <w:rPr>
                <w:i/>
                <w:iCs/>
                <w:color w:val="C2D5F5"/>
                <w:sz w:val="21"/>
                <w:szCs w:val="21"/>
              </w:rPr>
              <w:t xml:space="preserve">Post-Operative Rehabilitation </w:t>
            </w:r>
            <w:proofErr w:type="gramStart"/>
            <w:r>
              <w:rPr>
                <w:i/>
                <w:iCs/>
                <w:color w:val="C2D5F5"/>
                <w:sz w:val="21"/>
                <w:szCs w:val="21"/>
              </w:rPr>
              <w:t>Protocol  |</w:t>
            </w:r>
            <w:proofErr w:type="gramEnd"/>
            <w:r>
              <w:rPr>
                <w:i/>
                <w:iCs/>
                <w:color w:val="C2D5F5"/>
                <w:sz w:val="21"/>
                <w:szCs w:val="21"/>
              </w:rPr>
              <w:t xml:space="preserve">  PT / Home Program</w:t>
            </w:r>
          </w:p>
        </w:tc>
        <w:tc>
          <w:tcPr>
            <w:tcW w:w="1400" w:type="pct"/>
            <w:shd w:val="clear" w:color="auto" w:fill="0F4A9C"/>
            <w:tcMar>
              <w:top w:w="100" w:type="dxa"/>
              <w:left w:w="100" w:type="dxa"/>
              <w:bottom w:w="100" w:type="dxa"/>
              <w:right w:w="260" w:type="dxa"/>
            </w:tcMar>
            <w:vAlign w:val="center"/>
          </w:tcPr>
          <w:p w14:paraId="18D0FD3E" w14:textId="77777777" w:rsidR="00897B7A" w:rsidRDefault="00CF636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EFD1332" wp14:editId="6DD61A83">
                  <wp:extent cx="1905000" cy="400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A3A7EC" w14:textId="77777777" w:rsidR="00897B7A" w:rsidRDefault="00897B7A">
      <w:pPr>
        <w:spacing w:after="120"/>
      </w:pPr>
    </w:p>
    <w:tbl>
      <w:tblPr>
        <w:tblW w:w="5000" w:type="pct"/>
        <w:tblBorders>
          <w:left w:val="single" w:sz="24" w:space="0" w:color="1A63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70"/>
      </w:tblGrid>
      <w:tr w:rsidR="00897B7A" w14:paraId="3F857C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0FC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276DEF63" w14:textId="77777777" w:rsidR="00897B7A" w:rsidRDefault="00CF6360">
            <w:r>
              <w:rPr>
                <w:b/>
                <w:bCs/>
                <w:color w:val="0F4A9C"/>
                <w:sz w:val="21"/>
                <w:szCs w:val="21"/>
              </w:rPr>
              <w:t>This is a general guideline for arthroscopic saucerization of a symptomatic discoid lateral meniscus, with or without peripheral rim repair. Progression is criteria-based, not strictly time-based. Individualize as needed based on intra-operative findings.</w:t>
            </w:r>
          </w:p>
        </w:tc>
      </w:tr>
    </w:tbl>
    <w:p w14:paraId="7F17B497" w14:textId="77777777" w:rsidR="00897B7A" w:rsidRDefault="00897B7A">
      <w:pPr>
        <w:spacing w:after="160"/>
      </w:pPr>
    </w:p>
    <w:p w14:paraId="4B781325" w14:textId="77777777" w:rsidR="00897B7A" w:rsidRDefault="00CF636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t>OVERVIEW &amp; SURGICAL DESCRIPTION</w:t>
      </w:r>
    </w:p>
    <w:p w14:paraId="588349E2" w14:textId="77777777" w:rsidR="00897B7A" w:rsidRDefault="00CF6360">
      <w:pPr>
        <w:spacing w:after="120"/>
      </w:pPr>
      <w:r>
        <w:rPr>
          <w:color w:val="4A4A4A"/>
          <w:sz w:val="21"/>
          <w:szCs w:val="21"/>
        </w:rPr>
        <w:t xml:space="preserve">A discoid meniscus is a congenital variant in which the meniscus — most commonly the lateral meniscus — is thicker and disc-shaped rather than the normal thin, crescent ("C"-shaped) form. Because of its abnormal shape and </w:t>
      </w:r>
      <w:r>
        <w:rPr>
          <w:color w:val="4A4A4A"/>
          <w:sz w:val="21"/>
          <w:szCs w:val="21"/>
        </w:rPr>
        <w:t>often deficient peripheral attachments, a discoid meniscus is more prone to tearing and to instability (excessive rim mobility), which can cause pain, mechanical symptoms, and swelling.</w:t>
      </w:r>
    </w:p>
    <w:p w14:paraId="3FB63BF8" w14:textId="62901C5D" w:rsidR="00897B7A" w:rsidRDefault="00CF6360">
      <w:pPr>
        <w:spacing w:after="120"/>
        <w:rPr>
          <w:color w:val="4A4A4A"/>
          <w:sz w:val="21"/>
          <w:szCs w:val="21"/>
        </w:rPr>
      </w:pPr>
      <w:r>
        <w:rPr>
          <w:color w:val="4A4A4A"/>
          <w:sz w:val="21"/>
          <w:szCs w:val="21"/>
        </w:rPr>
        <w:t>Surgical treatment is arthroscopic saucerization — contouring the abno</w:t>
      </w:r>
      <w:r>
        <w:rPr>
          <w:color w:val="4A4A4A"/>
          <w:sz w:val="21"/>
          <w:szCs w:val="21"/>
        </w:rPr>
        <w:t>rmal disc-shaped meniscus down to a stable, normal C-shape while preserving as much healthy peripheral rim as possible. If the peripheral rim is unstable or torn, a meniscal repair (suture fixation of the rim to the capsule) is performed at the same settin</w:t>
      </w:r>
      <w:r>
        <w:rPr>
          <w:color w:val="4A4A4A"/>
          <w:sz w:val="21"/>
          <w:szCs w:val="21"/>
        </w:rPr>
        <w:t>g to restore stability.</w:t>
      </w:r>
    </w:p>
    <w:p w14:paraId="4D9D1492" w14:textId="6FE1FB3C" w:rsidR="00523115" w:rsidRDefault="00523115">
      <w:pPr>
        <w:spacing w:after="120"/>
        <w:rPr>
          <w:color w:val="4A4A4A"/>
          <w:sz w:val="21"/>
          <w:szCs w:val="21"/>
        </w:rPr>
      </w:pPr>
    </w:p>
    <w:p w14:paraId="71615C57" w14:textId="4B702DF9" w:rsidR="00523115" w:rsidRDefault="00523115">
      <w:pPr>
        <w:spacing w:after="120"/>
        <w:rPr>
          <w:color w:val="4A4A4A"/>
          <w:sz w:val="21"/>
          <w:szCs w:val="21"/>
        </w:rPr>
      </w:pPr>
      <w:r w:rsidRPr="00523115">
        <w:rPr>
          <w:noProof/>
          <w:color w:val="4A4A4A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1A16893" wp14:editId="6AED49F7">
                <wp:simplePos x="0" y="0"/>
                <wp:positionH relativeFrom="column">
                  <wp:posOffset>3276600</wp:posOffset>
                </wp:positionH>
                <wp:positionV relativeFrom="paragraph">
                  <wp:posOffset>10160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59032" w14:textId="09E70195" w:rsidR="00523115" w:rsidRPr="00523115" w:rsidRDefault="00523115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523115">
                              <w:rPr>
                                <w:b/>
                                <w:bCs/>
                                <w:u w:val="single"/>
                              </w:rPr>
                              <w:t>Meniscus Anatomy – Normal vs. Discoid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A168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8pt;margin-top:.8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">
                <v:textbox style="mso-fit-shape-to-text:t">
                  <w:txbxContent>
                    <w:p w14:paraId="77A59032" w14:textId="09E70195" w:rsidR="00523115" w:rsidRPr="00523115" w:rsidRDefault="00523115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523115">
                        <w:rPr>
                          <w:b/>
                          <w:bCs/>
                          <w:u w:val="single"/>
                        </w:rPr>
                        <w:t>Meniscus Anatomy – Normal vs. Discoid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2D1660C" wp14:editId="1CA95147">
            <wp:simplePos x="0" y="0"/>
            <wp:positionH relativeFrom="margin">
              <wp:posOffset>2806065</wp:posOffset>
            </wp:positionH>
            <wp:positionV relativeFrom="paragraph">
              <wp:posOffset>297180</wp:posOffset>
            </wp:positionV>
            <wp:extent cx="4020185" cy="1174115"/>
            <wp:effectExtent l="0" t="0" r="0" b="6985"/>
            <wp:wrapTopAndBottom/>
            <wp:docPr id="3" name="Picture 3" descr=" incomplete and complete discoid menis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incomplete and complete discoid menisc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8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3115">
        <w:drawing>
          <wp:anchor distT="0" distB="0" distL="114300" distR="114300" simplePos="0" relativeHeight="251659264" behindDoc="0" locked="0" layoutInCell="1" allowOverlap="1" wp14:anchorId="3FDF7C62" wp14:editId="0119E50E">
            <wp:simplePos x="0" y="0"/>
            <wp:positionH relativeFrom="column">
              <wp:posOffset>114935</wp:posOffset>
            </wp:positionH>
            <wp:positionV relativeFrom="paragraph">
              <wp:posOffset>429895</wp:posOffset>
            </wp:positionV>
            <wp:extent cx="2443480" cy="32480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48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A9F29" w14:textId="032A002A" w:rsidR="00523115" w:rsidRDefault="00523115">
      <w:pPr>
        <w:spacing w:after="120"/>
      </w:pPr>
      <w:r>
        <w:tab/>
      </w:r>
    </w:p>
    <w:p w14:paraId="574A0131" w14:textId="7E76AC05" w:rsidR="00523115" w:rsidRDefault="00523115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ABDCA9" wp14:editId="524F0E01">
                <wp:simplePos x="0" y="0"/>
                <wp:positionH relativeFrom="column">
                  <wp:posOffset>3844925</wp:posOffset>
                </wp:positionH>
                <wp:positionV relativeFrom="paragraph">
                  <wp:posOffset>1377950</wp:posOffset>
                </wp:positionV>
                <wp:extent cx="238125" cy="209550"/>
                <wp:effectExtent l="0" t="38100" r="47625" b="190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53F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302.75pt;margin-top:108.5pt;width:18.75pt;height:16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2A29DF2" wp14:editId="29B22E4F">
            <wp:simplePos x="0" y="0"/>
            <wp:positionH relativeFrom="column">
              <wp:posOffset>3787775</wp:posOffset>
            </wp:positionH>
            <wp:positionV relativeFrom="paragraph">
              <wp:posOffset>63500</wp:posOffset>
            </wp:positionV>
            <wp:extent cx="1800225" cy="2321560"/>
            <wp:effectExtent l="0" t="0" r="9525" b="2540"/>
            <wp:wrapSquare wrapText="bothSides"/>
            <wp:docPr id="8" name="Picture 8" descr="Details are in the caption following th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tails are in the caption following th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597"/>
                    <a:stretch/>
                  </pic:blipFill>
                  <pic:spPr bwMode="auto">
                    <a:xfrm flipH="1">
                      <a:off x="0" y="0"/>
                      <a:ext cx="180022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2439F6" w14:textId="31830C94" w:rsidR="00523115" w:rsidRDefault="00523115" w:rsidP="00523115">
      <w:pPr>
        <w:spacing w:after="120"/>
        <w:jc w:val="center"/>
      </w:pPr>
      <w:r>
        <w:rPr>
          <w:noProof/>
        </w:rPr>
        <w:lastRenderedPageBreak/>
        <w:drawing>
          <wp:inline distT="0" distB="0" distL="0" distR="0" wp14:anchorId="2B3B0A12" wp14:editId="2F14C942">
            <wp:extent cx="5705432" cy="4164965"/>
            <wp:effectExtent l="0" t="0" r="0" b="6985"/>
            <wp:docPr id="7" name="Picture 7" descr="Details are in the caption following th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tails are in the caption following the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322" cy="417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649FC" w14:textId="219A51E9" w:rsidR="00523115" w:rsidRPr="00523115" w:rsidRDefault="00523115" w:rsidP="00CF6360">
      <w:pPr>
        <w:spacing w:after="120"/>
        <w:ind w:left="6480" w:firstLine="720"/>
        <w:rPr>
          <w:sz w:val="16"/>
          <w:szCs w:val="16"/>
        </w:rPr>
      </w:pPr>
      <w:r w:rsidRPr="00523115">
        <w:rPr>
          <w:sz w:val="16"/>
          <w:szCs w:val="16"/>
        </w:rPr>
        <w:t>https://doi.org/10.1155/cro/1851165</w:t>
      </w:r>
    </w:p>
    <w:p w14:paraId="4D275CE7" w14:textId="56B1C4C9" w:rsidR="00897B7A" w:rsidRDefault="00CF636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t>STANDARD POST-OPERATIVE PARAMETERS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6"/>
        <w:gridCol w:w="3667"/>
        <w:gridCol w:w="3667"/>
      </w:tblGrid>
      <w:tr w:rsidR="00897B7A" w14:paraId="6BC49BFC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shd w:val="clear" w:color="auto" w:fill="E8F0FC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A23F284" w14:textId="77777777" w:rsidR="00897B7A" w:rsidRDefault="00CF6360">
            <w:r>
              <w:rPr>
                <w:b/>
                <w:bCs/>
                <w:color w:val="0F4A9C"/>
                <w:sz w:val="17"/>
                <w:szCs w:val="17"/>
              </w:rPr>
              <w:t>WEIGHT BEARING</w:t>
            </w:r>
          </w:p>
          <w:p w14:paraId="501BA1AC" w14:textId="77777777" w:rsidR="00897B7A" w:rsidRDefault="00CF6360">
            <w:pPr>
              <w:spacing w:before="40"/>
            </w:pPr>
            <w:r>
              <w:rPr>
                <w:color w:val="4A4A4A"/>
                <w:sz w:val="17"/>
                <w:szCs w:val="17"/>
              </w:rPr>
              <w:t>WBAT (weight bearing as tolerated) immediately post-op. Crutches for comfort/gait control until quad control is achieved.</w:t>
            </w:r>
          </w:p>
        </w:tc>
        <w:tc>
          <w:tcPr>
            <w:tcW w:w="1650" w:type="pct"/>
            <w:shd w:val="clear" w:color="auto" w:fill="E8F0FC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F1616BB" w14:textId="77777777" w:rsidR="00897B7A" w:rsidRDefault="00CF6360">
            <w:r>
              <w:rPr>
                <w:b/>
                <w:bCs/>
                <w:color w:val="0F4A9C"/>
                <w:sz w:val="17"/>
                <w:szCs w:val="17"/>
              </w:rPr>
              <w:t>BRACING</w:t>
            </w:r>
          </w:p>
          <w:p w14:paraId="1D72D635" w14:textId="77777777" w:rsidR="00897B7A" w:rsidRDefault="00CF6360">
            <w:pPr>
              <w:spacing w:before="40"/>
            </w:pPr>
            <w:r>
              <w:rPr>
                <w:color w:val="4A4A4A"/>
                <w:sz w:val="17"/>
                <w:szCs w:val="17"/>
              </w:rPr>
              <w:t>Hinged knee brace, ROM limited 0°–90°. May be locked</w:t>
            </w:r>
            <w:r>
              <w:rPr>
                <w:color w:val="4A4A4A"/>
                <w:sz w:val="17"/>
                <w:szCs w:val="17"/>
              </w:rPr>
              <w:t xml:space="preserve"> in full extension as needed for comfort during the first 2 weeks; unlocked thereafter through the full 6 weeks.</w:t>
            </w:r>
          </w:p>
        </w:tc>
        <w:tc>
          <w:tcPr>
            <w:tcW w:w="1650" w:type="pct"/>
            <w:shd w:val="clear" w:color="auto" w:fill="E8F0FC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99073AA" w14:textId="77777777" w:rsidR="00897B7A" w:rsidRDefault="00CF6360">
            <w:r>
              <w:rPr>
                <w:b/>
                <w:bCs/>
                <w:color w:val="0F4A9C"/>
                <w:sz w:val="17"/>
                <w:szCs w:val="17"/>
              </w:rPr>
              <w:t>IMAGING</w:t>
            </w:r>
          </w:p>
          <w:p w14:paraId="15B21461" w14:textId="77777777" w:rsidR="00897B7A" w:rsidRDefault="00CF6360">
            <w:pPr>
              <w:spacing w:before="40"/>
            </w:pPr>
            <w:r>
              <w:rPr>
                <w:color w:val="4A4A4A"/>
                <w:sz w:val="17"/>
                <w:szCs w:val="17"/>
              </w:rPr>
              <w:t>Routine post-operative MRI is not indicated. Progress is followed clinically.</w:t>
            </w:r>
          </w:p>
        </w:tc>
      </w:tr>
    </w:tbl>
    <w:p w14:paraId="70A10F13" w14:textId="77777777" w:rsidR="00897B7A" w:rsidRDefault="00897B7A">
      <w:pPr>
        <w:spacing w:after="120"/>
      </w:pPr>
    </w:p>
    <w:tbl>
      <w:tblPr>
        <w:tblW w:w="5000" w:type="pct"/>
        <w:tblBorders>
          <w:top w:val="single" w:sz="6" w:space="0" w:color="F0A500"/>
          <w:left w:val="single" w:sz="6" w:space="0" w:color="F0A500"/>
          <w:bottom w:val="single" w:sz="6" w:space="0" w:color="F0A500"/>
          <w:right w:val="single" w:sz="6" w:space="0" w:color="F0A5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4"/>
      </w:tblGrid>
      <w:tr w:rsidR="00897B7A" w14:paraId="0F2CF32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FF8E1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6DCC47E8" w14:textId="77777777" w:rsidR="00897B7A" w:rsidRDefault="00CF6360">
            <w:r>
              <w:rPr>
                <w:b/>
                <w:bCs/>
                <w:color w:val="5A3D00"/>
              </w:rPr>
              <w:t>What is NOT routinely needed:</w:t>
            </w:r>
          </w:p>
          <w:p w14:paraId="50EF80CC" w14:textId="77777777" w:rsidR="00897B7A" w:rsidRDefault="00CF6360">
            <w:pPr>
              <w:spacing w:before="40"/>
            </w:pPr>
            <w:r>
              <w:rPr>
                <w:color w:val="5A3D00"/>
              </w:rPr>
              <w:t>Post-operative MRI is not required to confirm healing and should not be obtained routinely — clinical exam and functional milestones guide progression. Continuous passive motion (CPM) machines are not required.</w:t>
            </w:r>
          </w:p>
        </w:tc>
      </w:tr>
    </w:tbl>
    <w:p w14:paraId="4A788E89" w14:textId="77777777" w:rsidR="00897B7A" w:rsidRDefault="00897B7A">
      <w:pPr>
        <w:spacing w:after="160"/>
      </w:pPr>
    </w:p>
    <w:p w14:paraId="4BA8D75B" w14:textId="77777777" w:rsidR="00CF6360" w:rsidRDefault="00CF6360">
      <w:pPr>
        <w:rPr>
          <w:b/>
          <w:bCs/>
          <w:color w:val="0F4A9C"/>
          <w:sz w:val="21"/>
          <w:szCs w:val="21"/>
        </w:rPr>
      </w:pPr>
      <w:r>
        <w:rPr>
          <w:b/>
          <w:bCs/>
          <w:color w:val="0F4A9C"/>
          <w:sz w:val="21"/>
          <w:szCs w:val="21"/>
        </w:rPr>
        <w:br w:type="page"/>
      </w:r>
    </w:p>
    <w:p w14:paraId="0E00EB2D" w14:textId="38450A4C" w:rsidR="00897B7A" w:rsidRDefault="00CF636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lastRenderedPageBreak/>
        <w:t>PHASE-BASED REHABILITATION PROTOCOL</w:t>
      </w: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  <w:insideH w:val="single" w:sz="4" w:space="0" w:color="D0DCF0"/>
          <w:insideV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897B7A" w14:paraId="5320788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B0281E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44AC2D0" w14:textId="77777777" w:rsidR="00897B7A" w:rsidRDefault="00CF6360">
            <w:r>
              <w:rPr>
                <w:b/>
                <w:bCs/>
                <w:color w:val="FFFFFF"/>
                <w:sz w:val="22"/>
                <w:szCs w:val="22"/>
              </w:rPr>
              <w:t>Phase 1 — Protection &amp; Early Motion</w:t>
            </w:r>
            <w:proofErr w:type="gramStart"/>
            <w:r>
              <w:rPr>
                <w:color w:val="FFFFFF"/>
                <w:sz w:val="18"/>
                <w:szCs w:val="18"/>
              </w:rPr>
              <w:t xml:space="preserve">   (</w:t>
            </w:r>
            <w:proofErr w:type="gramEnd"/>
            <w:r>
              <w:rPr>
                <w:color w:val="FFFFFF"/>
                <w:sz w:val="18"/>
                <w:szCs w:val="18"/>
              </w:rPr>
              <w:t>Weeks 0–2)</w:t>
            </w:r>
          </w:p>
        </w:tc>
      </w:tr>
      <w:tr w:rsidR="00897B7A" w14:paraId="2D3E5DCE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1FBBEFFD" w14:textId="77777777" w:rsidR="00897B7A" w:rsidRDefault="00CF6360">
            <w:r>
              <w:rPr>
                <w:b/>
                <w:bCs/>
                <w:color w:val="0F4A9C"/>
                <w:sz w:val="16"/>
                <w:szCs w:val="16"/>
              </w:rPr>
              <w:t>WEIGHT BEARING / BRACE</w:t>
            </w:r>
          </w:p>
          <w:p w14:paraId="07F291CF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WBAT with crutches; wean crutches as quad control allows</w:t>
            </w:r>
          </w:p>
          <w:p w14:paraId="7FD05DF4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Hinged brace, ROM limited 0°–90°; may be locked in full extension as needed for comfort during this period</w:t>
            </w:r>
          </w:p>
        </w:tc>
        <w:tc>
          <w:tcPr>
            <w:tcW w:w="2500" w:type="pct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77B15CD6" w14:textId="77777777" w:rsidR="00897B7A" w:rsidRDefault="00CF6360">
            <w:r>
              <w:rPr>
                <w:b/>
                <w:bCs/>
                <w:color w:val="0F4A9C"/>
                <w:sz w:val="16"/>
                <w:szCs w:val="16"/>
              </w:rPr>
              <w:t>GOALS &amp; INTERVENTIONS</w:t>
            </w:r>
          </w:p>
          <w:p w14:paraId="6A43800A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Control pain, effusion, and inflammation (ice, elevation, compression)</w:t>
            </w:r>
          </w:p>
          <w:p w14:paraId="3A93FB0A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Quad sets, straight leg raises, ankle pumps</w:t>
            </w:r>
          </w:p>
          <w:p w14:paraId="5A128EB1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PROM/AAROM w</w:t>
            </w:r>
            <w:r>
              <w:rPr>
                <w:color w:val="4A4A4A"/>
                <w:sz w:val="17"/>
                <w:szCs w:val="17"/>
              </w:rPr>
              <w:t>ithin brace limits (0°–90°)</w:t>
            </w:r>
          </w:p>
          <w:p w14:paraId="14F8F0E6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Patellar mobilization to prevent stiffness</w:t>
            </w:r>
          </w:p>
        </w:tc>
      </w:tr>
      <w:tr w:rsidR="00897B7A" w14:paraId="68243C1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F5F7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CA16ECB" w14:textId="77777777" w:rsidR="00897B7A" w:rsidRDefault="00CF6360">
            <w:r>
              <w:rPr>
                <w:b/>
                <w:bCs/>
                <w:color w:val="0F4A9C"/>
                <w:sz w:val="17"/>
                <w:szCs w:val="17"/>
              </w:rPr>
              <w:t xml:space="preserve">Advance when: </w:t>
            </w:r>
            <w:r>
              <w:rPr>
                <w:color w:val="4A4A4A"/>
                <w:sz w:val="17"/>
                <w:szCs w:val="17"/>
              </w:rPr>
              <w:t>pain and effusion are controlled, active quad contraction without lag, and ROM progressing within brace limits.</w:t>
            </w:r>
          </w:p>
        </w:tc>
      </w:tr>
    </w:tbl>
    <w:p w14:paraId="5122DA42" w14:textId="77777777" w:rsidR="00897B7A" w:rsidRDefault="00897B7A">
      <w:pPr>
        <w:spacing w:after="160"/>
      </w:pP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  <w:insideH w:val="single" w:sz="4" w:space="0" w:color="D0DCF0"/>
          <w:insideV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897B7A" w14:paraId="6927C6F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F0A50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11BF8E2" w14:textId="77777777" w:rsidR="00897B7A" w:rsidRDefault="00CF6360">
            <w:r>
              <w:rPr>
                <w:b/>
                <w:bCs/>
                <w:color w:val="FFFFFF"/>
                <w:sz w:val="22"/>
                <w:szCs w:val="22"/>
              </w:rPr>
              <w:t>Phase 2 — Progressive ROM &amp; Strength</w:t>
            </w:r>
            <w:proofErr w:type="gramStart"/>
            <w:r>
              <w:rPr>
                <w:color w:val="FFFFFF"/>
                <w:sz w:val="18"/>
                <w:szCs w:val="18"/>
              </w:rPr>
              <w:t xml:space="preserve">   (</w:t>
            </w:r>
            <w:proofErr w:type="gramEnd"/>
            <w:r>
              <w:rPr>
                <w:color w:val="FFFFFF"/>
                <w:sz w:val="18"/>
                <w:szCs w:val="18"/>
              </w:rPr>
              <w:t>Weeks 2–6)</w:t>
            </w:r>
          </w:p>
        </w:tc>
      </w:tr>
      <w:tr w:rsidR="00897B7A" w14:paraId="33A14DB0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360831BE" w14:textId="77777777" w:rsidR="00897B7A" w:rsidRDefault="00CF6360">
            <w:r>
              <w:rPr>
                <w:b/>
                <w:bCs/>
                <w:color w:val="0F4A9C"/>
                <w:sz w:val="16"/>
                <w:szCs w:val="16"/>
              </w:rPr>
              <w:t>WEIGHT BEARING / BRACE</w:t>
            </w:r>
          </w:p>
          <w:p w14:paraId="73691B37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Full WBAT, discontinue crutches once gait is non-antalgic and quad control is normal</w:t>
            </w:r>
          </w:p>
          <w:p w14:paraId="2245FAFA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 xml:space="preserve">Hinged brace </w:t>
            </w:r>
            <w:proofErr w:type="gramStart"/>
            <w:r>
              <w:rPr>
                <w:color w:val="4A4A4A"/>
                <w:sz w:val="17"/>
                <w:szCs w:val="17"/>
              </w:rPr>
              <w:t>unlocked,</w:t>
            </w:r>
            <w:proofErr w:type="gramEnd"/>
            <w:r>
              <w:rPr>
                <w:color w:val="4A4A4A"/>
                <w:sz w:val="17"/>
                <w:szCs w:val="17"/>
              </w:rPr>
              <w:t xml:space="preserve"> ROM limited 0°–90° through the full 6 weeks; discontinued at the week-6 visit per surgeon</w:t>
            </w:r>
          </w:p>
        </w:tc>
        <w:tc>
          <w:tcPr>
            <w:tcW w:w="2500" w:type="pct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71BA152B" w14:textId="77777777" w:rsidR="00897B7A" w:rsidRDefault="00CF6360">
            <w:r>
              <w:rPr>
                <w:b/>
                <w:bCs/>
                <w:color w:val="0F4A9C"/>
                <w:sz w:val="16"/>
                <w:szCs w:val="16"/>
              </w:rPr>
              <w:t>GOALS &amp; INTERVENTIONS</w:t>
            </w:r>
          </w:p>
          <w:p w14:paraId="0ACB1659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Continue AROM/AAROM within the 0°–90</w:t>
            </w:r>
            <w:r>
              <w:rPr>
                <w:color w:val="4A4A4A"/>
                <w:sz w:val="17"/>
                <w:szCs w:val="17"/>
              </w:rPr>
              <w:t>° brace limit (full ROM is not expected until the brace is discontinued at week 6)</w:t>
            </w:r>
          </w:p>
          <w:p w14:paraId="2C251466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Closed-chain strengthening: mini-squats, step-ups, leg press, all within brace limits</w:t>
            </w:r>
          </w:p>
          <w:p w14:paraId="258C4C25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Stationary bike within brace ROM as tolerated</w:t>
            </w:r>
          </w:p>
          <w:p w14:paraId="1251FF09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Balance / proprioceptive training</w:t>
            </w:r>
          </w:p>
          <w:p w14:paraId="6EB1BCB5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Normali</w:t>
            </w:r>
            <w:r>
              <w:rPr>
                <w:color w:val="4A4A4A"/>
                <w:sz w:val="17"/>
                <w:szCs w:val="17"/>
              </w:rPr>
              <w:t>ze gait pattern off crutches</w:t>
            </w:r>
          </w:p>
        </w:tc>
      </w:tr>
      <w:tr w:rsidR="00897B7A" w14:paraId="59F4F54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F5F7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E2E1BFF" w14:textId="77777777" w:rsidR="00897B7A" w:rsidRDefault="00CF6360">
            <w:r>
              <w:rPr>
                <w:b/>
                <w:bCs/>
                <w:color w:val="0F4A9C"/>
                <w:sz w:val="17"/>
                <w:szCs w:val="17"/>
              </w:rPr>
              <w:t xml:space="preserve">Advance when: </w:t>
            </w:r>
            <w:r>
              <w:rPr>
                <w:color w:val="4A4A4A"/>
                <w:sz w:val="17"/>
                <w:szCs w:val="17"/>
              </w:rPr>
              <w:t>full ROM restored after brace discontinuation at week 6, normal gait without assistive device, and quad strength approaching symmetry.</w:t>
            </w:r>
          </w:p>
        </w:tc>
      </w:tr>
    </w:tbl>
    <w:p w14:paraId="2572975C" w14:textId="77777777" w:rsidR="00897B7A" w:rsidRDefault="00897B7A">
      <w:pPr>
        <w:spacing w:after="160"/>
      </w:pP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  <w:insideH w:val="single" w:sz="4" w:space="0" w:color="D0DCF0"/>
          <w:insideV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897B7A" w14:paraId="0FDA13F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1A63CC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82573D9" w14:textId="77777777" w:rsidR="00897B7A" w:rsidRDefault="00CF6360">
            <w:r>
              <w:rPr>
                <w:b/>
                <w:bCs/>
                <w:color w:val="FFFFFF"/>
                <w:sz w:val="22"/>
                <w:szCs w:val="22"/>
              </w:rPr>
              <w:t>Phase 3 — Strength &amp; Neuromuscular Control</w:t>
            </w:r>
            <w:proofErr w:type="gramStart"/>
            <w:r>
              <w:rPr>
                <w:color w:val="FFFFFF"/>
                <w:sz w:val="18"/>
                <w:szCs w:val="18"/>
              </w:rPr>
              <w:t xml:space="preserve">   (</w:t>
            </w:r>
            <w:proofErr w:type="gramEnd"/>
            <w:r>
              <w:rPr>
                <w:color w:val="FFFFFF"/>
                <w:sz w:val="18"/>
                <w:szCs w:val="18"/>
              </w:rPr>
              <w:t>Weeks 6–12)</w:t>
            </w:r>
          </w:p>
        </w:tc>
      </w:tr>
      <w:tr w:rsidR="00897B7A" w14:paraId="0EC45977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3C3DA7AD" w14:textId="77777777" w:rsidR="00897B7A" w:rsidRDefault="00CF6360">
            <w:r>
              <w:rPr>
                <w:b/>
                <w:bCs/>
                <w:color w:val="0F4A9C"/>
                <w:sz w:val="16"/>
                <w:szCs w:val="16"/>
              </w:rPr>
              <w:t>WEIGHT BEARING / BRACE</w:t>
            </w:r>
          </w:p>
          <w:p w14:paraId="24567EBA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Full WBAT, brace discontinued at week 6</w:t>
            </w:r>
          </w:p>
          <w:p w14:paraId="2548681C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No formal restrictions on daily activity</w:t>
            </w:r>
          </w:p>
        </w:tc>
        <w:tc>
          <w:tcPr>
            <w:tcW w:w="2500" w:type="pct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65CEB909" w14:textId="77777777" w:rsidR="00897B7A" w:rsidRDefault="00CF6360">
            <w:r>
              <w:rPr>
                <w:b/>
                <w:bCs/>
                <w:color w:val="0F4A9C"/>
                <w:sz w:val="16"/>
                <w:szCs w:val="16"/>
              </w:rPr>
              <w:t>GOALS &amp; INTERVENTIONS</w:t>
            </w:r>
          </w:p>
          <w:p w14:paraId="469D7752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Progressive resistance training (quad, hamstring, hip, core)</w:t>
            </w:r>
          </w:p>
          <w:p w14:paraId="21F75198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Single-leg balance and proprioceptive progression</w:t>
            </w:r>
          </w:p>
          <w:p w14:paraId="2801EEAA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Initiate straight-line jogging program aro</w:t>
            </w:r>
            <w:r>
              <w:rPr>
                <w:color w:val="4A4A4A"/>
                <w:sz w:val="17"/>
                <w:szCs w:val="17"/>
              </w:rPr>
              <w:t>und 8–10 weeks if criteria met</w:t>
            </w:r>
          </w:p>
          <w:p w14:paraId="6D2DBD4E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Sport-specific conditioning drills, low-impact cardio</w:t>
            </w:r>
          </w:p>
        </w:tc>
      </w:tr>
      <w:tr w:rsidR="00897B7A" w14:paraId="75CF12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F5F7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DA8F516" w14:textId="77777777" w:rsidR="00897B7A" w:rsidRDefault="00CF6360">
            <w:r>
              <w:rPr>
                <w:b/>
                <w:bCs/>
                <w:color w:val="0F4A9C"/>
                <w:sz w:val="17"/>
                <w:szCs w:val="17"/>
              </w:rPr>
              <w:t xml:space="preserve">Advance when: </w:t>
            </w:r>
            <w:r>
              <w:rPr>
                <w:color w:val="4A4A4A"/>
                <w:sz w:val="17"/>
                <w:szCs w:val="17"/>
              </w:rPr>
              <w:t>quad and hamstring strength ≥80% of contralateral limb, no pain/effusion with activity, and running program tolerated without symptoms.</w:t>
            </w:r>
          </w:p>
        </w:tc>
      </w:tr>
    </w:tbl>
    <w:p w14:paraId="23F54EE0" w14:textId="77777777" w:rsidR="00897B7A" w:rsidRDefault="00897B7A">
      <w:pPr>
        <w:spacing w:after="160"/>
      </w:pP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  <w:insideH w:val="single" w:sz="4" w:space="0" w:color="D0DCF0"/>
          <w:insideV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897B7A" w14:paraId="658E7D7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2E8B57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4DFB77A" w14:textId="77777777" w:rsidR="00897B7A" w:rsidRDefault="00CF6360">
            <w:r>
              <w:rPr>
                <w:b/>
                <w:bCs/>
                <w:color w:val="FFFFFF"/>
                <w:sz w:val="22"/>
                <w:szCs w:val="22"/>
              </w:rPr>
              <w:t>Phase 4 — Return to Sport</w:t>
            </w:r>
            <w:proofErr w:type="gramStart"/>
            <w:r>
              <w:rPr>
                <w:color w:val="FFFFFF"/>
                <w:sz w:val="18"/>
                <w:szCs w:val="18"/>
              </w:rPr>
              <w:t xml:space="preserve">   (</w:t>
            </w:r>
            <w:proofErr w:type="gramEnd"/>
            <w:r>
              <w:rPr>
                <w:color w:val="FFFFFF"/>
                <w:sz w:val="18"/>
                <w:szCs w:val="18"/>
              </w:rPr>
              <w:t>Weeks 12–16+)</w:t>
            </w:r>
          </w:p>
        </w:tc>
      </w:tr>
      <w:tr w:rsidR="00897B7A" w14:paraId="4FBBFE4C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26701646" w14:textId="77777777" w:rsidR="00897B7A" w:rsidRDefault="00CF6360">
            <w:r>
              <w:rPr>
                <w:b/>
                <w:bCs/>
                <w:color w:val="0F4A9C"/>
                <w:sz w:val="16"/>
                <w:szCs w:val="16"/>
              </w:rPr>
              <w:t>WEIGHT BEARING / BRACE</w:t>
            </w:r>
          </w:p>
          <w:p w14:paraId="35133F51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Unrestricted</w:t>
            </w:r>
          </w:p>
        </w:tc>
        <w:tc>
          <w:tcPr>
            <w:tcW w:w="2500" w:type="pct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3E70CFA2" w14:textId="77777777" w:rsidR="00897B7A" w:rsidRDefault="00CF6360">
            <w:r>
              <w:rPr>
                <w:b/>
                <w:bCs/>
                <w:color w:val="0F4A9C"/>
                <w:sz w:val="16"/>
                <w:szCs w:val="16"/>
              </w:rPr>
              <w:t>GOALS &amp; INTERVENTIONS</w:t>
            </w:r>
          </w:p>
          <w:p w14:paraId="08DA3F17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Cutting, pivoting, and plyometric progression</w:t>
            </w:r>
          </w:p>
          <w:p w14:paraId="37B3028A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Sport-specific agility drills</w:t>
            </w:r>
          </w:p>
          <w:p w14:paraId="69752FE9" w14:textId="77777777" w:rsidR="00897B7A" w:rsidRDefault="00CF636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Gradual return to practice, then full competition</w:t>
            </w:r>
          </w:p>
        </w:tc>
      </w:tr>
      <w:tr w:rsidR="00897B7A" w14:paraId="72658C9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F5F7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A177EBA" w14:textId="77777777" w:rsidR="00897B7A" w:rsidRDefault="00CF6360">
            <w:r>
              <w:rPr>
                <w:b/>
                <w:bCs/>
                <w:color w:val="0F4A9C"/>
                <w:sz w:val="17"/>
                <w:szCs w:val="17"/>
              </w:rPr>
              <w:t xml:space="preserve">Advance when: </w:t>
            </w:r>
            <w:r>
              <w:rPr>
                <w:color w:val="4A4A4A"/>
                <w:sz w:val="17"/>
                <w:szCs w:val="17"/>
              </w:rPr>
              <w:t>quad/hamstring strength ≥90% of contralateral limb, successful sport-specific agility testing, and no pain, swelling, or mechanical symptoms with full activity — typically 3–4 months post-op.</w:t>
            </w:r>
          </w:p>
        </w:tc>
      </w:tr>
    </w:tbl>
    <w:p w14:paraId="3CCF9A21" w14:textId="77777777" w:rsidR="00897B7A" w:rsidRDefault="00897B7A">
      <w:pPr>
        <w:spacing w:after="160"/>
      </w:pPr>
    </w:p>
    <w:p w14:paraId="5A7C38F9" w14:textId="77777777" w:rsidR="00CF6360" w:rsidRDefault="00CF6360">
      <w:pPr>
        <w:rPr>
          <w:b/>
          <w:bCs/>
          <w:color w:val="0F4A9C"/>
          <w:sz w:val="21"/>
          <w:szCs w:val="21"/>
        </w:rPr>
      </w:pPr>
      <w:r>
        <w:rPr>
          <w:b/>
          <w:bCs/>
          <w:color w:val="0F4A9C"/>
          <w:sz w:val="21"/>
          <w:szCs w:val="21"/>
        </w:rPr>
        <w:br w:type="page"/>
      </w:r>
    </w:p>
    <w:p w14:paraId="0358C806" w14:textId="275A9E6B" w:rsidR="00897B7A" w:rsidRDefault="00CF636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lastRenderedPageBreak/>
        <w:t>QUICK-REFERENCE TIMELINE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8"/>
        <w:gridCol w:w="1758"/>
        <w:gridCol w:w="4176"/>
        <w:gridCol w:w="2418"/>
      </w:tblGrid>
      <w:tr w:rsidR="00897B7A" w14:paraId="609D576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1A63C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FE2E18" w14:textId="77777777" w:rsidR="00897B7A" w:rsidRDefault="00CF6360">
            <w:r>
              <w:rPr>
                <w:b/>
                <w:bCs/>
                <w:color w:val="FFFFFF"/>
                <w:sz w:val="15"/>
                <w:szCs w:val="15"/>
              </w:rPr>
              <w:t>PHASE</w:t>
            </w:r>
          </w:p>
        </w:tc>
        <w:tc>
          <w:tcPr>
            <w:tcW w:w="1600" w:type="dxa"/>
            <w:shd w:val="clear" w:color="auto" w:fill="1A63C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3B5D75" w14:textId="77777777" w:rsidR="00897B7A" w:rsidRDefault="00CF6360">
            <w:r>
              <w:rPr>
                <w:b/>
                <w:bCs/>
                <w:color w:val="FFFFFF"/>
                <w:sz w:val="15"/>
                <w:szCs w:val="15"/>
              </w:rPr>
              <w:t>TIMEFRAME</w:t>
            </w:r>
          </w:p>
        </w:tc>
        <w:tc>
          <w:tcPr>
            <w:tcW w:w="3800" w:type="dxa"/>
            <w:shd w:val="clear" w:color="auto" w:fill="1A63C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7D2C64" w14:textId="77777777" w:rsidR="00897B7A" w:rsidRDefault="00CF6360">
            <w:r>
              <w:rPr>
                <w:b/>
                <w:bCs/>
                <w:color w:val="FFFFFF"/>
                <w:sz w:val="15"/>
                <w:szCs w:val="15"/>
              </w:rPr>
              <w:t>WEIGHT BEARING / BRACE</w:t>
            </w:r>
          </w:p>
        </w:tc>
        <w:tc>
          <w:tcPr>
            <w:tcW w:w="2200" w:type="dxa"/>
            <w:shd w:val="clear" w:color="auto" w:fill="1A63C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1CDED5" w14:textId="77777777" w:rsidR="00897B7A" w:rsidRDefault="00CF6360">
            <w:r>
              <w:rPr>
                <w:b/>
                <w:bCs/>
                <w:color w:val="FFFFFF"/>
                <w:sz w:val="15"/>
                <w:szCs w:val="15"/>
              </w:rPr>
              <w:t>KEY MILESTONE</w:t>
            </w:r>
          </w:p>
        </w:tc>
      </w:tr>
      <w:tr w:rsidR="00897B7A" w14:paraId="5870588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303729" w14:textId="77777777" w:rsidR="00897B7A" w:rsidRDefault="00CF6360">
            <w:r>
              <w:rPr>
                <w:color w:val="4A4A4A"/>
                <w:sz w:val="15"/>
                <w:szCs w:val="15"/>
              </w:rPr>
              <w:t>1 — Protection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C0E0B5" w14:textId="77777777" w:rsidR="00897B7A" w:rsidRDefault="00CF6360">
            <w:r>
              <w:rPr>
                <w:color w:val="4A4A4A"/>
                <w:sz w:val="15"/>
                <w:szCs w:val="15"/>
              </w:rPr>
              <w:t>Weeks 0–2</w:t>
            </w:r>
          </w:p>
        </w:tc>
        <w:tc>
          <w:tcPr>
            <w:tcW w:w="3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795E2A" w14:textId="77777777" w:rsidR="00897B7A" w:rsidRDefault="00CF6360">
            <w:r>
              <w:rPr>
                <w:color w:val="4A4A4A"/>
                <w:sz w:val="15"/>
                <w:szCs w:val="15"/>
              </w:rPr>
              <w:t>WBAT; brace ROM 0–90° (may lock in extension for comfort)</w:t>
            </w:r>
          </w:p>
        </w:tc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1E4600" w14:textId="77777777" w:rsidR="00897B7A" w:rsidRDefault="00CF6360">
            <w:r>
              <w:rPr>
                <w:color w:val="4A4A4A"/>
                <w:sz w:val="15"/>
                <w:szCs w:val="15"/>
              </w:rPr>
              <w:t xml:space="preserve">Pain/effusion </w:t>
            </w:r>
            <w:proofErr w:type="gramStart"/>
            <w:r>
              <w:rPr>
                <w:color w:val="4A4A4A"/>
                <w:sz w:val="15"/>
                <w:szCs w:val="15"/>
              </w:rPr>
              <w:t>controlled,</w:t>
            </w:r>
            <w:proofErr w:type="gramEnd"/>
            <w:r>
              <w:rPr>
                <w:color w:val="4A4A4A"/>
                <w:sz w:val="15"/>
                <w:szCs w:val="15"/>
              </w:rPr>
              <w:t xml:space="preserve"> active quad set without lag</w:t>
            </w:r>
          </w:p>
        </w:tc>
      </w:tr>
      <w:tr w:rsidR="00897B7A" w14:paraId="2E46A35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01D7EF" w14:textId="77777777" w:rsidR="00897B7A" w:rsidRDefault="00CF6360">
            <w:r>
              <w:rPr>
                <w:color w:val="4A4A4A"/>
                <w:sz w:val="15"/>
                <w:szCs w:val="15"/>
              </w:rPr>
              <w:t>2 — Progressive ROM &amp; Strength</w:t>
            </w:r>
          </w:p>
        </w:tc>
        <w:tc>
          <w:tcPr>
            <w:tcW w:w="16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C5ED4E" w14:textId="77777777" w:rsidR="00897B7A" w:rsidRDefault="00CF6360">
            <w:r>
              <w:rPr>
                <w:color w:val="4A4A4A"/>
                <w:sz w:val="15"/>
                <w:szCs w:val="15"/>
              </w:rPr>
              <w:t>Weeks 2–6</w:t>
            </w:r>
          </w:p>
        </w:tc>
        <w:tc>
          <w:tcPr>
            <w:tcW w:w="38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2D7803" w14:textId="77777777" w:rsidR="00897B7A" w:rsidRDefault="00CF6360">
            <w:r>
              <w:rPr>
                <w:color w:val="4A4A4A"/>
                <w:sz w:val="15"/>
                <w:szCs w:val="15"/>
              </w:rPr>
              <w:t>WBAT; brace unlocked, ROM 0–90° continues, off crutches</w:t>
            </w:r>
          </w:p>
        </w:tc>
        <w:tc>
          <w:tcPr>
            <w:tcW w:w="22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21183" w14:textId="77777777" w:rsidR="00897B7A" w:rsidRDefault="00CF6360">
            <w:r>
              <w:rPr>
                <w:color w:val="4A4A4A"/>
                <w:sz w:val="15"/>
                <w:szCs w:val="15"/>
              </w:rPr>
              <w:t>ROM progressing within brace, normal gait</w:t>
            </w:r>
          </w:p>
        </w:tc>
      </w:tr>
      <w:tr w:rsidR="00897B7A" w14:paraId="4610E53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4DE6D" w14:textId="77777777" w:rsidR="00897B7A" w:rsidRDefault="00CF6360">
            <w:r>
              <w:rPr>
                <w:color w:val="4A4A4A"/>
                <w:sz w:val="15"/>
                <w:szCs w:val="15"/>
              </w:rPr>
              <w:t>3 — Strength &amp; Neuromuscular Control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05E0AD" w14:textId="77777777" w:rsidR="00897B7A" w:rsidRDefault="00CF6360">
            <w:r>
              <w:rPr>
                <w:color w:val="4A4A4A"/>
                <w:sz w:val="15"/>
                <w:szCs w:val="15"/>
              </w:rPr>
              <w:t>Weeks 6–12</w:t>
            </w:r>
          </w:p>
        </w:tc>
        <w:tc>
          <w:tcPr>
            <w:tcW w:w="3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8927F7" w14:textId="77777777" w:rsidR="00897B7A" w:rsidRDefault="00CF6360">
            <w:r>
              <w:rPr>
                <w:color w:val="4A4A4A"/>
                <w:sz w:val="15"/>
                <w:szCs w:val="15"/>
              </w:rPr>
              <w:t>Full WBAT, no brace</w:t>
            </w:r>
          </w:p>
        </w:tc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CEDD6A" w14:textId="77777777" w:rsidR="00897B7A" w:rsidRDefault="00CF6360">
            <w:r>
              <w:rPr>
                <w:color w:val="4A4A4A"/>
                <w:sz w:val="15"/>
                <w:szCs w:val="15"/>
              </w:rPr>
              <w:t>Strength ≥80%, jogging tolerated</w:t>
            </w:r>
          </w:p>
        </w:tc>
      </w:tr>
      <w:tr w:rsidR="00897B7A" w14:paraId="232B258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35D07D" w14:textId="77777777" w:rsidR="00897B7A" w:rsidRDefault="00CF6360">
            <w:r>
              <w:rPr>
                <w:color w:val="4A4A4A"/>
                <w:sz w:val="15"/>
                <w:szCs w:val="15"/>
              </w:rPr>
              <w:t>4 — Return to Sport</w:t>
            </w:r>
          </w:p>
        </w:tc>
        <w:tc>
          <w:tcPr>
            <w:tcW w:w="16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8C01A8" w14:textId="77777777" w:rsidR="00897B7A" w:rsidRDefault="00CF6360">
            <w:r>
              <w:rPr>
                <w:color w:val="4A4A4A"/>
                <w:sz w:val="15"/>
                <w:szCs w:val="15"/>
              </w:rPr>
              <w:t>Weeks 12–16+</w:t>
            </w:r>
          </w:p>
        </w:tc>
        <w:tc>
          <w:tcPr>
            <w:tcW w:w="38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28775B" w14:textId="77777777" w:rsidR="00897B7A" w:rsidRDefault="00CF6360">
            <w:r>
              <w:rPr>
                <w:color w:val="4A4A4A"/>
                <w:sz w:val="15"/>
                <w:szCs w:val="15"/>
              </w:rPr>
              <w:t>Unrestricted</w:t>
            </w:r>
          </w:p>
        </w:tc>
        <w:tc>
          <w:tcPr>
            <w:tcW w:w="2200" w:type="dxa"/>
            <w:shd w:val="clear" w:color="auto" w:fill="F5F7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77920F" w14:textId="77777777" w:rsidR="00897B7A" w:rsidRDefault="00CF6360">
            <w:r>
              <w:rPr>
                <w:color w:val="4A4A4A"/>
                <w:sz w:val="15"/>
                <w:szCs w:val="15"/>
              </w:rPr>
              <w:t>Strength ≥90%, passes agility testing</w:t>
            </w:r>
          </w:p>
        </w:tc>
      </w:tr>
    </w:tbl>
    <w:p w14:paraId="494BDBAD" w14:textId="77777777" w:rsidR="00897B7A" w:rsidRDefault="00897B7A">
      <w:pPr>
        <w:spacing w:after="160"/>
      </w:pPr>
    </w:p>
    <w:p w14:paraId="7E374CB1" w14:textId="77777777" w:rsidR="00897B7A" w:rsidRDefault="00CF636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t>CLINICAL PEARLS</w:t>
      </w:r>
    </w:p>
    <w:p w14:paraId="2A862221" w14:textId="77777777" w:rsidR="00897B7A" w:rsidRDefault="00CF636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Repair vs. saucerization alone: </w:t>
      </w:r>
      <w:r>
        <w:rPr>
          <w:color w:val="4A4A4A"/>
          <w:sz w:val="21"/>
          <w:szCs w:val="21"/>
        </w:rPr>
        <w:t>Both follow this same brace/weight-bearing protocol; peripheral repairs simply require diligent adherence to the 0–90° flexion limit through Phases 1–2 to protect the healing rim.</w:t>
      </w:r>
    </w:p>
    <w:p w14:paraId="76D82154" w14:textId="77777777" w:rsidR="00897B7A" w:rsidRDefault="00CF636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Quad activation is the rate-limiter. </w:t>
      </w:r>
      <w:r>
        <w:rPr>
          <w:color w:val="4A4A4A"/>
          <w:sz w:val="21"/>
          <w:szCs w:val="21"/>
        </w:rPr>
        <w:t>Early, consistent quad sets and SLR pre</w:t>
      </w:r>
      <w:r>
        <w:rPr>
          <w:color w:val="4A4A4A"/>
          <w:sz w:val="21"/>
          <w:szCs w:val="21"/>
        </w:rPr>
        <w:t xml:space="preserve">vent </w:t>
      </w:r>
      <w:proofErr w:type="spellStart"/>
      <w:r>
        <w:rPr>
          <w:color w:val="4A4A4A"/>
          <w:sz w:val="21"/>
          <w:szCs w:val="21"/>
        </w:rPr>
        <w:t>arthrogenic</w:t>
      </w:r>
      <w:proofErr w:type="spellEnd"/>
      <w:r>
        <w:rPr>
          <w:color w:val="4A4A4A"/>
          <w:sz w:val="21"/>
          <w:szCs w:val="21"/>
        </w:rPr>
        <w:t xml:space="preserve"> muscle inhibition, the most common cause of a slow early recovery.</w:t>
      </w:r>
    </w:p>
    <w:p w14:paraId="5C838F72" w14:textId="77777777" w:rsidR="00897B7A" w:rsidRDefault="00CF636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Effusion drives inhibition. </w:t>
      </w:r>
      <w:r>
        <w:rPr>
          <w:color w:val="4A4A4A"/>
          <w:sz w:val="21"/>
          <w:szCs w:val="21"/>
        </w:rPr>
        <w:t>Aggressive early swelling control accelerates return of quad function and ROM.</w:t>
      </w:r>
    </w:p>
    <w:p w14:paraId="3E22F30A" w14:textId="77777777" w:rsidR="00897B7A" w:rsidRDefault="00CF636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Discoid menisci are often bilateral. </w:t>
      </w:r>
      <w:r>
        <w:rPr>
          <w:color w:val="4A4A4A"/>
          <w:sz w:val="21"/>
          <w:szCs w:val="21"/>
        </w:rPr>
        <w:t>Counsel families that the co</w:t>
      </w:r>
      <w:r>
        <w:rPr>
          <w:color w:val="4A4A4A"/>
          <w:sz w:val="21"/>
          <w:szCs w:val="21"/>
        </w:rPr>
        <w:t>ntralateral knee may also be discoid, even if asymptomatic.</w:t>
      </w:r>
    </w:p>
    <w:p w14:paraId="7B1F24BB" w14:textId="77777777" w:rsidR="00CF6360" w:rsidRDefault="00CF6360">
      <w:pPr>
        <w:pBdr>
          <w:bottom w:val="single" w:sz="6" w:space="4" w:color="E8F0FC"/>
        </w:pBdr>
        <w:spacing w:before="260" w:after="100"/>
        <w:rPr>
          <w:b/>
          <w:bCs/>
          <w:color w:val="0F4A9C"/>
          <w:sz w:val="21"/>
          <w:szCs w:val="21"/>
        </w:rPr>
      </w:pPr>
    </w:p>
    <w:p w14:paraId="5DD28C51" w14:textId="6AA29AF2" w:rsidR="00897B7A" w:rsidRDefault="00CF636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t>PRECAUTIONS, RISKS &amp; RED FLAGS</w:t>
      </w:r>
    </w:p>
    <w:p w14:paraId="2477B23A" w14:textId="77777777" w:rsidR="00897B7A" w:rsidRDefault="00CF636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Call our office if: </w:t>
      </w:r>
      <w:r>
        <w:rPr>
          <w:color w:val="4A4A4A"/>
          <w:sz w:val="21"/>
          <w:szCs w:val="21"/>
        </w:rPr>
        <w:t>increasing pain, new locking or catching, significant new swelling, fever, wound drainage/redness, or inability to achieve motion goals on sch</w:t>
      </w:r>
      <w:r>
        <w:rPr>
          <w:color w:val="4A4A4A"/>
          <w:sz w:val="21"/>
          <w:szCs w:val="21"/>
        </w:rPr>
        <w:t>edule.</w:t>
      </w:r>
    </w:p>
    <w:sectPr w:rsidR="00897B7A">
      <w:footerReference w:type="default" r:id="rId12"/>
      <w:pgSz w:w="12240" w:h="15840"/>
      <w:pgMar w:top="620" w:right="620" w:bottom="620" w:left="6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FCD70" w14:textId="77777777" w:rsidR="00000000" w:rsidRDefault="00CF6360">
      <w:r>
        <w:separator/>
      </w:r>
    </w:p>
  </w:endnote>
  <w:endnote w:type="continuationSeparator" w:id="0">
    <w:p w14:paraId="27A19540" w14:textId="77777777" w:rsidR="00000000" w:rsidRDefault="00CF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600"/>
      <w:gridCol w:w="4400"/>
    </w:tblGrid>
    <w:tr w:rsidR="00897B7A" w14:paraId="10748CF6" w14:textId="77777777">
      <w:tblPrEx>
        <w:tblCellMar>
          <w:top w:w="0" w:type="dxa"/>
          <w:bottom w:w="0" w:type="dxa"/>
        </w:tblCellMar>
      </w:tblPrEx>
      <w:tc>
        <w:tcPr>
          <w:tcW w:w="3000" w:type="pct"/>
          <w:shd w:val="clear" w:color="auto" w:fill="0F4A9C"/>
          <w:tcMar>
            <w:top w:w="140" w:type="dxa"/>
            <w:left w:w="260" w:type="dxa"/>
            <w:bottom w:w="140" w:type="dxa"/>
            <w:right w:w="120" w:type="dxa"/>
          </w:tcMar>
          <w:vAlign w:val="center"/>
        </w:tcPr>
        <w:p w14:paraId="58A8E760" w14:textId="77777777" w:rsidR="00897B7A" w:rsidRDefault="00CF6360">
          <w:r>
            <w:rPr>
              <w:b/>
              <w:bCs/>
              <w:color w:val="FFFFFF"/>
              <w:sz w:val="22"/>
              <w:szCs w:val="22"/>
            </w:rPr>
            <w:t>David Roberts, MD FAAOS</w:t>
          </w:r>
        </w:p>
        <w:p w14:paraId="62C12983" w14:textId="77777777" w:rsidR="00897B7A" w:rsidRDefault="00CF6360">
          <w:r>
            <w:rPr>
              <w:color w:val="C2D5F5"/>
              <w:sz w:val="17"/>
              <w:szCs w:val="17"/>
            </w:rPr>
            <w:t>Pediatric Orthopedic Surgery</w:t>
          </w:r>
        </w:p>
        <w:p w14:paraId="2762660D" w14:textId="77777777" w:rsidR="00897B7A" w:rsidRDefault="00CF6360">
          <w:r>
            <w:rPr>
              <w:color w:val="C2D5F5"/>
              <w:sz w:val="17"/>
              <w:szCs w:val="17"/>
            </w:rPr>
            <w:t xml:space="preserve">9650 Gross Point Road, Suite </w:t>
          </w:r>
          <w:proofErr w:type="gramStart"/>
          <w:r>
            <w:rPr>
              <w:color w:val="C2D5F5"/>
              <w:sz w:val="17"/>
              <w:szCs w:val="17"/>
            </w:rPr>
            <w:t>2900  |</w:t>
          </w:r>
          <w:proofErr w:type="gramEnd"/>
          <w:r>
            <w:rPr>
              <w:color w:val="C2D5F5"/>
              <w:sz w:val="17"/>
              <w:szCs w:val="17"/>
            </w:rPr>
            <w:t xml:space="preserve">  Skokie, IL</w:t>
          </w:r>
        </w:p>
        <w:p w14:paraId="04F1C3F0" w14:textId="77777777" w:rsidR="00897B7A" w:rsidRDefault="00CF6360">
          <w:r>
            <w:rPr>
              <w:color w:val="C2D5F5"/>
              <w:sz w:val="17"/>
              <w:szCs w:val="17"/>
            </w:rPr>
            <w:t>(847) 866-7846</w:t>
          </w:r>
        </w:p>
      </w:tc>
      <w:tc>
        <w:tcPr>
          <w:tcW w:w="2000" w:type="pct"/>
          <w:shd w:val="clear" w:color="auto" w:fill="0F4A9C"/>
          <w:tcMar>
            <w:top w:w="140" w:type="dxa"/>
            <w:left w:w="120" w:type="dxa"/>
            <w:bottom w:w="140" w:type="dxa"/>
            <w:right w:w="260" w:type="dxa"/>
          </w:tcMar>
          <w:vAlign w:val="center"/>
        </w:tcPr>
        <w:p w14:paraId="49F67F0A" w14:textId="77777777" w:rsidR="00897B7A" w:rsidRDefault="00CF6360">
          <w:pPr>
            <w:jc w:val="right"/>
          </w:pPr>
          <w:r>
            <w:rPr>
              <w:i/>
              <w:iCs/>
              <w:color w:val="C2D5F5"/>
              <w:sz w:val="15"/>
              <w:szCs w:val="15"/>
            </w:rPr>
            <w:t>This document is for educational purposes only and does not replace individualized medical advice.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3FA04" w14:textId="77777777" w:rsidR="00000000" w:rsidRDefault="00CF6360">
      <w:r>
        <w:separator/>
      </w:r>
    </w:p>
  </w:footnote>
  <w:footnote w:type="continuationSeparator" w:id="0">
    <w:p w14:paraId="103E8BBF" w14:textId="77777777" w:rsidR="00000000" w:rsidRDefault="00CF6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C1CFE"/>
    <w:multiLevelType w:val="hybridMultilevel"/>
    <w:tmpl w:val="ED3CA70A"/>
    <w:lvl w:ilvl="0" w:tplc="AE568F48">
      <w:start w:val="1"/>
      <w:numFmt w:val="bullet"/>
      <w:lvlText w:val="▸"/>
      <w:lvlJc w:val="left"/>
      <w:pPr>
        <w:ind w:left="360" w:hanging="260"/>
      </w:pPr>
      <w:rPr>
        <w:color w:val="1A63CC"/>
      </w:rPr>
    </w:lvl>
    <w:lvl w:ilvl="1" w:tplc="3576823E">
      <w:numFmt w:val="decimal"/>
      <w:lvlText w:val=""/>
      <w:lvlJc w:val="left"/>
    </w:lvl>
    <w:lvl w:ilvl="2" w:tplc="16E6B992">
      <w:numFmt w:val="decimal"/>
      <w:lvlText w:val=""/>
      <w:lvlJc w:val="left"/>
    </w:lvl>
    <w:lvl w:ilvl="3" w:tplc="9E28DF4C">
      <w:numFmt w:val="decimal"/>
      <w:lvlText w:val=""/>
      <w:lvlJc w:val="left"/>
    </w:lvl>
    <w:lvl w:ilvl="4" w:tplc="2848B464">
      <w:numFmt w:val="decimal"/>
      <w:lvlText w:val=""/>
      <w:lvlJc w:val="left"/>
    </w:lvl>
    <w:lvl w:ilvl="5" w:tplc="CD32B23A">
      <w:numFmt w:val="decimal"/>
      <w:lvlText w:val=""/>
      <w:lvlJc w:val="left"/>
    </w:lvl>
    <w:lvl w:ilvl="6" w:tplc="05C0F534">
      <w:numFmt w:val="decimal"/>
      <w:lvlText w:val=""/>
      <w:lvlJc w:val="left"/>
    </w:lvl>
    <w:lvl w:ilvl="7" w:tplc="6408EE38">
      <w:numFmt w:val="decimal"/>
      <w:lvlText w:val=""/>
      <w:lvlJc w:val="left"/>
    </w:lvl>
    <w:lvl w:ilvl="8" w:tplc="934C43D2">
      <w:numFmt w:val="decimal"/>
      <w:lvlText w:val=""/>
      <w:lvlJc w:val="left"/>
    </w:lvl>
  </w:abstractNum>
  <w:abstractNum w:abstractNumId="1" w15:restartNumberingAfterBreak="0">
    <w:nsid w:val="794813A0"/>
    <w:multiLevelType w:val="hybridMultilevel"/>
    <w:tmpl w:val="1B32956E"/>
    <w:lvl w:ilvl="0" w:tplc="0DC22646">
      <w:start w:val="1"/>
      <w:numFmt w:val="bullet"/>
      <w:lvlText w:val="●"/>
      <w:lvlJc w:val="left"/>
      <w:pPr>
        <w:ind w:left="720" w:hanging="360"/>
      </w:pPr>
    </w:lvl>
    <w:lvl w:ilvl="1" w:tplc="B23415DA">
      <w:start w:val="1"/>
      <w:numFmt w:val="bullet"/>
      <w:lvlText w:val="○"/>
      <w:lvlJc w:val="left"/>
      <w:pPr>
        <w:ind w:left="1440" w:hanging="360"/>
      </w:pPr>
    </w:lvl>
    <w:lvl w:ilvl="2" w:tplc="961AC9C0">
      <w:start w:val="1"/>
      <w:numFmt w:val="bullet"/>
      <w:lvlText w:val="■"/>
      <w:lvlJc w:val="left"/>
      <w:pPr>
        <w:ind w:left="2160" w:hanging="360"/>
      </w:pPr>
    </w:lvl>
    <w:lvl w:ilvl="3" w:tplc="4462EC5C">
      <w:start w:val="1"/>
      <w:numFmt w:val="bullet"/>
      <w:lvlText w:val="●"/>
      <w:lvlJc w:val="left"/>
      <w:pPr>
        <w:ind w:left="2880" w:hanging="360"/>
      </w:pPr>
    </w:lvl>
    <w:lvl w:ilvl="4" w:tplc="41C4670C">
      <w:start w:val="1"/>
      <w:numFmt w:val="bullet"/>
      <w:lvlText w:val="○"/>
      <w:lvlJc w:val="left"/>
      <w:pPr>
        <w:ind w:left="3600" w:hanging="360"/>
      </w:pPr>
    </w:lvl>
    <w:lvl w:ilvl="5" w:tplc="B26ED81A">
      <w:start w:val="1"/>
      <w:numFmt w:val="bullet"/>
      <w:lvlText w:val="■"/>
      <w:lvlJc w:val="left"/>
      <w:pPr>
        <w:ind w:left="4320" w:hanging="360"/>
      </w:pPr>
    </w:lvl>
    <w:lvl w:ilvl="6" w:tplc="E8C208E4">
      <w:start w:val="1"/>
      <w:numFmt w:val="bullet"/>
      <w:lvlText w:val="●"/>
      <w:lvlJc w:val="left"/>
      <w:pPr>
        <w:ind w:left="5040" w:hanging="360"/>
      </w:pPr>
    </w:lvl>
    <w:lvl w:ilvl="7" w:tplc="770803C2">
      <w:start w:val="1"/>
      <w:numFmt w:val="bullet"/>
      <w:lvlText w:val="●"/>
      <w:lvlJc w:val="left"/>
      <w:pPr>
        <w:ind w:left="5760" w:hanging="360"/>
      </w:pPr>
    </w:lvl>
    <w:lvl w:ilvl="8" w:tplc="A1969D2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7A"/>
    <w:rsid w:val="00523115"/>
    <w:rsid w:val="00897B7A"/>
    <w:rsid w:val="00C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BB1AA"/>
  <w15:docId w15:val="{277DEF08-878C-4FEE-BC63-F1F36CE7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NorthShore University HealthSystem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Roberts, David</cp:lastModifiedBy>
  <cp:revision>2</cp:revision>
  <dcterms:created xsi:type="dcterms:W3CDTF">2026-07-02T19:02:00Z</dcterms:created>
  <dcterms:modified xsi:type="dcterms:W3CDTF">2026-07-02T22:11:00Z</dcterms:modified>
</cp:coreProperties>
</file>