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one" w:sz="0" w:space="0" w:color="0F4A9C"/>
          <w:left w:val="none" w:sz="0" w:space="0" w:color="0F4A9C"/>
          <w:bottom w:val="none" w:sz="0" w:space="0" w:color="0F4A9C"/>
          <w:right w:val="none" w:sz="0" w:space="0" w:color="0F4A9C"/>
          <w:insideH w:val="none" w:sz="0" w:space="0" w:color="0F4A9C"/>
          <w:insideV w:val="none" w:sz="0" w:space="0" w:color="0F4A9C"/>
        </w:tblBorders>
        <w:tblCellMar>
          <w:left w:w="10" w:type="dxa"/>
          <w:right w:w="10" w:type="dxa"/>
        </w:tblCellMar>
        <w:tblLook w:val="04A0" w:firstRow="1" w:lastRow="0" w:firstColumn="1" w:lastColumn="0" w:noHBand="0" w:noVBand="1"/>
      </w:tblPr>
      <w:tblGrid>
        <w:gridCol w:w="10440"/>
      </w:tblGrid>
      <w:tr w:rsidR="00CD6AD8" w14:paraId="1C7D3478" w14:textId="77777777">
        <w:tblPrEx>
          <w:tblCellMar>
            <w:top w:w="0" w:type="dxa"/>
            <w:bottom w:w="0" w:type="dxa"/>
          </w:tblCellMar>
        </w:tblPrEx>
        <w:tc>
          <w:tcPr>
            <w:tcW w:w="5000" w:type="pct"/>
            <w:shd w:val="clear" w:color="auto" w:fill="0F4A9C"/>
            <w:tcMar>
              <w:top w:w="260" w:type="dxa"/>
              <w:left w:w="360" w:type="dxa"/>
              <w:bottom w:w="260" w:type="dxa"/>
              <w:right w:w="360" w:type="dxa"/>
            </w:tcMar>
          </w:tcPr>
          <w:p w14:paraId="03AC333B" w14:textId="77777777" w:rsidR="00CD6AD8" w:rsidRDefault="00C76404">
            <w:pPr>
              <w:spacing w:after="160"/>
            </w:pPr>
            <w:r>
              <w:rPr>
                <w:noProof/>
              </w:rPr>
              <w:drawing>
                <wp:inline distT="0" distB="0" distL="0" distR="0" wp14:anchorId="1F0C537C" wp14:editId="36EB7D4F">
                  <wp:extent cx="161925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619250" cy="342900"/>
                          </a:xfrm>
                          <a:prstGeom prst="rect">
                            <a:avLst/>
                          </a:prstGeom>
                        </pic:spPr>
                      </pic:pic>
                    </a:graphicData>
                  </a:graphic>
                </wp:inline>
              </w:drawing>
            </w:r>
          </w:p>
          <w:p w14:paraId="003607E0" w14:textId="77777777" w:rsidR="00CD6AD8" w:rsidRDefault="00C76404">
            <w:pPr>
              <w:spacing w:after="60"/>
            </w:pPr>
            <w:r>
              <w:rPr>
                <w:rFonts w:ascii="Merriweather" w:eastAsia="Merriweather" w:hAnsi="Merriweather" w:cs="Merriweather"/>
                <w:b/>
                <w:bCs/>
                <w:color w:val="FFFFFF"/>
                <w:sz w:val="40"/>
                <w:szCs w:val="40"/>
              </w:rPr>
              <w:t>Tension Band Plate Removal (Guided Growth)</w:t>
            </w:r>
          </w:p>
          <w:p w14:paraId="33D8BAA6" w14:textId="77777777" w:rsidR="00CD6AD8" w:rsidRDefault="00C76404">
            <w:pPr>
              <w:spacing w:after="200"/>
            </w:pPr>
            <w:r>
              <w:rPr>
                <w:rFonts w:ascii="Source Sans 3" w:eastAsia="Source Sans 3" w:hAnsi="Source Sans 3" w:cs="Source Sans 3"/>
                <w:i/>
                <w:iCs/>
                <w:color w:val="E8F0FC"/>
                <w:sz w:val="22"/>
                <w:szCs w:val="22"/>
              </w:rPr>
              <w:t>Postoperative Rehabilitation Protocol — Clinician / Physical Therapy Reference</w:t>
            </w:r>
          </w:p>
        </w:tc>
      </w:tr>
    </w:tbl>
    <w:p w14:paraId="0A52B05F" w14:textId="77777777" w:rsidR="00CD6AD8" w:rsidRDefault="00CD6AD8">
      <w:pPr>
        <w:spacing w:after="100"/>
      </w:pPr>
    </w:p>
    <w:p w14:paraId="2144D8A6" w14:textId="77777777" w:rsidR="00CD6AD8" w:rsidRDefault="00C76404">
      <w:pPr>
        <w:pBdr>
          <w:bottom w:val="single" w:sz="6" w:space="4" w:color="1A63CC"/>
        </w:pBdr>
        <w:spacing w:before="320" w:after="140"/>
      </w:pPr>
      <w:r>
        <w:rPr>
          <w:rFonts w:ascii="Merriweather" w:eastAsia="Merriweather" w:hAnsi="Merriweather" w:cs="Merriweather"/>
          <w:b/>
          <w:bCs/>
          <w:color w:val="0F4A9C"/>
          <w:sz w:val="27"/>
          <w:szCs w:val="27"/>
        </w:rPr>
        <w:t>Procedure Overview</w:t>
      </w:r>
    </w:p>
    <w:p w14:paraId="69380B41" w14:textId="77777777" w:rsidR="00CD6AD8" w:rsidRDefault="00C76404">
      <w:pPr>
        <w:spacing w:after="160"/>
      </w:pPr>
      <w:r>
        <w:rPr>
          <w:rFonts w:ascii="Source Sans 3" w:eastAsia="Source Sans 3" w:hAnsi="Source Sans 3" w:cs="Source Sans 3"/>
          <w:color w:val="1A1A1A"/>
          <w:sz w:val="21"/>
          <w:szCs w:val="21"/>
        </w:rPr>
        <w:t xml:space="preserve">Guided growth tension-band plating (“8-plate” </w:t>
      </w:r>
      <w:proofErr w:type="spellStart"/>
      <w:r>
        <w:rPr>
          <w:rFonts w:ascii="Source Sans 3" w:eastAsia="Source Sans 3" w:hAnsi="Source Sans 3" w:cs="Source Sans 3"/>
          <w:color w:val="1A1A1A"/>
          <w:sz w:val="21"/>
          <w:szCs w:val="21"/>
        </w:rPr>
        <w:t>hemiepiphysiodesis</w:t>
      </w:r>
      <w:proofErr w:type="spellEnd"/>
      <w:r>
        <w:rPr>
          <w:rFonts w:ascii="Source Sans 3" w:eastAsia="Source Sans 3" w:hAnsi="Source Sans 3" w:cs="Source Sans 3"/>
          <w:color w:val="1A1A1A"/>
          <w:sz w:val="21"/>
          <w:szCs w:val="21"/>
        </w:rPr>
        <w:t xml:space="preserve">) is a temporary implant placed across the growth plate (physis) of the distal femur and/or proximal tibia to correct angular deformity of the knee (genu </w:t>
      </w:r>
      <w:proofErr w:type="spellStart"/>
      <w:r>
        <w:rPr>
          <w:rFonts w:ascii="Source Sans 3" w:eastAsia="Source Sans 3" w:hAnsi="Source Sans 3" w:cs="Source Sans 3"/>
          <w:color w:val="1A1A1A"/>
          <w:sz w:val="21"/>
          <w:szCs w:val="21"/>
        </w:rPr>
        <w:t>valgum</w:t>
      </w:r>
      <w:proofErr w:type="spellEnd"/>
      <w:r>
        <w:rPr>
          <w:rFonts w:ascii="Source Sans 3" w:eastAsia="Source Sans 3" w:hAnsi="Source Sans 3" w:cs="Source Sans 3"/>
          <w:color w:val="1A1A1A"/>
          <w:sz w:val="21"/>
          <w:szCs w:val="21"/>
        </w:rPr>
        <w:t xml:space="preserve"> or genu varum) or to manage lim</w:t>
      </w:r>
      <w:r>
        <w:rPr>
          <w:rFonts w:ascii="Source Sans 3" w:eastAsia="Source Sans 3" w:hAnsi="Source Sans 3" w:cs="Source Sans 3"/>
          <w:color w:val="1A1A1A"/>
          <w:sz w:val="21"/>
          <w:szCs w:val="21"/>
        </w:rPr>
        <w:t>b-length discrepancy. Once the desired correction has been achieved, or as the physis approaches closure, the plate and screws are removed in a short outpatient procedure so that normal, symmetric growth can resume.</w:t>
      </w:r>
    </w:p>
    <w:p w14:paraId="2614AA3C" w14:textId="77777777" w:rsidR="00CD6AD8" w:rsidRDefault="00C76404">
      <w:pPr>
        <w:spacing w:after="160"/>
      </w:pPr>
      <w:r>
        <w:rPr>
          <w:rFonts w:ascii="Source Sans 3" w:eastAsia="Source Sans 3" w:hAnsi="Source Sans 3" w:cs="Source Sans 3"/>
          <w:color w:val="1A1A1A"/>
          <w:sz w:val="21"/>
          <w:szCs w:val="21"/>
        </w:rPr>
        <w:t>Hardware removal is a soft-tissue proced</w:t>
      </w:r>
      <w:r>
        <w:rPr>
          <w:rFonts w:ascii="Source Sans 3" w:eastAsia="Source Sans 3" w:hAnsi="Source Sans 3" w:cs="Source Sans 3"/>
          <w:color w:val="1A1A1A"/>
          <w:sz w:val="21"/>
          <w:szCs w:val="21"/>
        </w:rPr>
        <w:t>ure only — the physis itself is not surgically altered. Small incisions are reopened over the prior implant sites, the plate and two screws are removed, and the wounds are closed. There is minimal disruption to surrounding muscle, and no bone cuts or intra</w:t>
      </w:r>
      <w:r>
        <w:rPr>
          <w:rFonts w:ascii="Source Sans 3" w:eastAsia="Source Sans 3" w:hAnsi="Source Sans 3" w:cs="Source Sans 3"/>
          <w:color w:val="1A1A1A"/>
          <w:sz w:val="21"/>
          <w:szCs w:val="21"/>
        </w:rPr>
        <w:t>-articular work are performed.</w:t>
      </w:r>
    </w:p>
    <w:p w14:paraId="01D38FAD" w14:textId="77777777" w:rsidR="00CD6AD8" w:rsidRDefault="00C76404">
      <w:pPr>
        <w:pBdr>
          <w:bottom w:val="single" w:sz="6" w:space="4" w:color="1A63CC"/>
        </w:pBdr>
        <w:spacing w:before="320" w:after="140"/>
      </w:pPr>
      <w:r>
        <w:rPr>
          <w:rFonts w:ascii="Merriweather" w:eastAsia="Merriweather" w:hAnsi="Merriweather" w:cs="Merriweather"/>
          <w:b/>
          <w:bCs/>
          <w:color w:val="0F4A9C"/>
          <w:sz w:val="27"/>
          <w:szCs w:val="27"/>
        </w:rPr>
        <w:t>Relevant Anatomy</w:t>
      </w:r>
    </w:p>
    <w:p w14:paraId="2C3B8517" w14:textId="77777777" w:rsidR="00CD6AD8" w:rsidRDefault="00C76404">
      <w:pPr>
        <w:spacing w:after="160"/>
      </w:pPr>
      <w:r>
        <w:rPr>
          <w:rFonts w:ascii="Source Sans 3" w:eastAsia="Source Sans 3" w:hAnsi="Source Sans 3" w:cs="Source Sans 3"/>
          <w:color w:val="1A1A1A"/>
          <w:sz w:val="21"/>
          <w:szCs w:val="21"/>
        </w:rPr>
        <w:t xml:space="preserve">The tension-band plate spans the physis on one side of the distal femur or proximal tibia (medial side for genu </w:t>
      </w:r>
      <w:proofErr w:type="spellStart"/>
      <w:r>
        <w:rPr>
          <w:rFonts w:ascii="Source Sans 3" w:eastAsia="Source Sans 3" w:hAnsi="Source Sans 3" w:cs="Source Sans 3"/>
          <w:color w:val="1A1A1A"/>
          <w:sz w:val="21"/>
          <w:szCs w:val="21"/>
        </w:rPr>
        <w:t>valgum</w:t>
      </w:r>
      <w:proofErr w:type="spellEnd"/>
      <w:r>
        <w:rPr>
          <w:rFonts w:ascii="Source Sans 3" w:eastAsia="Source Sans 3" w:hAnsi="Source Sans 3" w:cs="Source Sans 3"/>
          <w:color w:val="1A1A1A"/>
          <w:sz w:val="21"/>
          <w:szCs w:val="21"/>
        </w:rPr>
        <w:t xml:space="preserve"> correction, lateral side for genu varum correction), tethering that side of the growth pl</w:t>
      </w:r>
      <w:r>
        <w:rPr>
          <w:rFonts w:ascii="Source Sans 3" w:eastAsia="Source Sans 3" w:hAnsi="Source Sans 3" w:cs="Source Sans 3"/>
          <w:color w:val="1A1A1A"/>
          <w:sz w:val="21"/>
          <w:szCs w:val="21"/>
        </w:rPr>
        <w:t>ate while the opposite side continues to grow normally. This differential growth gradually corrects the angular deformity. The plate sits just deep to the periosteum, outside the joint, with one screw above and one screw below the physis.</w:t>
      </w:r>
    </w:p>
    <w:p w14:paraId="026D8167" w14:textId="77777777" w:rsidR="00CD6AD8" w:rsidRDefault="00C76404">
      <w:pPr>
        <w:spacing w:after="160"/>
      </w:pPr>
      <w:r>
        <w:rPr>
          <w:rFonts w:ascii="Source Sans 3" w:eastAsia="Source Sans 3" w:hAnsi="Source Sans 3" w:cs="Source Sans 3"/>
          <w:color w:val="1A1A1A"/>
          <w:sz w:val="21"/>
          <w:szCs w:val="21"/>
        </w:rPr>
        <w:t>Because guided gr</w:t>
      </w:r>
      <w:r>
        <w:rPr>
          <w:rFonts w:ascii="Source Sans 3" w:eastAsia="Source Sans 3" w:hAnsi="Source Sans 3" w:cs="Source Sans 3"/>
          <w:color w:val="1A1A1A"/>
          <w:sz w:val="21"/>
          <w:szCs w:val="21"/>
        </w:rPr>
        <w:t>owth is frequently performed bilaterally for symmetric deformities, hardware removal is often done at both knees in the same setting, and this protocol applies equally to unilateral or bilateral cases.</w:t>
      </w:r>
    </w:p>
    <w:p w14:paraId="3E09FFD2" w14:textId="77777777" w:rsidR="00CD6AD8" w:rsidRDefault="00C76404">
      <w:pPr>
        <w:pBdr>
          <w:bottom w:val="single" w:sz="6" w:space="4" w:color="1A63CC"/>
        </w:pBdr>
        <w:spacing w:before="320" w:after="140"/>
      </w:pPr>
      <w:r>
        <w:rPr>
          <w:rFonts w:ascii="Merriweather" w:eastAsia="Merriweather" w:hAnsi="Merriweather" w:cs="Merriweather"/>
          <w:b/>
          <w:bCs/>
          <w:color w:val="0F4A9C"/>
          <w:sz w:val="27"/>
          <w:szCs w:val="27"/>
        </w:rPr>
        <w:t>Natural History / Expected Course</w:t>
      </w:r>
    </w:p>
    <w:p w14:paraId="20A7E5FF" w14:textId="77777777" w:rsidR="00CD6AD8" w:rsidRDefault="00C76404">
      <w:pPr>
        <w:spacing w:after="160"/>
      </w:pPr>
      <w:r>
        <w:rPr>
          <w:rFonts w:ascii="Source Sans 3" w:eastAsia="Source Sans 3" w:hAnsi="Source Sans 3" w:cs="Source Sans 3"/>
          <w:color w:val="1A1A1A"/>
          <w:sz w:val="21"/>
          <w:szCs w:val="21"/>
        </w:rPr>
        <w:t>Once the plate is removed, the previously tethered side of the physis resumes normal growth, and the limb typically continues to grow symmetrically going forward. Incisions are small and heal quickly. Postoperative discomfort is generally mild and short-li</w:t>
      </w:r>
      <w:r>
        <w:rPr>
          <w:rFonts w:ascii="Source Sans 3" w:eastAsia="Source Sans 3" w:hAnsi="Source Sans 3" w:cs="Source Sans 3"/>
          <w:color w:val="1A1A1A"/>
          <w:sz w:val="21"/>
          <w:szCs w:val="21"/>
        </w:rPr>
        <w:t>ved compared with the index guided-growth surgery, and most children return to their baseline activity level within a few weeks.</w:t>
      </w:r>
    </w:p>
    <w:p w14:paraId="642F35C9" w14:textId="77777777" w:rsidR="00CD6AD8" w:rsidRDefault="00C76404">
      <w:pPr>
        <w:pBdr>
          <w:bottom w:val="single" w:sz="6" w:space="4" w:color="1A63CC"/>
        </w:pBdr>
        <w:spacing w:before="320" w:after="140"/>
      </w:pPr>
      <w:r>
        <w:rPr>
          <w:rFonts w:ascii="Merriweather" w:eastAsia="Merriweather" w:hAnsi="Merriweather" w:cs="Merriweather"/>
          <w:b/>
          <w:bCs/>
          <w:color w:val="0F4A9C"/>
          <w:sz w:val="27"/>
          <w:szCs w:val="27"/>
        </w:rPr>
        <w:t>Weight-Bearing and Activity Restrictions</w:t>
      </w:r>
    </w:p>
    <w:tbl>
      <w:tblPr>
        <w:tblW w:w="5000" w:type="pct"/>
        <w:tblBorders>
          <w:top w:val="single" w:sz="4" w:space="0" w:color="2360F8"/>
          <w:left w:val="single" w:sz="4" w:space="0" w:color="2360F8"/>
          <w:bottom w:val="single" w:sz="4" w:space="0" w:color="2360F8"/>
          <w:right w:val="single" w:sz="4" w:space="0" w:color="2360F8"/>
          <w:insideH w:val="none" w:sz="0" w:space="0" w:color="2360F8"/>
          <w:insideV w:val="none" w:sz="0" w:space="0" w:color="2360F8"/>
        </w:tblBorders>
        <w:tblCellMar>
          <w:left w:w="10" w:type="dxa"/>
          <w:right w:w="10" w:type="dxa"/>
        </w:tblCellMar>
        <w:tblLook w:val="04A0" w:firstRow="1" w:lastRow="0" w:firstColumn="1" w:lastColumn="0" w:noHBand="0" w:noVBand="1"/>
      </w:tblPr>
      <w:tblGrid>
        <w:gridCol w:w="10430"/>
      </w:tblGrid>
      <w:tr w:rsidR="00CD6AD8" w14:paraId="284850DD" w14:textId="77777777">
        <w:tblPrEx>
          <w:tblCellMar>
            <w:top w:w="0" w:type="dxa"/>
            <w:bottom w:w="0" w:type="dxa"/>
          </w:tblCellMar>
        </w:tblPrEx>
        <w:tc>
          <w:tcPr>
            <w:tcW w:w="5000" w:type="pct"/>
            <w:shd w:val="clear" w:color="auto" w:fill="EAF0FE"/>
            <w:tcMar>
              <w:top w:w="180" w:type="dxa"/>
              <w:left w:w="260" w:type="dxa"/>
              <w:bottom w:w="180" w:type="dxa"/>
              <w:right w:w="260" w:type="dxa"/>
            </w:tcMar>
          </w:tcPr>
          <w:p w14:paraId="022F4B2C" w14:textId="77777777" w:rsidR="00CD6AD8" w:rsidRDefault="00C76404">
            <w:pPr>
              <w:spacing w:after="80"/>
            </w:pPr>
            <w:r>
              <w:rPr>
                <w:rFonts w:ascii="Source Sans 3" w:eastAsia="Source Sans 3" w:hAnsi="Source Sans 3" w:cs="Source Sans 3"/>
                <w:b/>
                <w:bCs/>
                <w:color w:val="0F4A9C"/>
                <w:sz w:val="22"/>
                <w:szCs w:val="22"/>
              </w:rPr>
              <w:t>Summary</w:t>
            </w:r>
          </w:p>
          <w:p w14:paraId="6B6380B8" w14:textId="77777777" w:rsidR="00CD6AD8" w:rsidRDefault="00C76404">
            <w:pPr>
              <w:pStyle w:val="ListParagraph"/>
              <w:numPr>
                <w:ilvl w:val="0"/>
                <w:numId w:val="1"/>
              </w:numPr>
              <w:spacing w:after="60"/>
            </w:pPr>
            <w:r>
              <w:rPr>
                <w:rFonts w:ascii="Source Sans 3" w:eastAsia="Source Sans 3" w:hAnsi="Source Sans 3" w:cs="Source Sans 3"/>
                <w:color w:val="1A1A1A"/>
                <w:sz w:val="21"/>
                <w:szCs w:val="21"/>
              </w:rPr>
              <w:t>Weight-bearing as tolerated (WBAT), starting immediately after surgery.</w:t>
            </w:r>
          </w:p>
          <w:p w14:paraId="634DF35A" w14:textId="77777777" w:rsidR="00CD6AD8" w:rsidRDefault="00C76404">
            <w:pPr>
              <w:pStyle w:val="ListParagraph"/>
              <w:numPr>
                <w:ilvl w:val="0"/>
                <w:numId w:val="1"/>
              </w:numPr>
              <w:spacing w:after="60"/>
            </w:pPr>
            <w:r>
              <w:rPr>
                <w:rFonts w:ascii="Source Sans 3" w:eastAsia="Source Sans 3" w:hAnsi="Source Sans 3" w:cs="Source Sans 3"/>
                <w:color w:val="1A1A1A"/>
                <w:sz w:val="21"/>
                <w:szCs w:val="21"/>
              </w:rPr>
              <w:t>No bra</w:t>
            </w:r>
            <w:r>
              <w:rPr>
                <w:rFonts w:ascii="Source Sans 3" w:eastAsia="Source Sans 3" w:hAnsi="Source Sans 3" w:cs="Source Sans 3"/>
                <w:color w:val="1A1A1A"/>
                <w:sz w:val="21"/>
                <w:szCs w:val="21"/>
              </w:rPr>
              <w:t>ce or cast is required.</w:t>
            </w:r>
          </w:p>
          <w:p w14:paraId="407DB2D0" w14:textId="77777777" w:rsidR="00CD6AD8" w:rsidRDefault="00C76404">
            <w:pPr>
              <w:pStyle w:val="ListParagraph"/>
              <w:numPr>
                <w:ilvl w:val="0"/>
                <w:numId w:val="1"/>
              </w:numPr>
              <w:spacing w:after="60"/>
            </w:pPr>
            <w:r>
              <w:rPr>
                <w:rFonts w:ascii="Source Sans 3" w:eastAsia="Source Sans 3" w:hAnsi="Source Sans 3" w:cs="Source Sans 3"/>
                <w:color w:val="1A1A1A"/>
                <w:sz w:val="21"/>
                <w:szCs w:val="21"/>
              </w:rPr>
              <w:t>No formal activity restrictions — activity is advanced as comfort allows.</w:t>
            </w:r>
          </w:p>
          <w:p w14:paraId="4217DB64" w14:textId="7F29A28A" w:rsidR="00CD6AD8" w:rsidRDefault="00C76404" w:rsidP="00C76404">
            <w:pPr>
              <w:pStyle w:val="ListParagraph"/>
              <w:numPr>
                <w:ilvl w:val="0"/>
                <w:numId w:val="1"/>
              </w:numPr>
              <w:spacing w:after="60"/>
            </w:pPr>
            <w:r>
              <w:rPr>
                <w:rFonts w:ascii="Source Sans 3" w:eastAsia="Source Sans 3" w:hAnsi="Source Sans 3" w:cs="Source Sans 3"/>
                <w:color w:val="1A1A1A"/>
                <w:sz w:val="21"/>
                <w:szCs w:val="21"/>
              </w:rPr>
              <w:t>Crutches may be used briefly for comfort/balance and are weaned as gait normalizes, typically within 1–2 weeks.</w:t>
            </w:r>
          </w:p>
        </w:tc>
      </w:tr>
    </w:tbl>
    <w:p w14:paraId="7952F756" w14:textId="77777777" w:rsidR="00CD6AD8" w:rsidRDefault="00C76404">
      <w:pPr>
        <w:pBdr>
          <w:bottom w:val="single" w:sz="6" w:space="4" w:color="1A63CC"/>
        </w:pBdr>
        <w:spacing w:before="320" w:after="140"/>
      </w:pPr>
      <w:r>
        <w:rPr>
          <w:rFonts w:ascii="Merriweather" w:eastAsia="Merriweather" w:hAnsi="Merriweather" w:cs="Merriweather"/>
          <w:b/>
          <w:bCs/>
          <w:color w:val="0F4A9C"/>
          <w:sz w:val="27"/>
          <w:szCs w:val="27"/>
        </w:rPr>
        <w:lastRenderedPageBreak/>
        <w:t>Rehabilitation Phases</w:t>
      </w:r>
    </w:p>
    <w:tbl>
      <w:tblPr>
        <w:tblW w:w="5000" w:type="pct"/>
        <w:tblBorders>
          <w:top w:val="single" w:sz="4" w:space="0" w:color="0F4A9C"/>
          <w:left w:val="single" w:sz="4" w:space="0" w:color="0F4A9C"/>
          <w:bottom w:val="single" w:sz="4" w:space="0" w:color="0F4A9C"/>
          <w:right w:val="single" w:sz="4" w:space="0" w:color="0F4A9C"/>
          <w:insideH w:val="single" w:sz="4" w:space="0" w:color="0F4A9C"/>
          <w:insideV w:val="single" w:sz="4" w:space="0" w:color="0F4A9C"/>
        </w:tblBorders>
        <w:tblCellMar>
          <w:left w:w="10" w:type="dxa"/>
          <w:right w:w="10" w:type="dxa"/>
        </w:tblCellMar>
        <w:tblLook w:val="04A0" w:firstRow="1" w:lastRow="0" w:firstColumn="1" w:lastColumn="0" w:noHBand="0" w:noVBand="1"/>
      </w:tblPr>
      <w:tblGrid>
        <w:gridCol w:w="5006"/>
        <w:gridCol w:w="5424"/>
      </w:tblGrid>
      <w:tr w:rsidR="00CD6AD8" w14:paraId="1748E6A5" w14:textId="77777777">
        <w:tblPrEx>
          <w:tblCellMar>
            <w:top w:w="0" w:type="dxa"/>
            <w:bottom w:w="0" w:type="dxa"/>
          </w:tblCellMar>
        </w:tblPrEx>
        <w:tc>
          <w:tcPr>
            <w:tcW w:w="5000" w:type="pct"/>
            <w:gridSpan w:val="2"/>
            <w:shd w:val="clear" w:color="auto" w:fill="0F4A9C"/>
            <w:tcMar>
              <w:top w:w="140" w:type="dxa"/>
              <w:left w:w="260" w:type="dxa"/>
              <w:bottom w:w="140" w:type="dxa"/>
              <w:right w:w="260" w:type="dxa"/>
            </w:tcMar>
          </w:tcPr>
          <w:p w14:paraId="7EE7A243" w14:textId="77777777" w:rsidR="00CD6AD8" w:rsidRDefault="00C76404">
            <w:r>
              <w:rPr>
                <w:rFonts w:ascii="Merriweather" w:eastAsia="Merriweather" w:hAnsi="Merriweather" w:cs="Merriweather"/>
                <w:b/>
                <w:bCs/>
                <w:color w:val="FFFFFF"/>
                <w:sz w:val="24"/>
                <w:szCs w:val="24"/>
              </w:rPr>
              <w:t>Phase 1: Immediate Postoperative</w:t>
            </w:r>
            <w:r>
              <w:rPr>
                <w:rFonts w:ascii="Source Sans 3" w:eastAsia="Source Sans 3" w:hAnsi="Source Sans 3" w:cs="Source Sans 3"/>
                <w:color w:val="FFFFFF"/>
              </w:rPr>
              <w:t xml:space="preserve">   •   Days 0–3</w:t>
            </w:r>
          </w:p>
        </w:tc>
      </w:tr>
      <w:tr w:rsidR="00CD6AD8" w14:paraId="177A8180" w14:textId="77777777">
        <w:tblPrEx>
          <w:tblCellMar>
            <w:top w:w="0" w:type="dxa"/>
            <w:bottom w:w="0" w:type="dxa"/>
          </w:tblCellMar>
        </w:tblPrEx>
        <w:tc>
          <w:tcPr>
            <w:tcW w:w="2400" w:type="pct"/>
            <w:shd w:val="clear" w:color="auto" w:fill="E8F0FC"/>
            <w:tcMar>
              <w:top w:w="160" w:type="dxa"/>
              <w:left w:w="220" w:type="dxa"/>
              <w:bottom w:w="160" w:type="dxa"/>
              <w:right w:w="220" w:type="dxa"/>
            </w:tcMar>
          </w:tcPr>
          <w:p w14:paraId="62C4F69F" w14:textId="77777777" w:rsidR="00CD6AD8" w:rsidRDefault="00C76404">
            <w:pPr>
              <w:spacing w:after="80"/>
            </w:pPr>
            <w:r>
              <w:rPr>
                <w:rFonts w:ascii="Source Sans 3" w:eastAsia="Source Sans 3" w:hAnsi="Source Sans 3" w:cs="Source Sans 3"/>
                <w:b/>
                <w:bCs/>
                <w:color w:val="0F4A9C"/>
              </w:rPr>
              <w:t>Weight-Bearing / Brace</w:t>
            </w:r>
          </w:p>
          <w:p w14:paraId="393611D2"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Weight-bearing as tolerated bilaterally</w:t>
            </w:r>
          </w:p>
          <w:p w14:paraId="6A5679E1"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No brace; soft dressing or ace wrap</w:t>
            </w:r>
          </w:p>
          <w:p w14:paraId="128EAFB7"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Crutches available for balance/comfort as needed</w:t>
            </w:r>
          </w:p>
        </w:tc>
        <w:tc>
          <w:tcPr>
            <w:tcW w:w="2600" w:type="pct"/>
            <w:shd w:val="clear" w:color="auto" w:fill="FFFFFF"/>
            <w:tcMar>
              <w:top w:w="160" w:type="dxa"/>
              <w:left w:w="220" w:type="dxa"/>
              <w:bottom w:w="160" w:type="dxa"/>
              <w:right w:w="220" w:type="dxa"/>
            </w:tcMar>
          </w:tcPr>
          <w:p w14:paraId="06F7C671" w14:textId="77777777" w:rsidR="00CD6AD8" w:rsidRDefault="00C76404">
            <w:pPr>
              <w:spacing w:after="80"/>
            </w:pPr>
            <w:r>
              <w:rPr>
                <w:rFonts w:ascii="Source Sans 3" w:eastAsia="Source Sans 3" w:hAnsi="Source Sans 3" w:cs="Source Sans 3"/>
                <w:b/>
                <w:bCs/>
                <w:color w:val="0F4A9C"/>
              </w:rPr>
              <w:t>Goals / Interventions</w:t>
            </w:r>
          </w:p>
          <w:p w14:paraId="6A84910C"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Ice and elevation for swelling control</w:t>
            </w:r>
          </w:p>
          <w:p w14:paraId="7ABD7BCE"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Ankle pumps</w:t>
            </w:r>
          </w:p>
          <w:p w14:paraId="5243971B"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Quad sets and gentle active knee ROM as tolerated</w:t>
            </w:r>
          </w:p>
          <w:p w14:paraId="0608B7A9"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Wound checks; keep incisions clean and dry</w:t>
            </w:r>
          </w:p>
        </w:tc>
      </w:tr>
      <w:tr w:rsidR="00CD6AD8" w14:paraId="4FE71682" w14:textId="77777777">
        <w:tblPrEx>
          <w:tblCellMar>
            <w:top w:w="0" w:type="dxa"/>
            <w:bottom w:w="0" w:type="dxa"/>
          </w:tblCellMar>
        </w:tblPrEx>
        <w:tc>
          <w:tcPr>
            <w:tcW w:w="5000" w:type="pct"/>
            <w:gridSpan w:val="2"/>
            <w:shd w:val="clear" w:color="auto" w:fill="EAF0FE"/>
            <w:tcMar>
              <w:top w:w="120" w:type="dxa"/>
              <w:left w:w="260" w:type="dxa"/>
              <w:bottom w:w="120" w:type="dxa"/>
              <w:right w:w="260" w:type="dxa"/>
            </w:tcMar>
          </w:tcPr>
          <w:p w14:paraId="51C6BA54" w14:textId="77777777" w:rsidR="00CD6AD8" w:rsidRDefault="00C76404">
            <w:r>
              <w:rPr>
                <w:rFonts w:ascii="Source Sans 3" w:eastAsia="Source Sans 3" w:hAnsi="Source Sans 3" w:cs="Source Sans 3"/>
                <w:b/>
                <w:bCs/>
                <w:color w:val="0F4A9C"/>
              </w:rPr>
              <w:t xml:space="preserve">Criteria to Advance:  </w:t>
            </w:r>
            <w:r>
              <w:rPr>
                <w:rFonts w:ascii="Source Sans 3" w:eastAsia="Source Sans 3" w:hAnsi="Source Sans 3" w:cs="Source Sans 3"/>
                <w:color w:val="1A1A1A"/>
              </w:rPr>
              <w:t>Comfortable weight bearing, stable incisions, pain controlled with oral analgesics</w:t>
            </w:r>
          </w:p>
        </w:tc>
      </w:tr>
    </w:tbl>
    <w:p w14:paraId="6F576BF0" w14:textId="77777777" w:rsidR="00CD6AD8" w:rsidRDefault="00CD6AD8">
      <w:pPr>
        <w:spacing w:after="60"/>
      </w:pPr>
    </w:p>
    <w:tbl>
      <w:tblPr>
        <w:tblW w:w="5000" w:type="pct"/>
        <w:tblBorders>
          <w:top w:val="single" w:sz="4" w:space="0" w:color="1A63CC"/>
          <w:left w:val="single" w:sz="4" w:space="0" w:color="1A63CC"/>
          <w:bottom w:val="single" w:sz="4" w:space="0" w:color="1A63CC"/>
          <w:right w:val="single" w:sz="4" w:space="0" w:color="1A63CC"/>
          <w:insideH w:val="single" w:sz="4" w:space="0" w:color="1A63CC"/>
          <w:insideV w:val="single" w:sz="4" w:space="0" w:color="1A63CC"/>
        </w:tblBorders>
        <w:tblCellMar>
          <w:left w:w="10" w:type="dxa"/>
          <w:right w:w="10" w:type="dxa"/>
        </w:tblCellMar>
        <w:tblLook w:val="04A0" w:firstRow="1" w:lastRow="0" w:firstColumn="1" w:lastColumn="0" w:noHBand="0" w:noVBand="1"/>
      </w:tblPr>
      <w:tblGrid>
        <w:gridCol w:w="5006"/>
        <w:gridCol w:w="5424"/>
      </w:tblGrid>
      <w:tr w:rsidR="00CD6AD8" w14:paraId="0BB8A613" w14:textId="77777777">
        <w:tblPrEx>
          <w:tblCellMar>
            <w:top w:w="0" w:type="dxa"/>
            <w:bottom w:w="0" w:type="dxa"/>
          </w:tblCellMar>
        </w:tblPrEx>
        <w:tc>
          <w:tcPr>
            <w:tcW w:w="5000" w:type="pct"/>
            <w:gridSpan w:val="2"/>
            <w:shd w:val="clear" w:color="auto" w:fill="1A63CC"/>
            <w:tcMar>
              <w:top w:w="140" w:type="dxa"/>
              <w:left w:w="260" w:type="dxa"/>
              <w:bottom w:w="140" w:type="dxa"/>
              <w:right w:w="260" w:type="dxa"/>
            </w:tcMar>
          </w:tcPr>
          <w:p w14:paraId="07D4D9EA" w14:textId="77777777" w:rsidR="00CD6AD8" w:rsidRDefault="00C76404">
            <w:r>
              <w:rPr>
                <w:rFonts w:ascii="Merriweather" w:eastAsia="Merriweather" w:hAnsi="Merriweather" w:cs="Merriweather"/>
                <w:b/>
                <w:bCs/>
                <w:color w:val="FFFFFF"/>
                <w:sz w:val="24"/>
                <w:szCs w:val="24"/>
              </w:rPr>
              <w:t>Phase 2: Gait Normalization / Motion Restoration</w:t>
            </w:r>
            <w:r>
              <w:rPr>
                <w:rFonts w:ascii="Source Sans 3" w:eastAsia="Source Sans 3" w:hAnsi="Source Sans 3" w:cs="Source Sans 3"/>
                <w:color w:val="FFFFFF"/>
              </w:rPr>
              <w:t xml:space="preserve">   •   Days 3–14</w:t>
            </w:r>
          </w:p>
        </w:tc>
      </w:tr>
      <w:tr w:rsidR="00CD6AD8" w14:paraId="645D5BE0" w14:textId="77777777">
        <w:tblPrEx>
          <w:tblCellMar>
            <w:top w:w="0" w:type="dxa"/>
            <w:bottom w:w="0" w:type="dxa"/>
          </w:tblCellMar>
        </w:tblPrEx>
        <w:tc>
          <w:tcPr>
            <w:tcW w:w="2400" w:type="pct"/>
            <w:shd w:val="clear" w:color="auto" w:fill="E8F0FC"/>
            <w:tcMar>
              <w:top w:w="160" w:type="dxa"/>
              <w:left w:w="220" w:type="dxa"/>
              <w:bottom w:w="160" w:type="dxa"/>
              <w:right w:w="220" w:type="dxa"/>
            </w:tcMar>
          </w:tcPr>
          <w:p w14:paraId="45C7E5FE" w14:textId="77777777" w:rsidR="00CD6AD8" w:rsidRDefault="00C76404">
            <w:pPr>
              <w:spacing w:after="80"/>
            </w:pPr>
            <w:r>
              <w:rPr>
                <w:rFonts w:ascii="Source Sans 3" w:eastAsia="Source Sans 3" w:hAnsi="Source Sans 3" w:cs="Source Sans 3"/>
                <w:b/>
                <w:bCs/>
                <w:color w:val="0F4A9C"/>
              </w:rPr>
              <w:t>Weight-Bearing / Brace</w:t>
            </w:r>
          </w:p>
          <w:p w14:paraId="20CF18DE"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WBAT, no restrictions</w:t>
            </w:r>
          </w:p>
          <w:p w14:paraId="43F9BD16"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No brace</w:t>
            </w:r>
          </w:p>
          <w:p w14:paraId="5ED7D6EC"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Wean off crutches as gait normalizes</w:t>
            </w:r>
          </w:p>
        </w:tc>
        <w:tc>
          <w:tcPr>
            <w:tcW w:w="2600" w:type="pct"/>
            <w:shd w:val="clear" w:color="auto" w:fill="FFFFFF"/>
            <w:tcMar>
              <w:top w:w="160" w:type="dxa"/>
              <w:left w:w="220" w:type="dxa"/>
              <w:bottom w:w="160" w:type="dxa"/>
              <w:right w:w="220" w:type="dxa"/>
            </w:tcMar>
          </w:tcPr>
          <w:p w14:paraId="195D0516" w14:textId="77777777" w:rsidR="00CD6AD8" w:rsidRDefault="00C76404">
            <w:pPr>
              <w:spacing w:after="80"/>
            </w:pPr>
            <w:r>
              <w:rPr>
                <w:rFonts w:ascii="Source Sans 3" w:eastAsia="Source Sans 3" w:hAnsi="Source Sans 3" w:cs="Source Sans 3"/>
                <w:b/>
                <w:bCs/>
                <w:color w:val="0F4A9C"/>
              </w:rPr>
              <w:t>Goals / Interventions</w:t>
            </w:r>
          </w:p>
          <w:p w14:paraId="2098DF4E"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Gait training emphasizing symmetric stance phase and stride length</w:t>
            </w:r>
          </w:p>
          <w:p w14:paraId="23BB83A9"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Restore full, symmetric bilateral knee flexion and extension</w:t>
            </w:r>
          </w:p>
          <w:p w14:paraId="6BB6B971"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Begin closed-chain strengthening (mini-squats, step-ups) as tolerated</w:t>
            </w:r>
          </w:p>
          <w:p w14:paraId="5BF51617"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Stationary bike for motion and light conditioning</w:t>
            </w:r>
          </w:p>
        </w:tc>
      </w:tr>
      <w:tr w:rsidR="00CD6AD8" w14:paraId="01125655" w14:textId="77777777">
        <w:tblPrEx>
          <w:tblCellMar>
            <w:top w:w="0" w:type="dxa"/>
            <w:bottom w:w="0" w:type="dxa"/>
          </w:tblCellMar>
        </w:tblPrEx>
        <w:tc>
          <w:tcPr>
            <w:tcW w:w="5000" w:type="pct"/>
            <w:gridSpan w:val="2"/>
            <w:shd w:val="clear" w:color="auto" w:fill="EAF0FE"/>
            <w:tcMar>
              <w:top w:w="120" w:type="dxa"/>
              <w:left w:w="260" w:type="dxa"/>
              <w:bottom w:w="120" w:type="dxa"/>
              <w:right w:w="260" w:type="dxa"/>
            </w:tcMar>
          </w:tcPr>
          <w:p w14:paraId="6C9A9350" w14:textId="77777777" w:rsidR="00CD6AD8" w:rsidRDefault="00C76404">
            <w:r>
              <w:rPr>
                <w:rFonts w:ascii="Source Sans 3" w:eastAsia="Source Sans 3" w:hAnsi="Source Sans 3" w:cs="Source Sans 3"/>
                <w:b/>
                <w:bCs/>
                <w:color w:val="0F4A9C"/>
              </w:rPr>
              <w:t xml:space="preserve">Criteria to Advance:  </w:t>
            </w:r>
            <w:r>
              <w:rPr>
                <w:rFonts w:ascii="Source Sans 3" w:eastAsia="Source Sans 3" w:hAnsi="Source Sans 3" w:cs="Source Sans 3"/>
                <w:color w:val="1A1A1A"/>
              </w:rPr>
              <w:t>Crutch-free ambulation with a normal gait pattern; full or near-full bilateral knee ROM</w:t>
            </w:r>
          </w:p>
        </w:tc>
      </w:tr>
    </w:tbl>
    <w:p w14:paraId="3786AE81" w14:textId="71629C5A" w:rsidR="00C76404" w:rsidRDefault="00C76404">
      <w:pPr>
        <w:spacing w:after="60"/>
      </w:pPr>
    </w:p>
    <w:p w14:paraId="6F151171" w14:textId="77777777" w:rsidR="00C76404" w:rsidRDefault="00C76404">
      <w:r>
        <w:br w:type="page"/>
      </w:r>
    </w:p>
    <w:p w14:paraId="65971DE4" w14:textId="77777777" w:rsidR="00CD6AD8" w:rsidRDefault="00CD6AD8">
      <w:pPr>
        <w:spacing w:after="60"/>
      </w:pPr>
    </w:p>
    <w:tbl>
      <w:tblPr>
        <w:tblW w:w="5000" w:type="pct"/>
        <w:tblBorders>
          <w:top w:val="single" w:sz="4" w:space="0" w:color="2360F8"/>
          <w:left w:val="single" w:sz="4" w:space="0" w:color="2360F8"/>
          <w:bottom w:val="single" w:sz="4" w:space="0" w:color="2360F8"/>
          <w:right w:val="single" w:sz="4" w:space="0" w:color="2360F8"/>
          <w:insideH w:val="single" w:sz="4" w:space="0" w:color="2360F8"/>
          <w:insideV w:val="single" w:sz="4" w:space="0" w:color="2360F8"/>
        </w:tblBorders>
        <w:tblCellMar>
          <w:left w:w="10" w:type="dxa"/>
          <w:right w:w="10" w:type="dxa"/>
        </w:tblCellMar>
        <w:tblLook w:val="04A0" w:firstRow="1" w:lastRow="0" w:firstColumn="1" w:lastColumn="0" w:noHBand="0" w:noVBand="1"/>
      </w:tblPr>
      <w:tblGrid>
        <w:gridCol w:w="5006"/>
        <w:gridCol w:w="5424"/>
      </w:tblGrid>
      <w:tr w:rsidR="00CD6AD8" w14:paraId="16BE8092" w14:textId="77777777">
        <w:tblPrEx>
          <w:tblCellMar>
            <w:top w:w="0" w:type="dxa"/>
            <w:bottom w:w="0" w:type="dxa"/>
          </w:tblCellMar>
        </w:tblPrEx>
        <w:tc>
          <w:tcPr>
            <w:tcW w:w="5000" w:type="pct"/>
            <w:gridSpan w:val="2"/>
            <w:shd w:val="clear" w:color="auto" w:fill="2360F8"/>
            <w:tcMar>
              <w:top w:w="140" w:type="dxa"/>
              <w:left w:w="260" w:type="dxa"/>
              <w:bottom w:w="140" w:type="dxa"/>
              <w:right w:w="260" w:type="dxa"/>
            </w:tcMar>
          </w:tcPr>
          <w:p w14:paraId="44E16A79" w14:textId="77777777" w:rsidR="00CD6AD8" w:rsidRDefault="00C76404">
            <w:r>
              <w:rPr>
                <w:rFonts w:ascii="Merriweather" w:eastAsia="Merriweather" w:hAnsi="Merriweather" w:cs="Merriweather"/>
                <w:b/>
                <w:bCs/>
                <w:color w:val="FFFFFF"/>
                <w:sz w:val="24"/>
                <w:szCs w:val="24"/>
              </w:rPr>
              <w:t>Phase 3: Strengthening</w:t>
            </w:r>
            <w:r>
              <w:rPr>
                <w:rFonts w:ascii="Source Sans 3" w:eastAsia="Source Sans 3" w:hAnsi="Source Sans 3" w:cs="Source Sans 3"/>
                <w:color w:val="FFFFFF"/>
              </w:rPr>
              <w:t xml:space="preserve">   •   Weeks 2–6</w:t>
            </w:r>
          </w:p>
        </w:tc>
      </w:tr>
      <w:tr w:rsidR="00CD6AD8" w14:paraId="3F5B6EE0" w14:textId="77777777">
        <w:tblPrEx>
          <w:tblCellMar>
            <w:top w:w="0" w:type="dxa"/>
            <w:bottom w:w="0" w:type="dxa"/>
          </w:tblCellMar>
        </w:tblPrEx>
        <w:tc>
          <w:tcPr>
            <w:tcW w:w="2400" w:type="pct"/>
            <w:shd w:val="clear" w:color="auto" w:fill="E8F0FC"/>
            <w:tcMar>
              <w:top w:w="160" w:type="dxa"/>
              <w:left w:w="220" w:type="dxa"/>
              <w:bottom w:w="160" w:type="dxa"/>
              <w:right w:w="220" w:type="dxa"/>
            </w:tcMar>
          </w:tcPr>
          <w:p w14:paraId="25572800" w14:textId="77777777" w:rsidR="00CD6AD8" w:rsidRDefault="00C76404">
            <w:pPr>
              <w:spacing w:after="80"/>
            </w:pPr>
            <w:r>
              <w:rPr>
                <w:rFonts w:ascii="Source Sans 3" w:eastAsia="Source Sans 3" w:hAnsi="Source Sans 3" w:cs="Source Sans 3"/>
                <w:b/>
                <w:bCs/>
                <w:color w:val="0F4A9C"/>
              </w:rPr>
              <w:t>Weight-Bearing / Brace</w:t>
            </w:r>
          </w:p>
          <w:p w14:paraId="1BA63C01"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Full weight bearing, no restrictions</w:t>
            </w:r>
          </w:p>
          <w:p w14:paraId="5358A816"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No brace</w:t>
            </w:r>
          </w:p>
        </w:tc>
        <w:tc>
          <w:tcPr>
            <w:tcW w:w="2600" w:type="pct"/>
            <w:shd w:val="clear" w:color="auto" w:fill="FFFFFF"/>
            <w:tcMar>
              <w:top w:w="160" w:type="dxa"/>
              <w:left w:w="220" w:type="dxa"/>
              <w:bottom w:w="160" w:type="dxa"/>
              <w:right w:w="220" w:type="dxa"/>
            </w:tcMar>
          </w:tcPr>
          <w:p w14:paraId="0B3536E7" w14:textId="77777777" w:rsidR="00CD6AD8" w:rsidRDefault="00C76404">
            <w:pPr>
              <w:spacing w:after="80"/>
            </w:pPr>
            <w:r>
              <w:rPr>
                <w:rFonts w:ascii="Source Sans 3" w:eastAsia="Source Sans 3" w:hAnsi="Source Sans 3" w:cs="Source Sans 3"/>
                <w:b/>
                <w:bCs/>
                <w:color w:val="0F4A9C"/>
              </w:rPr>
              <w:t>Goals / Interventions</w:t>
            </w:r>
          </w:p>
          <w:p w14:paraId="1387E668"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Progressive quadriceps, hamstring, and hip strengthening — bilateral, symmetric loading</w:t>
            </w:r>
          </w:p>
          <w:p w14:paraId="5F9ED6E1"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Balance and proprioceptive training</w:t>
            </w:r>
          </w:p>
          <w:p w14:paraId="6BA6714B"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Low-impact conditioning (bike, elliptical, swimming)</w:t>
            </w:r>
          </w:p>
          <w:p w14:paraId="6B55383D"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Introduce stairs, squatting, and functional activities as tolerated</w:t>
            </w:r>
          </w:p>
        </w:tc>
      </w:tr>
      <w:tr w:rsidR="00CD6AD8" w14:paraId="305D4672" w14:textId="77777777">
        <w:tblPrEx>
          <w:tblCellMar>
            <w:top w:w="0" w:type="dxa"/>
            <w:bottom w:w="0" w:type="dxa"/>
          </w:tblCellMar>
        </w:tblPrEx>
        <w:tc>
          <w:tcPr>
            <w:tcW w:w="5000" w:type="pct"/>
            <w:gridSpan w:val="2"/>
            <w:shd w:val="clear" w:color="auto" w:fill="EAF0FE"/>
            <w:tcMar>
              <w:top w:w="120" w:type="dxa"/>
              <w:left w:w="260" w:type="dxa"/>
              <w:bottom w:w="120" w:type="dxa"/>
              <w:right w:w="260" w:type="dxa"/>
            </w:tcMar>
          </w:tcPr>
          <w:p w14:paraId="31B964D0" w14:textId="77777777" w:rsidR="00CD6AD8" w:rsidRDefault="00C76404">
            <w:r>
              <w:rPr>
                <w:rFonts w:ascii="Source Sans 3" w:eastAsia="Source Sans 3" w:hAnsi="Source Sans 3" w:cs="Source Sans 3"/>
                <w:b/>
                <w:bCs/>
                <w:color w:val="0F4A9C"/>
              </w:rPr>
              <w:t xml:space="preserve">Criteria to Advance:  </w:t>
            </w:r>
            <w:r>
              <w:rPr>
                <w:rFonts w:ascii="Source Sans 3" w:eastAsia="Source Sans 3" w:hAnsi="Source Sans 3" w:cs="Source Sans 3"/>
                <w:color w:val="1A1A1A"/>
              </w:rPr>
              <w:t>Symmetric strength between limbs; full painless ROM; comfortable with daily functional activities</w:t>
            </w:r>
          </w:p>
        </w:tc>
      </w:tr>
    </w:tbl>
    <w:p w14:paraId="056456D0" w14:textId="77777777" w:rsidR="00CD6AD8" w:rsidRDefault="00CD6AD8">
      <w:pPr>
        <w:spacing w:after="60"/>
      </w:pPr>
    </w:p>
    <w:tbl>
      <w:tblPr>
        <w:tblW w:w="5000" w:type="pct"/>
        <w:tblBorders>
          <w:top w:val="single" w:sz="4" w:space="0" w:color="2E9E5B"/>
          <w:left w:val="single" w:sz="4" w:space="0" w:color="2E9E5B"/>
          <w:bottom w:val="single" w:sz="4" w:space="0" w:color="2E9E5B"/>
          <w:right w:val="single" w:sz="4" w:space="0" w:color="2E9E5B"/>
          <w:insideH w:val="single" w:sz="4" w:space="0" w:color="2E9E5B"/>
          <w:insideV w:val="single" w:sz="4" w:space="0" w:color="2E9E5B"/>
        </w:tblBorders>
        <w:tblCellMar>
          <w:left w:w="10" w:type="dxa"/>
          <w:right w:w="10" w:type="dxa"/>
        </w:tblCellMar>
        <w:tblLook w:val="04A0" w:firstRow="1" w:lastRow="0" w:firstColumn="1" w:lastColumn="0" w:noHBand="0" w:noVBand="1"/>
      </w:tblPr>
      <w:tblGrid>
        <w:gridCol w:w="5006"/>
        <w:gridCol w:w="5424"/>
      </w:tblGrid>
      <w:tr w:rsidR="00CD6AD8" w14:paraId="77522F4F" w14:textId="77777777">
        <w:tblPrEx>
          <w:tblCellMar>
            <w:top w:w="0" w:type="dxa"/>
            <w:bottom w:w="0" w:type="dxa"/>
          </w:tblCellMar>
        </w:tblPrEx>
        <w:tc>
          <w:tcPr>
            <w:tcW w:w="5000" w:type="pct"/>
            <w:gridSpan w:val="2"/>
            <w:shd w:val="clear" w:color="auto" w:fill="2E9E5B"/>
            <w:tcMar>
              <w:top w:w="140" w:type="dxa"/>
              <w:left w:w="260" w:type="dxa"/>
              <w:bottom w:w="140" w:type="dxa"/>
              <w:right w:w="260" w:type="dxa"/>
            </w:tcMar>
          </w:tcPr>
          <w:p w14:paraId="75632367" w14:textId="77777777" w:rsidR="00CD6AD8" w:rsidRDefault="00C76404">
            <w:r>
              <w:rPr>
                <w:rFonts w:ascii="Merriweather" w:eastAsia="Merriweather" w:hAnsi="Merriweather" w:cs="Merriweather"/>
                <w:b/>
                <w:bCs/>
                <w:color w:val="FFFFFF"/>
                <w:sz w:val="24"/>
                <w:szCs w:val="24"/>
              </w:rPr>
              <w:t>Phase 4: Return to Full Activity</w:t>
            </w:r>
            <w:r>
              <w:rPr>
                <w:rFonts w:ascii="Source Sans 3" w:eastAsia="Source Sans 3" w:hAnsi="Source Sans 3" w:cs="Source Sans 3"/>
                <w:color w:val="FFFFFF"/>
              </w:rPr>
              <w:t xml:space="preserve">   •   Weeks 4–6 and beyond</w:t>
            </w:r>
          </w:p>
        </w:tc>
      </w:tr>
      <w:tr w:rsidR="00CD6AD8" w14:paraId="47CEC432" w14:textId="77777777">
        <w:tblPrEx>
          <w:tblCellMar>
            <w:top w:w="0" w:type="dxa"/>
            <w:bottom w:w="0" w:type="dxa"/>
          </w:tblCellMar>
        </w:tblPrEx>
        <w:tc>
          <w:tcPr>
            <w:tcW w:w="2400" w:type="pct"/>
            <w:shd w:val="clear" w:color="auto" w:fill="E8F0FC"/>
            <w:tcMar>
              <w:top w:w="160" w:type="dxa"/>
              <w:left w:w="220" w:type="dxa"/>
              <w:bottom w:w="160" w:type="dxa"/>
              <w:right w:w="220" w:type="dxa"/>
            </w:tcMar>
          </w:tcPr>
          <w:p w14:paraId="26EDE482" w14:textId="77777777" w:rsidR="00CD6AD8" w:rsidRDefault="00C76404">
            <w:pPr>
              <w:spacing w:after="80"/>
            </w:pPr>
            <w:r>
              <w:rPr>
                <w:rFonts w:ascii="Source Sans 3" w:eastAsia="Source Sans 3" w:hAnsi="Source Sans 3" w:cs="Source Sans 3"/>
                <w:b/>
                <w:bCs/>
                <w:color w:val="0F4A9C"/>
              </w:rPr>
              <w:t>Weight-Bearing / Brace</w:t>
            </w:r>
          </w:p>
          <w:p w14:paraId="0F641DFB"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Full weight bearing, no restrictions</w:t>
            </w:r>
          </w:p>
          <w:p w14:paraId="0EDED5FE"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No brace</w:t>
            </w:r>
          </w:p>
        </w:tc>
        <w:tc>
          <w:tcPr>
            <w:tcW w:w="2600" w:type="pct"/>
            <w:shd w:val="clear" w:color="auto" w:fill="FFFFFF"/>
            <w:tcMar>
              <w:top w:w="160" w:type="dxa"/>
              <w:left w:w="220" w:type="dxa"/>
              <w:bottom w:w="160" w:type="dxa"/>
              <w:right w:w="220" w:type="dxa"/>
            </w:tcMar>
          </w:tcPr>
          <w:p w14:paraId="15C42068" w14:textId="77777777" w:rsidR="00CD6AD8" w:rsidRDefault="00C76404">
            <w:pPr>
              <w:spacing w:after="80"/>
            </w:pPr>
            <w:r>
              <w:rPr>
                <w:rFonts w:ascii="Source Sans 3" w:eastAsia="Source Sans 3" w:hAnsi="Source Sans 3" w:cs="Source Sans 3"/>
                <w:b/>
                <w:bCs/>
                <w:color w:val="0F4A9C"/>
              </w:rPr>
              <w:t>Goals / Interventions</w:t>
            </w:r>
          </w:p>
          <w:p w14:paraId="201BF2ED"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Progress to running, jumping, cutting, and pivoting as tolerated</w:t>
            </w:r>
          </w:p>
          <w:p w14:paraId="6B4329F7"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Sport-specific drills and full return to athletics</w:t>
            </w:r>
          </w:p>
          <w:p w14:paraId="0AADC798"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Continue strengthening/conditioning as needed to address any residual deficits</w:t>
            </w:r>
          </w:p>
        </w:tc>
      </w:tr>
      <w:tr w:rsidR="00CD6AD8" w14:paraId="3B6FE9D2" w14:textId="77777777">
        <w:tblPrEx>
          <w:tblCellMar>
            <w:top w:w="0" w:type="dxa"/>
            <w:bottom w:w="0" w:type="dxa"/>
          </w:tblCellMar>
        </w:tblPrEx>
        <w:tc>
          <w:tcPr>
            <w:tcW w:w="5000" w:type="pct"/>
            <w:gridSpan w:val="2"/>
            <w:shd w:val="clear" w:color="auto" w:fill="EAF0FE"/>
            <w:tcMar>
              <w:top w:w="120" w:type="dxa"/>
              <w:left w:w="260" w:type="dxa"/>
              <w:bottom w:w="120" w:type="dxa"/>
              <w:right w:w="260" w:type="dxa"/>
            </w:tcMar>
          </w:tcPr>
          <w:p w14:paraId="624991EC" w14:textId="77777777" w:rsidR="00CD6AD8" w:rsidRDefault="00C76404">
            <w:r>
              <w:rPr>
                <w:rFonts w:ascii="Source Sans 3" w:eastAsia="Source Sans 3" w:hAnsi="Source Sans 3" w:cs="Source Sans 3"/>
                <w:b/>
                <w:bCs/>
                <w:color w:val="0F4A9C"/>
              </w:rPr>
              <w:t xml:space="preserve">Criteria to Advance:  </w:t>
            </w:r>
            <w:r>
              <w:rPr>
                <w:rFonts w:ascii="Source Sans 3" w:eastAsia="Source Sans 3" w:hAnsi="Source Sans 3" w:cs="Source Sans 3"/>
                <w:color w:val="1A1A1A"/>
              </w:rPr>
              <w:t>Full strength and confidence in the limb(s); no pain or swelling with sport-level activity</w:t>
            </w:r>
          </w:p>
        </w:tc>
      </w:tr>
    </w:tbl>
    <w:p w14:paraId="5A2BBF7F" w14:textId="77777777" w:rsidR="00C76404" w:rsidRDefault="00C76404">
      <w:pPr>
        <w:pBdr>
          <w:bottom w:val="single" w:sz="6" w:space="4" w:color="1A63CC"/>
        </w:pBdr>
        <w:spacing w:before="320" w:after="140"/>
        <w:rPr>
          <w:rFonts w:ascii="Merriweather" w:eastAsia="Merriweather" w:hAnsi="Merriweather" w:cs="Merriweather"/>
          <w:b/>
          <w:bCs/>
          <w:color w:val="0F4A9C"/>
          <w:sz w:val="27"/>
          <w:szCs w:val="27"/>
        </w:rPr>
      </w:pPr>
    </w:p>
    <w:p w14:paraId="2A4C5F47" w14:textId="77777777" w:rsidR="00C76404" w:rsidRDefault="00C76404" w:rsidP="00C76404">
      <w:pPr>
        <w:rPr>
          <w:rFonts w:ascii="Merriweather" w:eastAsia="Merriweather" w:hAnsi="Merriweather" w:cs="Merriweather"/>
          <w:b/>
          <w:bCs/>
          <w:color w:val="0F4A9C"/>
          <w:sz w:val="27"/>
          <w:szCs w:val="27"/>
        </w:rPr>
      </w:pPr>
    </w:p>
    <w:p w14:paraId="4F69E405" w14:textId="3270BE96" w:rsidR="00CD6AD8" w:rsidRPr="00C76404" w:rsidRDefault="00C76404" w:rsidP="00C76404">
      <w:pPr>
        <w:rPr>
          <w:rFonts w:ascii="Merriweather" w:eastAsia="Merriweather" w:hAnsi="Merriweather" w:cs="Merriweather"/>
          <w:b/>
          <w:bCs/>
          <w:color w:val="0F4A9C"/>
          <w:sz w:val="27"/>
          <w:szCs w:val="27"/>
        </w:rPr>
      </w:pPr>
      <w:r>
        <w:rPr>
          <w:rFonts w:ascii="Merriweather" w:eastAsia="Merriweather" w:hAnsi="Merriweather" w:cs="Merriweather"/>
          <w:b/>
          <w:bCs/>
          <w:color w:val="0F4A9C"/>
          <w:sz w:val="27"/>
          <w:szCs w:val="27"/>
        </w:rPr>
        <w:t>Quick Reference Timeline</w:t>
      </w:r>
    </w:p>
    <w:tbl>
      <w:tblPr>
        <w:tblW w:w="9400" w:type="dxa"/>
        <w:tblBorders>
          <w:top w:val="single" w:sz="4" w:space="0" w:color="0F4A9C"/>
          <w:left w:val="single" w:sz="4" w:space="0" w:color="0F4A9C"/>
          <w:bottom w:val="single" w:sz="4" w:space="0" w:color="0F4A9C"/>
          <w:right w:val="single" w:sz="4" w:space="0" w:color="0F4A9C"/>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2400"/>
        <w:gridCol w:w="1800"/>
        <w:gridCol w:w="1700"/>
        <w:gridCol w:w="1300"/>
        <w:gridCol w:w="2200"/>
      </w:tblGrid>
      <w:tr w:rsidR="00CD6AD8" w14:paraId="1C709316" w14:textId="77777777">
        <w:tblPrEx>
          <w:tblCellMar>
            <w:top w:w="0" w:type="dxa"/>
            <w:bottom w:w="0" w:type="dxa"/>
          </w:tblCellMar>
        </w:tblPrEx>
        <w:trPr>
          <w:tblHeader/>
        </w:trPr>
        <w:tc>
          <w:tcPr>
            <w:tcW w:w="2400" w:type="dxa"/>
            <w:shd w:val="clear" w:color="auto" w:fill="0F4A9C"/>
            <w:tcMar>
              <w:top w:w="120" w:type="dxa"/>
              <w:left w:w="160" w:type="dxa"/>
              <w:bottom w:w="120" w:type="dxa"/>
              <w:right w:w="160" w:type="dxa"/>
            </w:tcMar>
            <w:vAlign w:val="center"/>
          </w:tcPr>
          <w:p w14:paraId="2C5D7FA4" w14:textId="77777777" w:rsidR="00CD6AD8" w:rsidRDefault="00C76404">
            <w:r>
              <w:rPr>
                <w:rFonts w:ascii="Source Sans 3" w:eastAsia="Source Sans 3" w:hAnsi="Source Sans 3" w:cs="Source Sans 3"/>
                <w:b/>
                <w:bCs/>
                <w:color w:val="FFFFFF"/>
                <w:sz w:val="19"/>
                <w:szCs w:val="19"/>
              </w:rPr>
              <w:t>Phase</w:t>
            </w:r>
          </w:p>
        </w:tc>
        <w:tc>
          <w:tcPr>
            <w:tcW w:w="1800" w:type="dxa"/>
            <w:shd w:val="clear" w:color="auto" w:fill="0F4A9C"/>
            <w:tcMar>
              <w:top w:w="120" w:type="dxa"/>
              <w:left w:w="160" w:type="dxa"/>
              <w:bottom w:w="120" w:type="dxa"/>
              <w:right w:w="160" w:type="dxa"/>
            </w:tcMar>
            <w:vAlign w:val="center"/>
          </w:tcPr>
          <w:p w14:paraId="19F678AB" w14:textId="77777777" w:rsidR="00CD6AD8" w:rsidRDefault="00C76404">
            <w:r>
              <w:rPr>
                <w:rFonts w:ascii="Source Sans 3" w:eastAsia="Source Sans 3" w:hAnsi="Source Sans 3" w:cs="Source Sans 3"/>
                <w:b/>
                <w:bCs/>
                <w:color w:val="FFFFFF"/>
                <w:sz w:val="19"/>
                <w:szCs w:val="19"/>
              </w:rPr>
              <w:t>Timeframe</w:t>
            </w:r>
          </w:p>
        </w:tc>
        <w:tc>
          <w:tcPr>
            <w:tcW w:w="1700" w:type="dxa"/>
            <w:shd w:val="clear" w:color="auto" w:fill="0F4A9C"/>
            <w:tcMar>
              <w:top w:w="120" w:type="dxa"/>
              <w:left w:w="160" w:type="dxa"/>
              <w:bottom w:w="120" w:type="dxa"/>
              <w:right w:w="160" w:type="dxa"/>
            </w:tcMar>
            <w:vAlign w:val="center"/>
          </w:tcPr>
          <w:p w14:paraId="1F7FF38B" w14:textId="77777777" w:rsidR="00CD6AD8" w:rsidRDefault="00C76404">
            <w:r>
              <w:rPr>
                <w:rFonts w:ascii="Source Sans 3" w:eastAsia="Source Sans 3" w:hAnsi="Source Sans 3" w:cs="Source Sans 3"/>
                <w:b/>
                <w:bCs/>
                <w:color w:val="FFFFFF"/>
                <w:sz w:val="19"/>
                <w:szCs w:val="19"/>
              </w:rPr>
              <w:t>Weight-Bearing</w:t>
            </w:r>
          </w:p>
        </w:tc>
        <w:tc>
          <w:tcPr>
            <w:tcW w:w="1300" w:type="dxa"/>
            <w:shd w:val="clear" w:color="auto" w:fill="0F4A9C"/>
            <w:tcMar>
              <w:top w:w="120" w:type="dxa"/>
              <w:left w:w="160" w:type="dxa"/>
              <w:bottom w:w="120" w:type="dxa"/>
              <w:right w:w="160" w:type="dxa"/>
            </w:tcMar>
            <w:vAlign w:val="center"/>
          </w:tcPr>
          <w:p w14:paraId="0AAED08D" w14:textId="77777777" w:rsidR="00CD6AD8" w:rsidRDefault="00C76404">
            <w:r>
              <w:rPr>
                <w:rFonts w:ascii="Source Sans 3" w:eastAsia="Source Sans 3" w:hAnsi="Source Sans 3" w:cs="Source Sans 3"/>
                <w:b/>
                <w:bCs/>
                <w:color w:val="FFFFFF"/>
                <w:sz w:val="19"/>
                <w:szCs w:val="19"/>
              </w:rPr>
              <w:t>Brace</w:t>
            </w:r>
          </w:p>
        </w:tc>
        <w:tc>
          <w:tcPr>
            <w:tcW w:w="2200" w:type="dxa"/>
            <w:shd w:val="clear" w:color="auto" w:fill="0F4A9C"/>
            <w:tcMar>
              <w:top w:w="120" w:type="dxa"/>
              <w:left w:w="160" w:type="dxa"/>
              <w:bottom w:w="120" w:type="dxa"/>
              <w:right w:w="160" w:type="dxa"/>
            </w:tcMar>
            <w:vAlign w:val="center"/>
          </w:tcPr>
          <w:p w14:paraId="6F835569" w14:textId="77777777" w:rsidR="00CD6AD8" w:rsidRDefault="00C76404">
            <w:r>
              <w:rPr>
                <w:rFonts w:ascii="Source Sans 3" w:eastAsia="Source Sans 3" w:hAnsi="Source Sans 3" w:cs="Source Sans 3"/>
                <w:b/>
                <w:bCs/>
                <w:color w:val="FFFFFF"/>
                <w:sz w:val="19"/>
                <w:szCs w:val="19"/>
              </w:rPr>
              <w:t>Key Milestone</w:t>
            </w:r>
          </w:p>
        </w:tc>
      </w:tr>
      <w:tr w:rsidR="00CD6AD8" w14:paraId="3EDFD07B" w14:textId="77777777">
        <w:tblPrEx>
          <w:tblCellMar>
            <w:top w:w="0" w:type="dxa"/>
            <w:bottom w:w="0" w:type="dxa"/>
          </w:tblCellMar>
        </w:tblPrEx>
        <w:tc>
          <w:tcPr>
            <w:tcW w:w="2400" w:type="dxa"/>
            <w:shd w:val="clear" w:color="auto" w:fill="FFFFFF"/>
            <w:tcMar>
              <w:top w:w="100" w:type="dxa"/>
              <w:left w:w="160" w:type="dxa"/>
              <w:bottom w:w="100" w:type="dxa"/>
              <w:right w:w="160" w:type="dxa"/>
            </w:tcMar>
            <w:vAlign w:val="center"/>
          </w:tcPr>
          <w:p w14:paraId="25C762E0" w14:textId="77777777" w:rsidR="00CD6AD8" w:rsidRDefault="00C76404">
            <w:r>
              <w:rPr>
                <w:rFonts w:ascii="Source Sans 3" w:eastAsia="Source Sans 3" w:hAnsi="Source Sans 3" w:cs="Source Sans 3"/>
                <w:color w:val="1A1A1A"/>
                <w:sz w:val="19"/>
                <w:szCs w:val="19"/>
              </w:rPr>
              <w:t>1 – Immediate Postop</w:t>
            </w:r>
          </w:p>
        </w:tc>
        <w:tc>
          <w:tcPr>
            <w:tcW w:w="1800" w:type="dxa"/>
            <w:shd w:val="clear" w:color="auto" w:fill="FFFFFF"/>
            <w:tcMar>
              <w:top w:w="100" w:type="dxa"/>
              <w:left w:w="160" w:type="dxa"/>
              <w:bottom w:w="100" w:type="dxa"/>
              <w:right w:w="160" w:type="dxa"/>
            </w:tcMar>
            <w:vAlign w:val="center"/>
          </w:tcPr>
          <w:p w14:paraId="6D28E179" w14:textId="77777777" w:rsidR="00CD6AD8" w:rsidRDefault="00C76404">
            <w:r>
              <w:rPr>
                <w:rFonts w:ascii="Source Sans 3" w:eastAsia="Source Sans 3" w:hAnsi="Source Sans 3" w:cs="Source Sans 3"/>
                <w:color w:val="1A1A1A"/>
                <w:sz w:val="19"/>
                <w:szCs w:val="19"/>
              </w:rPr>
              <w:t>Days 0–3</w:t>
            </w:r>
          </w:p>
        </w:tc>
        <w:tc>
          <w:tcPr>
            <w:tcW w:w="1700" w:type="dxa"/>
            <w:shd w:val="clear" w:color="auto" w:fill="FFFFFF"/>
            <w:tcMar>
              <w:top w:w="100" w:type="dxa"/>
              <w:left w:w="160" w:type="dxa"/>
              <w:bottom w:w="100" w:type="dxa"/>
              <w:right w:w="160" w:type="dxa"/>
            </w:tcMar>
            <w:vAlign w:val="center"/>
          </w:tcPr>
          <w:p w14:paraId="545EBE57" w14:textId="77777777" w:rsidR="00CD6AD8" w:rsidRDefault="00C76404">
            <w:r>
              <w:rPr>
                <w:rFonts w:ascii="Source Sans 3" w:eastAsia="Source Sans 3" w:hAnsi="Source Sans 3" w:cs="Source Sans 3"/>
                <w:color w:val="1A1A1A"/>
                <w:sz w:val="19"/>
                <w:szCs w:val="19"/>
              </w:rPr>
              <w:t>WBAT</w:t>
            </w:r>
          </w:p>
        </w:tc>
        <w:tc>
          <w:tcPr>
            <w:tcW w:w="1300" w:type="dxa"/>
            <w:shd w:val="clear" w:color="auto" w:fill="FFFFFF"/>
            <w:tcMar>
              <w:top w:w="100" w:type="dxa"/>
              <w:left w:w="160" w:type="dxa"/>
              <w:bottom w:w="100" w:type="dxa"/>
              <w:right w:w="160" w:type="dxa"/>
            </w:tcMar>
            <w:vAlign w:val="center"/>
          </w:tcPr>
          <w:p w14:paraId="51B8F249" w14:textId="77777777" w:rsidR="00CD6AD8" w:rsidRDefault="00C76404">
            <w:r>
              <w:rPr>
                <w:rFonts w:ascii="Source Sans 3" w:eastAsia="Source Sans 3" w:hAnsi="Source Sans 3" w:cs="Source Sans 3"/>
                <w:color w:val="1A1A1A"/>
                <w:sz w:val="19"/>
                <w:szCs w:val="19"/>
              </w:rPr>
              <w:t>None</w:t>
            </w:r>
          </w:p>
        </w:tc>
        <w:tc>
          <w:tcPr>
            <w:tcW w:w="2200" w:type="dxa"/>
            <w:shd w:val="clear" w:color="auto" w:fill="FFFFFF"/>
            <w:tcMar>
              <w:top w:w="100" w:type="dxa"/>
              <w:left w:w="160" w:type="dxa"/>
              <w:bottom w:w="100" w:type="dxa"/>
              <w:right w:w="160" w:type="dxa"/>
            </w:tcMar>
            <w:vAlign w:val="center"/>
          </w:tcPr>
          <w:p w14:paraId="3F33BCD3" w14:textId="77777777" w:rsidR="00CD6AD8" w:rsidRDefault="00C76404">
            <w:r>
              <w:rPr>
                <w:rFonts w:ascii="Source Sans 3" w:eastAsia="Source Sans 3" w:hAnsi="Source Sans 3" w:cs="Source Sans 3"/>
                <w:color w:val="1A1A1A"/>
                <w:sz w:val="19"/>
                <w:szCs w:val="19"/>
              </w:rPr>
              <w:t xml:space="preserve">Pain </w:t>
            </w:r>
            <w:proofErr w:type="gramStart"/>
            <w:r>
              <w:rPr>
                <w:rFonts w:ascii="Source Sans 3" w:eastAsia="Source Sans 3" w:hAnsi="Source Sans 3" w:cs="Source Sans 3"/>
                <w:color w:val="1A1A1A"/>
                <w:sz w:val="19"/>
                <w:szCs w:val="19"/>
              </w:rPr>
              <w:t>controlled,</w:t>
            </w:r>
            <w:proofErr w:type="gramEnd"/>
            <w:r>
              <w:rPr>
                <w:rFonts w:ascii="Source Sans 3" w:eastAsia="Source Sans 3" w:hAnsi="Source Sans 3" w:cs="Source Sans 3"/>
                <w:color w:val="1A1A1A"/>
                <w:sz w:val="19"/>
                <w:szCs w:val="19"/>
              </w:rPr>
              <w:t xml:space="preserve"> wounds stable</w:t>
            </w:r>
          </w:p>
        </w:tc>
      </w:tr>
      <w:tr w:rsidR="00CD6AD8" w14:paraId="09C1B144" w14:textId="77777777">
        <w:tblPrEx>
          <w:tblCellMar>
            <w:top w:w="0" w:type="dxa"/>
            <w:bottom w:w="0" w:type="dxa"/>
          </w:tblCellMar>
        </w:tblPrEx>
        <w:tc>
          <w:tcPr>
            <w:tcW w:w="2400" w:type="dxa"/>
            <w:shd w:val="clear" w:color="auto" w:fill="E8F0FC"/>
            <w:tcMar>
              <w:top w:w="100" w:type="dxa"/>
              <w:left w:w="160" w:type="dxa"/>
              <w:bottom w:w="100" w:type="dxa"/>
              <w:right w:w="160" w:type="dxa"/>
            </w:tcMar>
            <w:vAlign w:val="center"/>
          </w:tcPr>
          <w:p w14:paraId="2B4DD2C1" w14:textId="77777777" w:rsidR="00CD6AD8" w:rsidRDefault="00C76404">
            <w:r>
              <w:rPr>
                <w:rFonts w:ascii="Source Sans 3" w:eastAsia="Source Sans 3" w:hAnsi="Source Sans 3" w:cs="Source Sans 3"/>
                <w:color w:val="1A1A1A"/>
                <w:sz w:val="19"/>
                <w:szCs w:val="19"/>
              </w:rPr>
              <w:t>2 – Gait / Motion</w:t>
            </w:r>
          </w:p>
        </w:tc>
        <w:tc>
          <w:tcPr>
            <w:tcW w:w="1800" w:type="dxa"/>
            <w:shd w:val="clear" w:color="auto" w:fill="E8F0FC"/>
            <w:tcMar>
              <w:top w:w="100" w:type="dxa"/>
              <w:left w:w="160" w:type="dxa"/>
              <w:bottom w:w="100" w:type="dxa"/>
              <w:right w:w="160" w:type="dxa"/>
            </w:tcMar>
            <w:vAlign w:val="center"/>
          </w:tcPr>
          <w:p w14:paraId="639B084F" w14:textId="77777777" w:rsidR="00CD6AD8" w:rsidRDefault="00C76404">
            <w:r>
              <w:rPr>
                <w:rFonts w:ascii="Source Sans 3" w:eastAsia="Source Sans 3" w:hAnsi="Source Sans 3" w:cs="Source Sans 3"/>
                <w:color w:val="1A1A1A"/>
                <w:sz w:val="19"/>
                <w:szCs w:val="19"/>
              </w:rPr>
              <w:t>Days 3–14</w:t>
            </w:r>
          </w:p>
        </w:tc>
        <w:tc>
          <w:tcPr>
            <w:tcW w:w="1700" w:type="dxa"/>
            <w:shd w:val="clear" w:color="auto" w:fill="E8F0FC"/>
            <w:tcMar>
              <w:top w:w="100" w:type="dxa"/>
              <w:left w:w="160" w:type="dxa"/>
              <w:bottom w:w="100" w:type="dxa"/>
              <w:right w:w="160" w:type="dxa"/>
            </w:tcMar>
            <w:vAlign w:val="center"/>
          </w:tcPr>
          <w:p w14:paraId="4D9AA281" w14:textId="77777777" w:rsidR="00CD6AD8" w:rsidRDefault="00C76404">
            <w:r>
              <w:rPr>
                <w:rFonts w:ascii="Source Sans 3" w:eastAsia="Source Sans 3" w:hAnsi="Source Sans 3" w:cs="Source Sans 3"/>
                <w:color w:val="1A1A1A"/>
                <w:sz w:val="19"/>
                <w:szCs w:val="19"/>
              </w:rPr>
              <w:t>WBAT</w:t>
            </w:r>
          </w:p>
        </w:tc>
        <w:tc>
          <w:tcPr>
            <w:tcW w:w="1300" w:type="dxa"/>
            <w:shd w:val="clear" w:color="auto" w:fill="E8F0FC"/>
            <w:tcMar>
              <w:top w:w="100" w:type="dxa"/>
              <w:left w:w="160" w:type="dxa"/>
              <w:bottom w:w="100" w:type="dxa"/>
              <w:right w:w="160" w:type="dxa"/>
            </w:tcMar>
            <w:vAlign w:val="center"/>
          </w:tcPr>
          <w:p w14:paraId="4059069B" w14:textId="77777777" w:rsidR="00CD6AD8" w:rsidRDefault="00C76404">
            <w:r>
              <w:rPr>
                <w:rFonts w:ascii="Source Sans 3" w:eastAsia="Source Sans 3" w:hAnsi="Source Sans 3" w:cs="Source Sans 3"/>
                <w:color w:val="1A1A1A"/>
                <w:sz w:val="19"/>
                <w:szCs w:val="19"/>
              </w:rPr>
              <w:t>None</w:t>
            </w:r>
          </w:p>
        </w:tc>
        <w:tc>
          <w:tcPr>
            <w:tcW w:w="2200" w:type="dxa"/>
            <w:shd w:val="clear" w:color="auto" w:fill="E8F0FC"/>
            <w:tcMar>
              <w:top w:w="100" w:type="dxa"/>
              <w:left w:w="160" w:type="dxa"/>
              <w:bottom w:w="100" w:type="dxa"/>
              <w:right w:w="160" w:type="dxa"/>
            </w:tcMar>
            <w:vAlign w:val="center"/>
          </w:tcPr>
          <w:p w14:paraId="325F36AF" w14:textId="77777777" w:rsidR="00CD6AD8" w:rsidRDefault="00C76404">
            <w:r>
              <w:rPr>
                <w:rFonts w:ascii="Source Sans 3" w:eastAsia="Source Sans 3" w:hAnsi="Source Sans 3" w:cs="Source Sans 3"/>
                <w:color w:val="1A1A1A"/>
                <w:sz w:val="19"/>
                <w:szCs w:val="19"/>
              </w:rPr>
              <w:t>Off crutches, full ROM</w:t>
            </w:r>
          </w:p>
        </w:tc>
      </w:tr>
      <w:tr w:rsidR="00CD6AD8" w14:paraId="2DCBFB4A" w14:textId="77777777">
        <w:tblPrEx>
          <w:tblCellMar>
            <w:top w:w="0" w:type="dxa"/>
            <w:bottom w:w="0" w:type="dxa"/>
          </w:tblCellMar>
        </w:tblPrEx>
        <w:tc>
          <w:tcPr>
            <w:tcW w:w="2400" w:type="dxa"/>
            <w:shd w:val="clear" w:color="auto" w:fill="FFFFFF"/>
            <w:tcMar>
              <w:top w:w="100" w:type="dxa"/>
              <w:left w:w="160" w:type="dxa"/>
              <w:bottom w:w="100" w:type="dxa"/>
              <w:right w:w="160" w:type="dxa"/>
            </w:tcMar>
            <w:vAlign w:val="center"/>
          </w:tcPr>
          <w:p w14:paraId="66BA4170" w14:textId="77777777" w:rsidR="00CD6AD8" w:rsidRDefault="00C76404">
            <w:r>
              <w:rPr>
                <w:rFonts w:ascii="Source Sans 3" w:eastAsia="Source Sans 3" w:hAnsi="Source Sans 3" w:cs="Source Sans 3"/>
                <w:color w:val="1A1A1A"/>
                <w:sz w:val="19"/>
                <w:szCs w:val="19"/>
              </w:rPr>
              <w:t>3 – Strengthening</w:t>
            </w:r>
          </w:p>
        </w:tc>
        <w:tc>
          <w:tcPr>
            <w:tcW w:w="1800" w:type="dxa"/>
            <w:shd w:val="clear" w:color="auto" w:fill="FFFFFF"/>
            <w:tcMar>
              <w:top w:w="100" w:type="dxa"/>
              <w:left w:w="160" w:type="dxa"/>
              <w:bottom w:w="100" w:type="dxa"/>
              <w:right w:w="160" w:type="dxa"/>
            </w:tcMar>
            <w:vAlign w:val="center"/>
          </w:tcPr>
          <w:p w14:paraId="126D4752" w14:textId="77777777" w:rsidR="00CD6AD8" w:rsidRDefault="00C76404">
            <w:r>
              <w:rPr>
                <w:rFonts w:ascii="Source Sans 3" w:eastAsia="Source Sans 3" w:hAnsi="Source Sans 3" w:cs="Source Sans 3"/>
                <w:color w:val="1A1A1A"/>
                <w:sz w:val="19"/>
                <w:szCs w:val="19"/>
              </w:rPr>
              <w:t>Weeks 2–6</w:t>
            </w:r>
          </w:p>
        </w:tc>
        <w:tc>
          <w:tcPr>
            <w:tcW w:w="1700" w:type="dxa"/>
            <w:shd w:val="clear" w:color="auto" w:fill="FFFFFF"/>
            <w:tcMar>
              <w:top w:w="100" w:type="dxa"/>
              <w:left w:w="160" w:type="dxa"/>
              <w:bottom w:w="100" w:type="dxa"/>
              <w:right w:w="160" w:type="dxa"/>
            </w:tcMar>
            <w:vAlign w:val="center"/>
          </w:tcPr>
          <w:p w14:paraId="0555E245" w14:textId="77777777" w:rsidR="00CD6AD8" w:rsidRDefault="00C76404">
            <w:r>
              <w:rPr>
                <w:rFonts w:ascii="Source Sans 3" w:eastAsia="Source Sans 3" w:hAnsi="Source Sans 3" w:cs="Source Sans 3"/>
                <w:color w:val="1A1A1A"/>
                <w:sz w:val="19"/>
                <w:szCs w:val="19"/>
              </w:rPr>
              <w:t>WBAT</w:t>
            </w:r>
          </w:p>
        </w:tc>
        <w:tc>
          <w:tcPr>
            <w:tcW w:w="1300" w:type="dxa"/>
            <w:shd w:val="clear" w:color="auto" w:fill="FFFFFF"/>
            <w:tcMar>
              <w:top w:w="100" w:type="dxa"/>
              <w:left w:w="160" w:type="dxa"/>
              <w:bottom w:w="100" w:type="dxa"/>
              <w:right w:w="160" w:type="dxa"/>
            </w:tcMar>
            <w:vAlign w:val="center"/>
          </w:tcPr>
          <w:p w14:paraId="4AD61D80" w14:textId="77777777" w:rsidR="00CD6AD8" w:rsidRDefault="00C76404">
            <w:r>
              <w:rPr>
                <w:rFonts w:ascii="Source Sans 3" w:eastAsia="Source Sans 3" w:hAnsi="Source Sans 3" w:cs="Source Sans 3"/>
                <w:color w:val="1A1A1A"/>
                <w:sz w:val="19"/>
                <w:szCs w:val="19"/>
              </w:rPr>
              <w:t>None</w:t>
            </w:r>
          </w:p>
        </w:tc>
        <w:tc>
          <w:tcPr>
            <w:tcW w:w="2200" w:type="dxa"/>
            <w:shd w:val="clear" w:color="auto" w:fill="FFFFFF"/>
            <w:tcMar>
              <w:top w:w="100" w:type="dxa"/>
              <w:left w:w="160" w:type="dxa"/>
              <w:bottom w:w="100" w:type="dxa"/>
              <w:right w:w="160" w:type="dxa"/>
            </w:tcMar>
            <w:vAlign w:val="center"/>
          </w:tcPr>
          <w:p w14:paraId="13368654" w14:textId="77777777" w:rsidR="00CD6AD8" w:rsidRDefault="00C76404">
            <w:r>
              <w:rPr>
                <w:rFonts w:ascii="Source Sans 3" w:eastAsia="Source Sans 3" w:hAnsi="Source Sans 3" w:cs="Source Sans 3"/>
                <w:color w:val="1A1A1A"/>
                <w:sz w:val="19"/>
                <w:szCs w:val="19"/>
              </w:rPr>
              <w:t>Symmetric strength</w:t>
            </w:r>
          </w:p>
        </w:tc>
      </w:tr>
      <w:tr w:rsidR="00CD6AD8" w14:paraId="44C686B8" w14:textId="77777777">
        <w:tblPrEx>
          <w:tblCellMar>
            <w:top w:w="0" w:type="dxa"/>
            <w:bottom w:w="0" w:type="dxa"/>
          </w:tblCellMar>
        </w:tblPrEx>
        <w:tc>
          <w:tcPr>
            <w:tcW w:w="2400" w:type="dxa"/>
            <w:shd w:val="clear" w:color="auto" w:fill="E8F0FC"/>
            <w:tcMar>
              <w:top w:w="100" w:type="dxa"/>
              <w:left w:w="160" w:type="dxa"/>
              <w:bottom w:w="100" w:type="dxa"/>
              <w:right w:w="160" w:type="dxa"/>
            </w:tcMar>
            <w:vAlign w:val="center"/>
          </w:tcPr>
          <w:p w14:paraId="05741742" w14:textId="77777777" w:rsidR="00CD6AD8" w:rsidRDefault="00C76404">
            <w:r>
              <w:rPr>
                <w:rFonts w:ascii="Source Sans 3" w:eastAsia="Source Sans 3" w:hAnsi="Source Sans 3" w:cs="Source Sans 3"/>
                <w:color w:val="1A1A1A"/>
                <w:sz w:val="19"/>
                <w:szCs w:val="19"/>
              </w:rPr>
              <w:t>4 – Return to Activity</w:t>
            </w:r>
          </w:p>
        </w:tc>
        <w:tc>
          <w:tcPr>
            <w:tcW w:w="1800" w:type="dxa"/>
            <w:shd w:val="clear" w:color="auto" w:fill="E8F0FC"/>
            <w:tcMar>
              <w:top w:w="100" w:type="dxa"/>
              <w:left w:w="160" w:type="dxa"/>
              <w:bottom w:w="100" w:type="dxa"/>
              <w:right w:w="160" w:type="dxa"/>
            </w:tcMar>
            <w:vAlign w:val="center"/>
          </w:tcPr>
          <w:p w14:paraId="51ACFC7E" w14:textId="77777777" w:rsidR="00CD6AD8" w:rsidRDefault="00C76404">
            <w:r>
              <w:rPr>
                <w:rFonts w:ascii="Source Sans 3" w:eastAsia="Source Sans 3" w:hAnsi="Source Sans 3" w:cs="Source Sans 3"/>
                <w:color w:val="1A1A1A"/>
                <w:sz w:val="19"/>
                <w:szCs w:val="19"/>
              </w:rPr>
              <w:t>Weeks 4–6+</w:t>
            </w:r>
          </w:p>
        </w:tc>
        <w:tc>
          <w:tcPr>
            <w:tcW w:w="1700" w:type="dxa"/>
            <w:shd w:val="clear" w:color="auto" w:fill="E8F0FC"/>
            <w:tcMar>
              <w:top w:w="100" w:type="dxa"/>
              <w:left w:w="160" w:type="dxa"/>
              <w:bottom w:w="100" w:type="dxa"/>
              <w:right w:w="160" w:type="dxa"/>
            </w:tcMar>
            <w:vAlign w:val="center"/>
          </w:tcPr>
          <w:p w14:paraId="745F4C7B" w14:textId="77777777" w:rsidR="00CD6AD8" w:rsidRDefault="00C76404">
            <w:r>
              <w:rPr>
                <w:rFonts w:ascii="Source Sans 3" w:eastAsia="Source Sans 3" w:hAnsi="Source Sans 3" w:cs="Source Sans 3"/>
                <w:color w:val="1A1A1A"/>
                <w:sz w:val="19"/>
                <w:szCs w:val="19"/>
              </w:rPr>
              <w:t>WBAT</w:t>
            </w:r>
          </w:p>
        </w:tc>
        <w:tc>
          <w:tcPr>
            <w:tcW w:w="1300" w:type="dxa"/>
            <w:shd w:val="clear" w:color="auto" w:fill="E8F0FC"/>
            <w:tcMar>
              <w:top w:w="100" w:type="dxa"/>
              <w:left w:w="160" w:type="dxa"/>
              <w:bottom w:w="100" w:type="dxa"/>
              <w:right w:w="160" w:type="dxa"/>
            </w:tcMar>
            <w:vAlign w:val="center"/>
          </w:tcPr>
          <w:p w14:paraId="0705FB4E" w14:textId="77777777" w:rsidR="00CD6AD8" w:rsidRDefault="00C76404">
            <w:r>
              <w:rPr>
                <w:rFonts w:ascii="Source Sans 3" w:eastAsia="Source Sans 3" w:hAnsi="Source Sans 3" w:cs="Source Sans 3"/>
                <w:color w:val="1A1A1A"/>
                <w:sz w:val="19"/>
                <w:szCs w:val="19"/>
              </w:rPr>
              <w:t>None</w:t>
            </w:r>
          </w:p>
        </w:tc>
        <w:tc>
          <w:tcPr>
            <w:tcW w:w="2200" w:type="dxa"/>
            <w:shd w:val="clear" w:color="auto" w:fill="E8F0FC"/>
            <w:tcMar>
              <w:top w:w="100" w:type="dxa"/>
              <w:left w:w="160" w:type="dxa"/>
              <w:bottom w:w="100" w:type="dxa"/>
              <w:right w:w="160" w:type="dxa"/>
            </w:tcMar>
            <w:vAlign w:val="center"/>
          </w:tcPr>
          <w:p w14:paraId="0B86931D" w14:textId="77777777" w:rsidR="00CD6AD8" w:rsidRDefault="00C76404">
            <w:r>
              <w:rPr>
                <w:rFonts w:ascii="Source Sans 3" w:eastAsia="Source Sans 3" w:hAnsi="Source Sans 3" w:cs="Source Sans 3"/>
                <w:color w:val="1A1A1A"/>
                <w:sz w:val="19"/>
                <w:szCs w:val="19"/>
              </w:rPr>
              <w:t>Full return to sport</w:t>
            </w:r>
          </w:p>
        </w:tc>
      </w:tr>
    </w:tbl>
    <w:p w14:paraId="0F2B09C1" w14:textId="77777777" w:rsidR="00CD6AD8" w:rsidRDefault="00CD6AD8">
      <w:pPr>
        <w:spacing w:after="100"/>
      </w:pPr>
    </w:p>
    <w:p w14:paraId="7E739038" w14:textId="77777777" w:rsidR="00C76404" w:rsidRDefault="00C76404">
      <w:pPr>
        <w:rPr>
          <w:rFonts w:ascii="Merriweather" w:eastAsia="Merriweather" w:hAnsi="Merriweather" w:cs="Merriweather"/>
          <w:b/>
          <w:bCs/>
          <w:color w:val="0F4A9C"/>
          <w:sz w:val="27"/>
          <w:szCs w:val="27"/>
        </w:rPr>
      </w:pPr>
      <w:r>
        <w:rPr>
          <w:rFonts w:ascii="Merriweather" w:eastAsia="Merriweather" w:hAnsi="Merriweather" w:cs="Merriweather"/>
          <w:b/>
          <w:bCs/>
          <w:color w:val="0F4A9C"/>
          <w:sz w:val="27"/>
          <w:szCs w:val="27"/>
        </w:rPr>
        <w:br w:type="page"/>
      </w:r>
    </w:p>
    <w:p w14:paraId="0121DA7A" w14:textId="3FB0D8A2" w:rsidR="00CD6AD8" w:rsidRDefault="00C76404">
      <w:pPr>
        <w:pBdr>
          <w:bottom w:val="single" w:sz="6" w:space="4" w:color="1A63CC"/>
        </w:pBdr>
        <w:spacing w:before="320" w:after="140"/>
      </w:pPr>
      <w:r>
        <w:rPr>
          <w:rFonts w:ascii="Merriweather" w:eastAsia="Merriweather" w:hAnsi="Merriweather" w:cs="Merriweather"/>
          <w:b/>
          <w:bCs/>
          <w:color w:val="0F4A9C"/>
          <w:sz w:val="27"/>
          <w:szCs w:val="27"/>
        </w:rPr>
        <w:lastRenderedPageBreak/>
        <w:t>Clinical Pearls</w:t>
      </w:r>
    </w:p>
    <w:tbl>
      <w:tblPr>
        <w:tblW w:w="5000" w:type="pct"/>
        <w:tblBorders>
          <w:top w:val="single" w:sz="4" w:space="0" w:color="1A63CC"/>
          <w:left w:val="single" w:sz="4" w:space="0" w:color="1A63CC"/>
          <w:bottom w:val="single" w:sz="4" w:space="0" w:color="1A63CC"/>
          <w:right w:val="single" w:sz="4" w:space="0" w:color="1A63CC"/>
          <w:insideH w:val="none" w:sz="0" w:space="0" w:color="1A63CC"/>
          <w:insideV w:val="none" w:sz="0" w:space="0" w:color="1A63CC"/>
        </w:tblBorders>
        <w:tblCellMar>
          <w:left w:w="10" w:type="dxa"/>
          <w:right w:w="10" w:type="dxa"/>
        </w:tblCellMar>
        <w:tblLook w:val="04A0" w:firstRow="1" w:lastRow="0" w:firstColumn="1" w:lastColumn="0" w:noHBand="0" w:noVBand="1"/>
      </w:tblPr>
      <w:tblGrid>
        <w:gridCol w:w="10430"/>
      </w:tblGrid>
      <w:tr w:rsidR="00CD6AD8" w14:paraId="4636D382" w14:textId="77777777">
        <w:tblPrEx>
          <w:tblCellMar>
            <w:top w:w="0" w:type="dxa"/>
            <w:bottom w:w="0" w:type="dxa"/>
          </w:tblCellMar>
        </w:tblPrEx>
        <w:tc>
          <w:tcPr>
            <w:tcW w:w="5000" w:type="pct"/>
            <w:shd w:val="clear" w:color="auto" w:fill="E8F0FC"/>
            <w:tcMar>
              <w:top w:w="180" w:type="dxa"/>
              <w:left w:w="260" w:type="dxa"/>
              <w:bottom w:w="180" w:type="dxa"/>
              <w:right w:w="260" w:type="dxa"/>
            </w:tcMar>
          </w:tcPr>
          <w:p w14:paraId="0AC737FD" w14:textId="77777777" w:rsidR="00CD6AD8" w:rsidRDefault="00C76404">
            <w:pPr>
              <w:spacing w:after="80"/>
            </w:pPr>
            <w:r>
              <w:rPr>
                <w:rFonts w:ascii="Source Sans 3" w:eastAsia="Source Sans 3" w:hAnsi="Source Sans 3" w:cs="Source Sans 3"/>
                <w:b/>
                <w:bCs/>
                <w:color w:val="0F4A9C"/>
                <w:sz w:val="22"/>
                <w:szCs w:val="22"/>
              </w:rPr>
              <w:t>Pearls</w:t>
            </w:r>
          </w:p>
          <w:p w14:paraId="17BBAB32" w14:textId="77777777" w:rsidR="00CD6AD8" w:rsidRDefault="00C76404">
            <w:pPr>
              <w:pStyle w:val="ListParagraph"/>
              <w:numPr>
                <w:ilvl w:val="0"/>
                <w:numId w:val="1"/>
              </w:numPr>
              <w:spacing w:after="60"/>
            </w:pPr>
            <w:r>
              <w:rPr>
                <w:rFonts w:ascii="Source Sans 3" w:eastAsia="Source Sans 3" w:hAnsi="Source Sans 3" w:cs="Source Sans 3"/>
                <w:color w:val="1A1A1A"/>
                <w:sz w:val="21"/>
                <w:szCs w:val="21"/>
              </w:rPr>
              <w:t>Hardware removal is a minor procedure; recovery is substantially faster than after the index guided-growth surgery.</w:t>
            </w:r>
          </w:p>
          <w:p w14:paraId="15A36AAE" w14:textId="77777777" w:rsidR="00CD6AD8" w:rsidRDefault="00C76404">
            <w:pPr>
              <w:pStyle w:val="ListParagraph"/>
              <w:numPr>
                <w:ilvl w:val="0"/>
                <w:numId w:val="1"/>
              </w:numPr>
              <w:spacing w:after="60"/>
            </w:pPr>
            <w:r>
              <w:rPr>
                <w:rFonts w:ascii="Source Sans 3" w:eastAsia="Source Sans 3" w:hAnsi="Source Sans 3" w:cs="Source Sans 3"/>
                <w:color w:val="1A1A1A"/>
                <w:sz w:val="21"/>
                <w:szCs w:val="21"/>
              </w:rPr>
              <w:t>No brace or cast is needed post-removal, and there are no formal activity restrictions — advance as tolerated.</w:t>
            </w:r>
          </w:p>
          <w:p w14:paraId="3940584F" w14:textId="77777777" w:rsidR="00CD6AD8" w:rsidRDefault="00C76404">
            <w:pPr>
              <w:pStyle w:val="ListParagraph"/>
              <w:numPr>
                <w:ilvl w:val="0"/>
                <w:numId w:val="1"/>
              </w:numPr>
              <w:spacing w:after="60"/>
            </w:pPr>
            <w:r>
              <w:rPr>
                <w:rFonts w:ascii="Source Sans 3" w:eastAsia="Source Sans 3" w:hAnsi="Source Sans 3" w:cs="Source Sans 3"/>
                <w:color w:val="1A1A1A"/>
                <w:sz w:val="21"/>
                <w:szCs w:val="21"/>
              </w:rPr>
              <w:t>Formal physical therapy is no</w:t>
            </w:r>
            <w:r>
              <w:rPr>
                <w:rFonts w:ascii="Source Sans 3" w:eastAsia="Source Sans 3" w:hAnsi="Source Sans 3" w:cs="Source Sans 3"/>
                <w:color w:val="1A1A1A"/>
                <w:sz w:val="21"/>
                <w:szCs w:val="21"/>
              </w:rPr>
              <w:t>t required for the great majority of patients; a home gait and ROM program is typically sufficient.</w:t>
            </w:r>
          </w:p>
          <w:p w14:paraId="7488AEA4" w14:textId="77777777" w:rsidR="00CD6AD8" w:rsidRDefault="00C76404">
            <w:pPr>
              <w:pStyle w:val="ListParagraph"/>
              <w:numPr>
                <w:ilvl w:val="0"/>
                <w:numId w:val="1"/>
              </w:numPr>
              <w:spacing w:after="60"/>
            </w:pPr>
            <w:r>
              <w:rPr>
                <w:rFonts w:ascii="Source Sans 3" w:eastAsia="Source Sans 3" w:hAnsi="Source Sans 3" w:cs="Source Sans 3"/>
                <w:color w:val="1A1A1A"/>
                <w:sz w:val="21"/>
                <w:szCs w:val="21"/>
              </w:rPr>
              <w:t>When plates are removed bilaterally, treat both limbs symmetrically through every phase to preserve balanced mechanics.</w:t>
            </w:r>
          </w:p>
          <w:p w14:paraId="3AA0CD4D" w14:textId="77777777" w:rsidR="00CD6AD8" w:rsidRDefault="00C76404">
            <w:pPr>
              <w:pStyle w:val="ListParagraph"/>
              <w:numPr>
                <w:ilvl w:val="0"/>
                <w:numId w:val="1"/>
              </w:numPr>
              <w:spacing w:after="60"/>
            </w:pPr>
            <w:r>
              <w:rPr>
                <w:rFonts w:ascii="Source Sans 3" w:eastAsia="Source Sans 3" w:hAnsi="Source Sans 3" w:cs="Source Sans 3"/>
                <w:color w:val="1A1A1A"/>
                <w:sz w:val="21"/>
                <w:szCs w:val="21"/>
              </w:rPr>
              <w:t>Growth resumes normally at the previously tethered physis once the plate is removed; no growth disturbance is expected when removal is timed appropriately.</w:t>
            </w:r>
          </w:p>
          <w:p w14:paraId="45F0E966" w14:textId="77777777" w:rsidR="00CD6AD8" w:rsidRDefault="00C76404">
            <w:pPr>
              <w:pStyle w:val="ListParagraph"/>
              <w:numPr>
                <w:ilvl w:val="0"/>
                <w:numId w:val="1"/>
              </w:numPr>
              <w:spacing w:after="60"/>
            </w:pPr>
            <w:r>
              <w:rPr>
                <w:rFonts w:ascii="Source Sans 3" w:eastAsia="Source Sans 3" w:hAnsi="Source Sans 3" w:cs="Source Sans 3"/>
                <w:color w:val="1A1A1A"/>
                <w:sz w:val="21"/>
                <w:szCs w:val="21"/>
              </w:rPr>
              <w:t>Standing alignment radiographs, not advanced imaging, are used to confirm hardware removal and asses</w:t>
            </w:r>
            <w:r>
              <w:rPr>
                <w:rFonts w:ascii="Source Sans 3" w:eastAsia="Source Sans 3" w:hAnsi="Source Sans 3" w:cs="Source Sans 3"/>
                <w:color w:val="1A1A1A"/>
                <w:sz w:val="21"/>
                <w:szCs w:val="21"/>
              </w:rPr>
              <w:t>s residual or recurrent deformity.</w:t>
            </w:r>
          </w:p>
        </w:tc>
      </w:tr>
    </w:tbl>
    <w:p w14:paraId="405CF9D1" w14:textId="77777777" w:rsidR="00CD6AD8" w:rsidRDefault="00CD6AD8">
      <w:pPr>
        <w:spacing w:after="100"/>
      </w:pPr>
    </w:p>
    <w:p w14:paraId="49E8ADBA" w14:textId="77777777" w:rsidR="00CD6AD8" w:rsidRDefault="00C76404">
      <w:pPr>
        <w:pBdr>
          <w:bottom w:val="single" w:sz="6" w:space="4" w:color="1A63CC"/>
        </w:pBdr>
        <w:spacing w:before="320" w:after="140"/>
      </w:pPr>
      <w:r>
        <w:rPr>
          <w:rFonts w:ascii="Merriweather" w:eastAsia="Merriweather" w:hAnsi="Merriweather" w:cs="Merriweather"/>
          <w:b/>
          <w:bCs/>
          <w:color w:val="0F4A9C"/>
          <w:sz w:val="27"/>
          <w:szCs w:val="27"/>
        </w:rPr>
        <w:t>Potential Risks and Complications</w:t>
      </w:r>
    </w:p>
    <w:p w14:paraId="7E5D9A80"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Superficial wound infection or delayed incision healing</w:t>
      </w:r>
    </w:p>
    <w:p w14:paraId="67FD09D9"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Transient discomfort or stiffness at the implant site</w:t>
      </w:r>
    </w:p>
    <w:p w14:paraId="716FB2A7"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Rebound or recurrent angular deformity, particularly if removal occurs well</w:t>
      </w:r>
      <w:r>
        <w:rPr>
          <w:rFonts w:ascii="Source Sans 3" w:eastAsia="Source Sans 3" w:hAnsi="Source Sans 3" w:cs="Source Sans 3"/>
          <w:color w:val="1A1A1A"/>
          <w:sz w:val="21"/>
          <w:szCs w:val="21"/>
        </w:rPr>
        <w:t xml:space="preserve"> before skeletal maturity</w:t>
      </w:r>
    </w:p>
    <w:p w14:paraId="6525B54A"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Rare injury to adjacent soft tissue or, very rarely, the physis during hardware extraction</w:t>
      </w:r>
    </w:p>
    <w:p w14:paraId="72A8C533" w14:textId="77777777" w:rsidR="00CD6AD8" w:rsidRDefault="00C76404">
      <w:pPr>
        <w:pStyle w:val="ListParagraph"/>
        <w:numPr>
          <w:ilvl w:val="0"/>
          <w:numId w:val="1"/>
        </w:numPr>
        <w:spacing w:after="90"/>
      </w:pPr>
      <w:r>
        <w:rPr>
          <w:rFonts w:ascii="Source Sans 3" w:eastAsia="Source Sans 3" w:hAnsi="Source Sans 3" w:cs="Source Sans 3"/>
          <w:color w:val="1A1A1A"/>
          <w:sz w:val="21"/>
          <w:szCs w:val="21"/>
        </w:rPr>
        <w:t>Retained hardware fragment (uncommon), which may require a brief secondary procedure</w:t>
      </w:r>
    </w:p>
    <w:p w14:paraId="4FA23641" w14:textId="77777777" w:rsidR="00CD6AD8" w:rsidRDefault="00CD6AD8">
      <w:pPr>
        <w:spacing w:after="100"/>
      </w:pPr>
    </w:p>
    <w:p w14:paraId="1D0837DA" w14:textId="77777777" w:rsidR="00CD6AD8" w:rsidRDefault="00C76404">
      <w:pPr>
        <w:pBdr>
          <w:bottom w:val="single" w:sz="6" w:space="4" w:color="1A63CC"/>
        </w:pBdr>
        <w:spacing w:before="320" w:after="140"/>
      </w:pPr>
      <w:r>
        <w:rPr>
          <w:rFonts w:ascii="Merriweather" w:eastAsia="Merriweather" w:hAnsi="Merriweather" w:cs="Merriweather"/>
          <w:b/>
          <w:bCs/>
          <w:color w:val="0F4A9C"/>
          <w:sz w:val="27"/>
          <w:szCs w:val="27"/>
        </w:rPr>
        <w:t>When to Call Our Office</w:t>
      </w:r>
    </w:p>
    <w:tbl>
      <w:tblPr>
        <w:tblW w:w="5000" w:type="pct"/>
        <w:tblBorders>
          <w:top w:val="single" w:sz="4" w:space="0" w:color="C0202A"/>
          <w:left w:val="single" w:sz="4" w:space="0" w:color="C0202A"/>
          <w:bottom w:val="single" w:sz="4" w:space="0" w:color="C0202A"/>
          <w:right w:val="single" w:sz="4" w:space="0" w:color="C0202A"/>
          <w:insideH w:val="none" w:sz="0" w:space="0" w:color="C0202A"/>
          <w:insideV w:val="none" w:sz="0" w:space="0" w:color="C0202A"/>
        </w:tblBorders>
        <w:tblCellMar>
          <w:left w:w="10" w:type="dxa"/>
          <w:right w:w="10" w:type="dxa"/>
        </w:tblCellMar>
        <w:tblLook w:val="04A0" w:firstRow="1" w:lastRow="0" w:firstColumn="1" w:lastColumn="0" w:noHBand="0" w:noVBand="1"/>
      </w:tblPr>
      <w:tblGrid>
        <w:gridCol w:w="10430"/>
      </w:tblGrid>
      <w:tr w:rsidR="00CD6AD8" w14:paraId="4A3EFBE8" w14:textId="77777777">
        <w:tblPrEx>
          <w:tblCellMar>
            <w:top w:w="0" w:type="dxa"/>
            <w:bottom w:w="0" w:type="dxa"/>
          </w:tblCellMar>
        </w:tblPrEx>
        <w:tc>
          <w:tcPr>
            <w:tcW w:w="5000" w:type="pct"/>
            <w:shd w:val="clear" w:color="auto" w:fill="FBEAEC"/>
            <w:tcMar>
              <w:top w:w="180" w:type="dxa"/>
              <w:left w:w="260" w:type="dxa"/>
              <w:bottom w:w="180" w:type="dxa"/>
              <w:right w:w="260" w:type="dxa"/>
            </w:tcMar>
          </w:tcPr>
          <w:p w14:paraId="5F5370AC" w14:textId="77777777" w:rsidR="00CD6AD8" w:rsidRDefault="00C76404">
            <w:pPr>
              <w:spacing w:after="80"/>
            </w:pPr>
            <w:r>
              <w:rPr>
                <w:rFonts w:ascii="Source Sans 3" w:eastAsia="Source Sans 3" w:hAnsi="Source Sans 3" w:cs="Source Sans 3"/>
                <w:b/>
                <w:bCs/>
                <w:color w:val="0F4A9C"/>
                <w:sz w:val="22"/>
                <w:szCs w:val="22"/>
              </w:rPr>
              <w:t>When to Call Our Office</w:t>
            </w:r>
          </w:p>
          <w:p w14:paraId="1F166575" w14:textId="77777777" w:rsidR="00CD6AD8" w:rsidRDefault="00C76404">
            <w:pPr>
              <w:pStyle w:val="ListParagraph"/>
              <w:numPr>
                <w:ilvl w:val="0"/>
                <w:numId w:val="1"/>
              </w:numPr>
              <w:spacing w:after="60"/>
            </w:pPr>
            <w:r>
              <w:rPr>
                <w:rFonts w:ascii="Source Sans 3" w:eastAsia="Source Sans 3" w:hAnsi="Source Sans 3" w:cs="Source Sans 3"/>
                <w:color w:val="1A1A1A"/>
                <w:sz w:val="21"/>
                <w:szCs w:val="21"/>
              </w:rPr>
              <w:t>Fever above 101.3°F (38.5°C)</w:t>
            </w:r>
          </w:p>
          <w:p w14:paraId="393EED5B" w14:textId="77777777" w:rsidR="00CD6AD8" w:rsidRDefault="00C76404">
            <w:pPr>
              <w:pStyle w:val="ListParagraph"/>
              <w:numPr>
                <w:ilvl w:val="0"/>
                <w:numId w:val="1"/>
              </w:numPr>
              <w:spacing w:after="60"/>
            </w:pPr>
            <w:r>
              <w:rPr>
                <w:rFonts w:ascii="Source Sans 3" w:eastAsia="Source Sans 3" w:hAnsi="Source Sans 3" w:cs="Source Sans 3"/>
                <w:color w:val="1A1A1A"/>
                <w:sz w:val="21"/>
                <w:szCs w:val="21"/>
              </w:rPr>
              <w:t>Increasing redness, warmth, swelling, or drainage at the incision</w:t>
            </w:r>
          </w:p>
          <w:p w14:paraId="3E248A36" w14:textId="77777777" w:rsidR="00CD6AD8" w:rsidRDefault="00C76404">
            <w:pPr>
              <w:pStyle w:val="ListParagraph"/>
              <w:numPr>
                <w:ilvl w:val="0"/>
                <w:numId w:val="1"/>
              </w:numPr>
              <w:spacing w:after="60"/>
            </w:pPr>
            <w:r>
              <w:rPr>
                <w:rFonts w:ascii="Source Sans 3" w:eastAsia="Source Sans 3" w:hAnsi="Source Sans 3" w:cs="Source Sans 3"/>
                <w:color w:val="1A1A1A"/>
                <w:sz w:val="21"/>
                <w:szCs w:val="21"/>
              </w:rPr>
              <w:t>Pain that worsens or is not controlled with prescribed analgesics</w:t>
            </w:r>
          </w:p>
          <w:p w14:paraId="1AD6FE67" w14:textId="77777777" w:rsidR="00CD6AD8" w:rsidRDefault="00C76404">
            <w:pPr>
              <w:pStyle w:val="ListParagraph"/>
              <w:numPr>
                <w:ilvl w:val="0"/>
                <w:numId w:val="1"/>
              </w:numPr>
              <w:spacing w:after="60"/>
            </w:pPr>
            <w:r>
              <w:rPr>
                <w:rFonts w:ascii="Source Sans 3" w:eastAsia="Source Sans 3" w:hAnsi="Source Sans 3" w:cs="Source Sans 3"/>
                <w:color w:val="1A1A1A"/>
                <w:sz w:val="21"/>
                <w:szCs w:val="21"/>
              </w:rPr>
              <w:t>Calf pain or swelling out of proportion to the surgical site</w:t>
            </w:r>
          </w:p>
          <w:p w14:paraId="44EA8584" w14:textId="77777777" w:rsidR="00CD6AD8" w:rsidRDefault="00C76404">
            <w:pPr>
              <w:pStyle w:val="ListParagraph"/>
              <w:numPr>
                <w:ilvl w:val="0"/>
                <w:numId w:val="1"/>
              </w:numPr>
              <w:spacing w:after="60"/>
            </w:pPr>
            <w:r>
              <w:rPr>
                <w:rFonts w:ascii="Source Sans 3" w:eastAsia="Source Sans 3" w:hAnsi="Source Sans 3" w:cs="Source Sans 3"/>
                <w:color w:val="1A1A1A"/>
                <w:sz w:val="21"/>
                <w:szCs w:val="21"/>
              </w:rPr>
              <w:t>New numbness, tingling, or inabili</w:t>
            </w:r>
            <w:r>
              <w:rPr>
                <w:rFonts w:ascii="Source Sans 3" w:eastAsia="Source Sans 3" w:hAnsi="Source Sans 3" w:cs="Source Sans 3"/>
                <w:color w:val="1A1A1A"/>
                <w:sz w:val="21"/>
                <w:szCs w:val="21"/>
              </w:rPr>
              <w:t>ty to move the foot or toes</w:t>
            </w:r>
          </w:p>
          <w:p w14:paraId="7410F975" w14:textId="77777777" w:rsidR="00CD6AD8" w:rsidRDefault="00C76404">
            <w:pPr>
              <w:pStyle w:val="ListParagraph"/>
              <w:numPr>
                <w:ilvl w:val="0"/>
                <w:numId w:val="1"/>
              </w:numPr>
              <w:spacing w:after="60"/>
            </w:pPr>
            <w:r>
              <w:rPr>
                <w:rFonts w:ascii="Source Sans 3" w:eastAsia="Source Sans 3" w:hAnsi="Source Sans 3" w:cs="Source Sans 3"/>
                <w:color w:val="1A1A1A"/>
                <w:sz w:val="21"/>
                <w:szCs w:val="21"/>
              </w:rPr>
              <w:t>Inability to bear any weight on the limb beyond the first postoperative week</w:t>
            </w:r>
          </w:p>
        </w:tc>
      </w:tr>
    </w:tbl>
    <w:p w14:paraId="6D52DD9A" w14:textId="77777777" w:rsidR="00000000" w:rsidRDefault="00C76404"/>
    <w:sectPr w:rsidR="00000000">
      <w:footerReference w:type="default" r:id="rId8"/>
      <w:pgSz w:w="12240" w:h="15840"/>
      <w:pgMar w:top="720" w:right="900" w:bottom="72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F2B23" w14:textId="77777777" w:rsidR="00000000" w:rsidRDefault="00C76404">
      <w:r>
        <w:separator/>
      </w:r>
    </w:p>
  </w:endnote>
  <w:endnote w:type="continuationSeparator" w:id="0">
    <w:p w14:paraId="23732580" w14:textId="77777777" w:rsidR="00000000" w:rsidRDefault="00C76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 w:name="Source Sans 3">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none" w:sz="0" w:space="0" w:color="0F4A9C"/>
        <w:left w:val="none" w:sz="0" w:space="0" w:color="0F4A9C"/>
        <w:bottom w:val="none" w:sz="0" w:space="0" w:color="0F4A9C"/>
        <w:right w:val="none" w:sz="0" w:space="0" w:color="0F4A9C"/>
        <w:insideH w:val="none" w:sz="0" w:space="0" w:color="0F4A9C"/>
        <w:insideV w:val="none" w:sz="0" w:space="0" w:color="0F4A9C"/>
      </w:tblBorders>
      <w:tblCellMar>
        <w:left w:w="10" w:type="dxa"/>
        <w:right w:w="10" w:type="dxa"/>
      </w:tblCellMar>
      <w:tblLook w:val="04A0" w:firstRow="1" w:lastRow="0" w:firstColumn="1" w:lastColumn="0" w:noHBand="0" w:noVBand="1"/>
    </w:tblPr>
    <w:tblGrid>
      <w:gridCol w:w="10440"/>
    </w:tblGrid>
    <w:tr w:rsidR="00CD6AD8" w14:paraId="6409557C" w14:textId="77777777">
      <w:tblPrEx>
        <w:tblCellMar>
          <w:top w:w="0" w:type="dxa"/>
          <w:bottom w:w="0" w:type="dxa"/>
        </w:tblCellMar>
      </w:tblPrEx>
      <w:tc>
        <w:tcPr>
          <w:tcW w:w="5000" w:type="pct"/>
          <w:shd w:val="clear" w:color="auto" w:fill="0F4A9C"/>
          <w:tcMar>
            <w:top w:w="140" w:type="dxa"/>
            <w:left w:w="360" w:type="dxa"/>
            <w:bottom w:w="140" w:type="dxa"/>
            <w:right w:w="360" w:type="dxa"/>
          </w:tcMar>
        </w:tcPr>
        <w:p w14:paraId="272A8CDC" w14:textId="77777777" w:rsidR="00CD6AD8" w:rsidRDefault="00C76404">
          <w:pPr>
            <w:spacing w:after="20"/>
            <w:jc w:val="center"/>
          </w:pPr>
          <w:r>
            <w:rPr>
              <w:rFonts w:ascii="Source Sans 3" w:eastAsia="Source Sans 3" w:hAnsi="Source Sans 3" w:cs="Source Sans 3"/>
              <w:b/>
              <w:bCs/>
              <w:color w:val="FFFFFF"/>
              <w:sz w:val="18"/>
              <w:szCs w:val="18"/>
            </w:rPr>
            <w:t xml:space="preserve">David Roberts, MD </w:t>
          </w:r>
          <w:proofErr w:type="gramStart"/>
          <w:r>
            <w:rPr>
              <w:rFonts w:ascii="Source Sans 3" w:eastAsia="Source Sans 3" w:hAnsi="Source Sans 3" w:cs="Source Sans 3"/>
              <w:b/>
              <w:bCs/>
              <w:color w:val="FFFFFF"/>
              <w:sz w:val="18"/>
              <w:szCs w:val="18"/>
            </w:rPr>
            <w:t>FAAOS  |</w:t>
          </w:r>
          <w:proofErr w:type="gramEnd"/>
          <w:r>
            <w:rPr>
              <w:rFonts w:ascii="Source Sans 3" w:eastAsia="Source Sans 3" w:hAnsi="Source Sans 3" w:cs="Source Sans 3"/>
              <w:b/>
              <w:bCs/>
              <w:color w:val="FFFFFF"/>
              <w:sz w:val="18"/>
              <w:szCs w:val="18"/>
            </w:rPr>
            <w:t xml:space="preserve">  Pediatric Orthopedic Surgery</w:t>
          </w:r>
        </w:p>
        <w:p w14:paraId="266AA359" w14:textId="77777777" w:rsidR="00CD6AD8" w:rsidRDefault="00C76404">
          <w:pPr>
            <w:jc w:val="center"/>
          </w:pPr>
          <w:r>
            <w:rPr>
              <w:rFonts w:ascii="Source Sans 3" w:eastAsia="Source Sans 3" w:hAnsi="Source Sans 3" w:cs="Source Sans 3"/>
              <w:color w:val="E8F0FC"/>
              <w:sz w:val="17"/>
              <w:szCs w:val="17"/>
            </w:rPr>
            <w:t xml:space="preserve">9650 Gross Point Road, Suite 2900, Skokie, IL </w:t>
          </w:r>
          <w:proofErr w:type="gramStart"/>
          <w:r>
            <w:rPr>
              <w:rFonts w:ascii="Source Sans 3" w:eastAsia="Source Sans 3" w:hAnsi="Source Sans 3" w:cs="Source Sans 3"/>
              <w:color w:val="E8F0FC"/>
              <w:sz w:val="17"/>
              <w:szCs w:val="17"/>
            </w:rPr>
            <w:t>60076  |</w:t>
          </w:r>
          <w:proofErr w:type="gramEnd"/>
          <w:r>
            <w:rPr>
              <w:rFonts w:ascii="Source Sans 3" w:eastAsia="Source Sans 3" w:hAnsi="Source Sans 3" w:cs="Source Sans 3"/>
              <w:color w:val="E8F0FC"/>
              <w:sz w:val="17"/>
              <w:szCs w:val="17"/>
            </w:rPr>
            <w:t xml:space="preserve">  (847) 866-7846</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3218F" w14:textId="77777777" w:rsidR="00000000" w:rsidRDefault="00C76404">
      <w:r>
        <w:separator/>
      </w:r>
    </w:p>
  </w:footnote>
  <w:footnote w:type="continuationSeparator" w:id="0">
    <w:p w14:paraId="6A32BE87" w14:textId="77777777" w:rsidR="00000000" w:rsidRDefault="00C764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06E5"/>
    <w:multiLevelType w:val="hybridMultilevel"/>
    <w:tmpl w:val="5CDE42DA"/>
    <w:lvl w:ilvl="0" w:tplc="0AF474C8">
      <w:start w:val="1"/>
      <w:numFmt w:val="bullet"/>
      <w:lvlText w:val="●"/>
      <w:lvlJc w:val="left"/>
      <w:pPr>
        <w:ind w:left="720" w:hanging="360"/>
      </w:pPr>
    </w:lvl>
    <w:lvl w:ilvl="1" w:tplc="B43A8780">
      <w:start w:val="1"/>
      <w:numFmt w:val="bullet"/>
      <w:lvlText w:val="○"/>
      <w:lvlJc w:val="left"/>
      <w:pPr>
        <w:ind w:left="1440" w:hanging="360"/>
      </w:pPr>
    </w:lvl>
    <w:lvl w:ilvl="2" w:tplc="BB66EC7E">
      <w:start w:val="1"/>
      <w:numFmt w:val="bullet"/>
      <w:lvlText w:val="■"/>
      <w:lvlJc w:val="left"/>
      <w:pPr>
        <w:ind w:left="2160" w:hanging="360"/>
      </w:pPr>
    </w:lvl>
    <w:lvl w:ilvl="3" w:tplc="2D301968">
      <w:start w:val="1"/>
      <w:numFmt w:val="bullet"/>
      <w:lvlText w:val="●"/>
      <w:lvlJc w:val="left"/>
      <w:pPr>
        <w:ind w:left="2880" w:hanging="360"/>
      </w:pPr>
    </w:lvl>
    <w:lvl w:ilvl="4" w:tplc="1D2688B8">
      <w:start w:val="1"/>
      <w:numFmt w:val="bullet"/>
      <w:lvlText w:val="○"/>
      <w:lvlJc w:val="left"/>
      <w:pPr>
        <w:ind w:left="3600" w:hanging="360"/>
      </w:pPr>
    </w:lvl>
    <w:lvl w:ilvl="5" w:tplc="60D65DAE">
      <w:start w:val="1"/>
      <w:numFmt w:val="bullet"/>
      <w:lvlText w:val="■"/>
      <w:lvlJc w:val="left"/>
      <w:pPr>
        <w:ind w:left="4320" w:hanging="360"/>
      </w:pPr>
    </w:lvl>
    <w:lvl w:ilvl="6" w:tplc="4622D852">
      <w:start w:val="1"/>
      <w:numFmt w:val="bullet"/>
      <w:lvlText w:val="●"/>
      <w:lvlJc w:val="left"/>
      <w:pPr>
        <w:ind w:left="5040" w:hanging="360"/>
      </w:pPr>
    </w:lvl>
    <w:lvl w:ilvl="7" w:tplc="8494BD54">
      <w:start w:val="1"/>
      <w:numFmt w:val="bullet"/>
      <w:lvlText w:val="●"/>
      <w:lvlJc w:val="left"/>
      <w:pPr>
        <w:ind w:left="5760" w:hanging="360"/>
      </w:pPr>
    </w:lvl>
    <w:lvl w:ilvl="8" w:tplc="FA82D96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AD8"/>
    <w:rsid w:val="00C76404"/>
    <w:rsid w:val="00CD6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DB28A"/>
  <w15:docId w15:val="{50162D3C-0DB2-4E69-952C-E22816125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947</Words>
  <Characters>5399</Characters>
  <Application>Microsoft Office Word</Application>
  <DocSecurity>0</DocSecurity>
  <Lines>44</Lines>
  <Paragraphs>12</Paragraphs>
  <ScaleCrop>false</ScaleCrop>
  <Company>NorthShore University HealthSystem</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Roberts, David</cp:lastModifiedBy>
  <cp:revision>2</cp:revision>
  <dcterms:created xsi:type="dcterms:W3CDTF">2026-07-07T15:12:00Z</dcterms:created>
  <dcterms:modified xsi:type="dcterms:W3CDTF">2026-07-08T19:42:00Z</dcterms:modified>
</cp:coreProperties>
</file>