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00"/>
      </w:tblGrid>
      <w:tr>
        <w:tc>
          <w:tcPr>
            <w:tcW w:type="dxa" w:w="10800"/>
            <w:shd w:fill="0F4A9C" w:val="clear"/>
            <w:tcMar>
              <w:top w:type="dxa" w:w="260"/>
              <w:left w:type="dxa" w:w="360"/>
              <w:bottom w:type="dxa" w:w="260"/>
              <w:right w:type="dxa" w:w="360"/>
            </w:tcMar>
            <w:vAlign w:val="center"/>
          </w:tcPr>
          <w:p>
            <w:pPr>
              <w:spacing w:after="140"/>
            </w:pPr>
            <w:r>
              <w:drawing>
                <wp:inline distT="0" distB="0" distL="0" distR="0">
                  <wp:extent cx="1447800" cy="3048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40"/>
            </w:pPr>
            <w:r>
              <w:rPr>
                <w:rFonts w:ascii="Source Sans 3" w:cs="Source Sans 3" w:eastAsia="Source Sans 3" w:hAnsi="Source Sans 3"/>
                <w:b/>
                <w:bCs/>
                <w:color w:val="AFC8F2"/>
                <w:spacing w:val="12"/>
                <w:sz w:val="15"/>
                <w:szCs w:val="15"/>
              </w:rPr>
              <w:t xml:space="preserve">POST-OPERATIVE PROTOCOL — PEDIATRIC &amp; ADOLESCENT ORTHOPEDICS</w:t>
            </w:r>
          </w:p>
          <w:p>
            <w:pPr>
              <w:spacing w:after="40"/>
            </w:pPr>
            <w:r>
              <w:rPr>
                <w:rFonts w:ascii="Merriweather" w:cs="Merriweather" w:eastAsia="Merriweather" w:hAnsi="Merriweather"/>
                <w:b/>
                <w:bCs/>
                <w:color w:val="FFFFFF"/>
                <w:sz w:val="40"/>
                <w:szCs w:val="40"/>
              </w:rPr>
              <w:t xml:space="preserve">ORIF of Bipartite Patella / Patellar Fracture</w:t>
            </w:r>
          </w:p>
          <w:p>
            <w:r>
              <w:rPr>
                <w:rFonts w:ascii="Source Sans 3" w:cs="Source Sans 3" w:eastAsia="Source Sans 3" w:hAnsi="Source Sans 3"/>
                <w:i/>
                <w:iCs/>
                <w:color w:val="D8E4FB"/>
                <w:sz w:val="20"/>
                <w:szCs w:val="20"/>
              </w:rPr>
              <w:t xml:space="preserve">Extensor Mechanism Protection Protocol  |  6-Week Restriction Period</w:t>
            </w:r>
          </w:p>
        </w:tc>
      </w:tr>
    </w:tbl>
    <w:p>
      <w:pPr>
        <w:spacing w:after="160"/>
      </w:pPr>
    </w:p>
    <w:tbl>
      <w:tblPr>
        <w:tblW w:type="dxa" w:w="10800"/>
        <w:tblBorders>
          <w:top w:val="none"/>
          <w:left w:val="single" w:color="1A63CC" w:sz="24"/>
          <w:bottom w:val="none"/>
          <w:right w:val="none"/>
          <w:insideH w:val="none"/>
          <w:insideV w:val="none"/>
        </w:tblBorders>
      </w:tblPr>
      <w:tblGrid>
        <w:gridCol w:w="10800"/>
      </w:tblGrid>
      <w:tr>
        <w:tc>
          <w:tcPr>
            <w:tcW w:type="dxa" w:w="10800"/>
            <w:shd w:fill="E8F0FC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line="276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This protocol governs open reduction and internal fixation (ORIF) of a symptomatic bipartite patella or a patellar fracture repair, both of which require protection of the extensor mechanism while the bone heals. Weight-bearing as tolerated (WBAT) is permitted throughout — restrictions are directed at knee flexion and active extension, not at walking. Advancement between phases is criteria-based, not strictly calendar-based; timeframes below are typical, not fixed.</w:t>
            </w:r>
          </w:p>
        </w:tc>
      </w:tr>
    </w:tbl>
    <w:p>
      <w:pPr>
        <w:spacing w:after="200"/>
      </w:pPr>
    </w:p>
    <w:tbl>
      <w:tblPr>
        <w:tblW w:type="dxa" w:w="10800"/>
        <w:tblBorders>
          <w:top w:val="single" w:color="D0DCF0" w:sz="4"/>
          <w:left w:val="single" w:color="D0DCF0" w:sz="4"/>
          <w:bottom w:val="single" w:color="D0DCF0" w:sz="4"/>
          <w:right w:val="single" w:color="D0DCF0" w:sz="4"/>
          <w:insideH w:val="single" w:color="D0DCF0" w:sz="4"/>
          <w:insideV w:val="single" w:color="D0DCF0" w:sz="4"/>
        </w:tblBorders>
      </w:tblPr>
      <w:tblGrid>
        <w:gridCol w:w="5400"/>
        <w:gridCol w:w="5400"/>
      </w:tblGrid>
      <w:tr>
        <w:tc>
          <w:tcPr>
            <w:tcW w:type="dxa" w:w="10800"/>
            <w:gridSpan w:val="2"/>
            <w:shd w:fill="0F4A9C" w:val="clear"/>
            <w:tcMar>
              <w:top w:type="dxa" w:w="140"/>
              <w:left w:type="dxa" w:w="260"/>
              <w:bottom w:type="dxa" w:w="14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pacing w:val="10"/>
                <w:sz w:val="15"/>
                <w:szCs w:val="15"/>
              </w:rPr>
              <w:t xml:space="preserve">PHASE 1</w:t>
            </w:r>
            <w:r>
              <w:rPr>
                <w:rFonts w:ascii="Source Sans 3" w:cs="Source Sans 3" w:eastAsia="Source Sans 3" w:hAnsi="Source Sans 3"/>
                <w:color w:val="FFFFFF"/>
                <w:spacing w:val="4"/>
                <w:sz w:val="15"/>
                <w:szCs w:val="15"/>
              </w:rPr>
              <w:t xml:space="preserve">   |   Weeks 0–2</w:t>
            </w:r>
          </w:p>
          <w:p>
            <w:pPr>
              <w:spacing w:before="40"/>
            </w:pPr>
            <w:r>
              <w:rPr>
                <w:rFonts w:ascii="Merriweather" w:cs="Merriweather" w:eastAsia="Merriweather" w:hAnsi="Merriweather"/>
                <w:b/>
                <w:bCs/>
                <w:color w:val="FFFFFF"/>
                <w:sz w:val="24"/>
                <w:szCs w:val="24"/>
              </w:rPr>
              <w:t xml:space="preserve">Protection</w:t>
            </w:r>
          </w:p>
        </w:tc>
      </w:tr>
      <w:tr>
        <w:tc>
          <w:tcPr>
            <w:tcW w:type="dxa" w:w="5400"/>
            <w:shd w:fill="E8F0FC" w:val="clear"/>
            <w:tcMar>
              <w:top w:type="dxa" w:w="160"/>
              <w:left w:type="dxa" w:w="26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8"/>
                <w:szCs w:val="18"/>
              </w:rPr>
              <w:t xml:space="preserve">Weight-Bearing / Brace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Weight-bearing as tolerated (WBAT) with brace on, crutches/walker for balance as needed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Hinged knee brace locked/limited 0°–30° at all times, including sleep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Brace remains on for all ambulation and transfers</w:t>
            </w:r>
          </w:p>
        </w:tc>
        <w:tc>
          <w:tcPr>
            <w:tcW w:type="dxa" w:w="5400"/>
            <w:shd w:fill="E8F0FC" w:val="clear"/>
            <w:tcMar>
              <w:top w:type="dxa" w:w="160"/>
              <w:left w:type="dxa" w:w="200"/>
              <w:bottom w:type="dxa" w:w="160"/>
              <w:right w:type="dxa" w:w="26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8"/>
                <w:szCs w:val="18"/>
              </w:rPr>
              <w:t xml:space="preserve">Goals &amp; Interventions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Control postoperative pain and swelling — ice, elevation, compression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Quad sets and ankle pumps, initiated as soon as comfort allows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Straight leg raise (SLR) practice within the brace once quad activation is present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Patellar mobilization (gentle, pain-free) to prevent early scar tethering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Incision care and monitoring per standard postoperative instructions</w:t>
            </w:r>
          </w:p>
        </w:tc>
      </w:tr>
      <w:tr>
        <w:tc>
          <w:tcPr>
            <w:tcW w:type="dxa" w:w="10800"/>
            <w:gridSpan w:val="2"/>
            <w:tcBorders>
              <w:top w:val="single" w:color="D0DCF0" w:sz="4"/>
            </w:tcBorders>
            <w:shd w:fill="FFFFFF" w:val="clear"/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0F4A9C"/>
                <w:spacing w:val="6"/>
                <w:sz w:val="16"/>
                <w:szCs w:val="16"/>
              </w:rPr>
              <w:t xml:space="preserve">CRITERIA TO ADVANCE:  </w:t>
            </w:r>
            <w:r>
              <w:rPr>
                <w:rFonts w:ascii="Source Sans 3" w:cs="Source Sans 3" w:eastAsia="Source Sans 3" w:hAnsi="Source Sans 3"/>
                <w:color w:val="1A1A1A"/>
                <w:sz w:val="18"/>
                <w:szCs w:val="18"/>
              </w:rPr>
              <w:t xml:space="preserve">Wound healing without concern, pain reasonably controlled, quad activation present.</w:t>
            </w:r>
          </w:p>
        </w:tc>
      </w:tr>
    </w:tbl>
    <w:p>
      <w:pPr>
        <w:spacing w:after="200"/>
      </w:pPr>
    </w:p>
    <w:tbl>
      <w:tblPr>
        <w:tblW w:type="dxa" w:w="10800"/>
        <w:tblBorders>
          <w:top w:val="single" w:color="D0DCF0" w:sz="4"/>
          <w:left w:val="single" w:color="D0DCF0" w:sz="4"/>
          <w:bottom w:val="single" w:color="D0DCF0" w:sz="4"/>
          <w:right w:val="single" w:color="D0DCF0" w:sz="4"/>
          <w:insideH w:val="single" w:color="D0DCF0" w:sz="4"/>
          <w:insideV w:val="single" w:color="D0DCF0" w:sz="4"/>
        </w:tblBorders>
      </w:tblPr>
      <w:tblGrid>
        <w:gridCol w:w="5400"/>
        <w:gridCol w:w="5400"/>
      </w:tblGrid>
      <w:tr>
        <w:tc>
          <w:tcPr>
            <w:tcW w:type="dxa" w:w="10800"/>
            <w:gridSpan w:val="2"/>
            <w:shd w:fill="1A63CC" w:val="clear"/>
            <w:tcMar>
              <w:top w:type="dxa" w:w="140"/>
              <w:left w:type="dxa" w:w="260"/>
              <w:bottom w:type="dxa" w:w="14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pacing w:val="10"/>
                <w:sz w:val="15"/>
                <w:szCs w:val="15"/>
              </w:rPr>
              <w:t xml:space="preserve">PHASE 2</w:t>
            </w:r>
            <w:r>
              <w:rPr>
                <w:rFonts w:ascii="Source Sans 3" w:cs="Source Sans 3" w:eastAsia="Source Sans 3" w:hAnsi="Source Sans 3"/>
                <w:color w:val="FFFFFF"/>
                <w:spacing w:val="4"/>
                <w:sz w:val="15"/>
                <w:szCs w:val="15"/>
              </w:rPr>
              <w:t xml:space="preserve">   |   Weeks 2–4</w:t>
            </w:r>
          </w:p>
          <w:p>
            <w:pPr>
              <w:spacing w:before="40"/>
            </w:pPr>
            <w:r>
              <w:rPr>
                <w:rFonts w:ascii="Merriweather" w:cs="Merriweather" w:eastAsia="Merriweather" w:hAnsi="Merriweather"/>
                <w:b/>
                <w:bCs/>
                <w:color w:val="FFFFFF"/>
                <w:sz w:val="24"/>
                <w:szCs w:val="24"/>
              </w:rPr>
              <w:t xml:space="preserve">Early Motion</w:t>
            </w:r>
          </w:p>
        </w:tc>
      </w:tr>
      <w:tr>
        <w:tc>
          <w:tcPr>
            <w:tcW w:type="dxa" w:w="5400"/>
            <w:shd w:fill="EAF0FE" w:val="clear"/>
            <w:tcMar>
              <w:top w:type="dxa" w:w="160"/>
              <w:left w:type="dxa" w:w="26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1A63CC"/>
                <w:sz w:val="18"/>
                <w:szCs w:val="18"/>
              </w:rPr>
              <w:t xml:space="preserve">Weight-Bearing / Brace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WBAT continues, brace on for all weight-bearing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Hinged knee brace advanced to 0°–60°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Brace may be removed briefly for hygiene and for supervised ROM/exercise as directed</w:t>
            </w:r>
          </w:p>
        </w:tc>
        <w:tc>
          <w:tcPr>
            <w:tcW w:type="dxa" w:w="5400"/>
            <w:shd w:fill="EAF0FE" w:val="clear"/>
            <w:tcMar>
              <w:top w:type="dxa" w:w="160"/>
              <w:left w:type="dxa" w:w="200"/>
              <w:bottom w:type="dxa" w:w="160"/>
              <w:right w:type="dxa" w:w="26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1A63CC"/>
                <w:sz w:val="18"/>
                <w:szCs w:val="18"/>
              </w:rPr>
              <w:t xml:space="preserve">Goals &amp; Interventions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Progressive active-assisted and active ROM up to the 60° brace limit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Continued quad sets, SLR, and gentle patellar mobilization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Gait normalization — wean assistive device as comfort and quad control allow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Begin gentle stationary bike (no resistance) within brace range if ROM permits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Scar mobilization once incision is fully closed</w:t>
            </w:r>
          </w:p>
        </w:tc>
      </w:tr>
      <w:tr>
        <w:tc>
          <w:tcPr>
            <w:tcW w:type="dxa" w:w="10800"/>
            <w:gridSpan w:val="2"/>
            <w:tcBorders>
              <w:top w:val="single" w:color="D0DCF0" w:sz="4"/>
            </w:tcBorders>
            <w:shd w:fill="FFFFFF" w:val="clear"/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1A63CC"/>
                <w:spacing w:val="6"/>
                <w:sz w:val="16"/>
                <w:szCs w:val="16"/>
              </w:rPr>
              <w:t xml:space="preserve">CRITERIA TO ADVANCE:  </w:t>
            </w:r>
            <w:r>
              <w:rPr>
                <w:rFonts w:ascii="Source Sans 3" w:cs="Source Sans 3" w:eastAsia="Source Sans 3" w:hAnsi="Source Sans 3"/>
                <w:color w:val="1A1A1A"/>
                <w:sz w:val="18"/>
                <w:szCs w:val="18"/>
              </w:rPr>
              <w:t xml:space="preserve">Minimal effusion, improving quad control, no extensor lag with active SLR.</w:t>
            </w:r>
          </w:p>
        </w:tc>
      </w:tr>
    </w:tbl>
    <w:p>
      <w:pPr>
        <w:spacing w:after="200"/>
      </w:pPr>
    </w:p>
    <w:tbl>
      <w:tblPr>
        <w:tblW w:type="dxa" w:w="10800"/>
        <w:tblBorders>
          <w:top w:val="single" w:color="D0DCF0" w:sz="4"/>
          <w:left w:val="single" w:color="D0DCF0" w:sz="4"/>
          <w:bottom w:val="single" w:color="D0DCF0" w:sz="4"/>
          <w:right w:val="single" w:color="D0DCF0" w:sz="4"/>
          <w:insideH w:val="single" w:color="D0DCF0" w:sz="4"/>
          <w:insideV w:val="single" w:color="D0DCF0" w:sz="4"/>
        </w:tblBorders>
      </w:tblPr>
      <w:tblGrid>
        <w:gridCol w:w="5400"/>
        <w:gridCol w:w="5400"/>
      </w:tblGrid>
      <w:tr>
        <w:tc>
          <w:tcPr>
            <w:tcW w:type="dxa" w:w="10800"/>
            <w:gridSpan w:val="2"/>
            <w:shd w:fill="1E7B34" w:val="clear"/>
            <w:tcMar>
              <w:top w:type="dxa" w:w="140"/>
              <w:left w:type="dxa" w:w="260"/>
              <w:bottom w:type="dxa" w:w="14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pacing w:val="10"/>
                <w:sz w:val="15"/>
                <w:szCs w:val="15"/>
              </w:rPr>
              <w:t xml:space="preserve">PHASE 3</w:t>
            </w:r>
            <w:r>
              <w:rPr>
                <w:rFonts w:ascii="Source Sans 3" w:cs="Source Sans 3" w:eastAsia="Source Sans 3" w:hAnsi="Source Sans 3"/>
                <w:color w:val="FFFFFF"/>
                <w:spacing w:val="4"/>
                <w:sz w:val="15"/>
                <w:szCs w:val="15"/>
              </w:rPr>
              <w:t xml:space="preserve">   |   Weeks 4–6</w:t>
            </w:r>
          </w:p>
          <w:p>
            <w:pPr>
              <w:spacing w:before="40"/>
            </w:pPr>
            <w:r>
              <w:rPr>
                <w:rFonts w:ascii="Merriweather" w:cs="Merriweather" w:eastAsia="Merriweather" w:hAnsi="Merriweather"/>
                <w:b/>
                <w:bCs/>
                <w:color w:val="FFFFFF"/>
                <w:sz w:val="24"/>
                <w:szCs w:val="24"/>
              </w:rPr>
              <w:t xml:space="preserve">Progressive Motion</w:t>
            </w:r>
          </w:p>
        </w:tc>
      </w:tr>
      <w:tr>
        <w:tc>
          <w:tcPr>
            <w:tcW w:type="dxa" w:w="5400"/>
            <w:shd w:fill="EAF6EC" w:val="clear"/>
            <w:tcMar>
              <w:top w:type="dxa" w:w="160"/>
              <w:left w:type="dxa" w:w="26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1E7B34"/>
                <w:sz w:val="18"/>
                <w:szCs w:val="18"/>
              </w:rPr>
              <w:t xml:space="preserve">Weight-Bearing / Brace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WBAT continues, brace on for all weight-bearing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Hinged knee brace advanced to 0°–90°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Continue brace at night if comfort or protection is a concern</w:t>
            </w:r>
          </w:p>
        </w:tc>
        <w:tc>
          <w:tcPr>
            <w:tcW w:type="dxa" w:w="5400"/>
            <w:shd w:fill="EAF6EC" w:val="clear"/>
            <w:tcMar>
              <w:top w:type="dxa" w:w="160"/>
              <w:left w:type="dxa" w:w="200"/>
              <w:bottom w:type="dxa" w:w="160"/>
              <w:right w:type="dxa" w:w="26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1E7B34"/>
                <w:sz w:val="18"/>
                <w:szCs w:val="18"/>
              </w:rPr>
              <w:t xml:space="preserve">Goals &amp; Interventions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ROM progression toward 90° by end of phase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Initiate closed-chain strengthening within the brace range (mini-squats, leg press, step-ups) as tolerated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Continue quad and hip strengthening (hip abduction/extension, core)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Stationary bike with light resistance as ROM allows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Proprioceptive/balance work within brace limits</w:t>
            </w:r>
          </w:p>
        </w:tc>
      </w:tr>
      <w:tr>
        <w:tc>
          <w:tcPr>
            <w:tcW w:type="dxa" w:w="10800"/>
            <w:gridSpan w:val="2"/>
            <w:tcBorders>
              <w:top w:val="single" w:color="D0DCF0" w:sz="4"/>
            </w:tcBorders>
            <w:shd w:fill="FFFFFF" w:val="clear"/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1E7B34"/>
                <w:spacing w:val="6"/>
                <w:sz w:val="16"/>
                <w:szCs w:val="16"/>
              </w:rPr>
              <w:t xml:space="preserve">CRITERIA TO ADVANCE:  </w:t>
            </w:r>
            <w:r>
              <w:rPr>
                <w:rFonts w:ascii="Source Sans 3" w:cs="Source Sans 3" w:eastAsia="Source Sans 3" w:hAnsi="Source Sans 3"/>
                <w:color w:val="1A1A1A"/>
                <w:sz w:val="18"/>
                <w:szCs w:val="18"/>
              </w:rPr>
              <w:t xml:space="preserve">MD clearance at the 6-week visit, with radiographic evidence of healing/union.</w:t>
            </w:r>
          </w:p>
        </w:tc>
      </w:tr>
    </w:tbl>
    <w:p>
      <w:pPr>
        <w:spacing w:after="200"/>
      </w:pPr>
    </w:p>
    <w:tbl>
      <w:tblPr>
        <w:tblW w:type="dxa" w:w="10800"/>
        <w:tblBorders>
          <w:top w:val="single" w:color="D0DCF0" w:sz="4"/>
          <w:left w:val="single" w:color="D0DCF0" w:sz="4"/>
          <w:bottom w:val="single" w:color="D0DCF0" w:sz="4"/>
          <w:right w:val="single" w:color="D0DCF0" w:sz="4"/>
          <w:insideH w:val="single" w:color="D0DCF0" w:sz="4"/>
          <w:insideV w:val="single" w:color="D0DCF0" w:sz="4"/>
        </w:tblBorders>
      </w:tblPr>
      <w:tblGrid>
        <w:gridCol w:w="5400"/>
        <w:gridCol w:w="5400"/>
      </w:tblGrid>
      <w:tr>
        <w:tc>
          <w:tcPr>
            <w:tcW w:type="dxa" w:w="10800"/>
            <w:gridSpan w:val="2"/>
            <w:shd w:fill="B7791F" w:val="clear"/>
            <w:tcMar>
              <w:top w:type="dxa" w:w="140"/>
              <w:left w:type="dxa" w:w="260"/>
              <w:bottom w:type="dxa" w:w="14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pacing w:val="10"/>
                <w:sz w:val="15"/>
                <w:szCs w:val="15"/>
              </w:rPr>
              <w:t xml:space="preserve">PHASE 4</w:t>
            </w:r>
            <w:r>
              <w:rPr>
                <w:rFonts w:ascii="Source Sans 3" w:cs="Source Sans 3" w:eastAsia="Source Sans 3" w:hAnsi="Source Sans 3"/>
                <w:color w:val="FFFFFF"/>
                <w:spacing w:val="4"/>
                <w:sz w:val="15"/>
                <w:szCs w:val="15"/>
              </w:rPr>
              <w:t xml:space="preserve">   |   Week 6 and Beyond</w:t>
            </w:r>
          </w:p>
          <w:p>
            <w:pPr>
              <w:spacing w:before="40"/>
            </w:pPr>
            <w:r>
              <w:rPr>
                <w:rFonts w:ascii="Merriweather" w:cs="Merriweather" w:eastAsia="Merriweather" w:hAnsi="Merriweather"/>
                <w:b/>
                <w:bCs/>
                <w:color w:val="FFFFFF"/>
                <w:sz w:val="24"/>
                <w:szCs w:val="24"/>
              </w:rPr>
              <w:t xml:space="preserve">Strengthening &amp; Return to Function</w:t>
            </w:r>
          </w:p>
        </w:tc>
      </w:tr>
      <w:tr>
        <w:tc>
          <w:tcPr>
            <w:tcW w:type="dxa" w:w="5400"/>
            <w:shd w:fill="FBF3DF" w:val="clear"/>
            <w:tcMar>
              <w:top w:type="dxa" w:w="160"/>
              <w:left w:type="dxa" w:w="260"/>
              <w:bottom w:type="dxa" w:w="160"/>
              <w:right w:type="dxa" w:w="20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B7791F"/>
                <w:sz w:val="18"/>
                <w:szCs w:val="18"/>
              </w:rPr>
              <w:t xml:space="preserve">Weight-Bearing / Brace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Hinged knee brace discontinued once MD clearance is given and quad control has returned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Full, unrestricted knee ROM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No further brace requirement for daily activity</w:t>
            </w:r>
          </w:p>
        </w:tc>
        <w:tc>
          <w:tcPr>
            <w:tcW w:type="dxa" w:w="5400"/>
            <w:shd w:fill="FBF3DF" w:val="clear"/>
            <w:tcMar>
              <w:top w:type="dxa" w:w="160"/>
              <w:left w:type="dxa" w:w="200"/>
              <w:bottom w:type="dxa" w:w="160"/>
              <w:right w:type="dxa" w:w="260"/>
            </w:tcMar>
          </w:tcPr>
          <w:p>
            <w:pPr>
              <w:spacing w:after="80"/>
            </w:pPr>
            <w:r>
              <w:rPr>
                <w:rFonts w:ascii="Source Sans 3" w:cs="Source Sans 3" w:eastAsia="Source Sans 3" w:hAnsi="Source Sans 3"/>
                <w:b/>
                <w:bCs/>
                <w:color w:val="B7791F"/>
                <w:sz w:val="18"/>
                <w:szCs w:val="18"/>
              </w:rPr>
              <w:t xml:space="preserve">Goals &amp; Interventions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Advance strengthening as tolerated — open- and closed-chain, progressive resistance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Restore quad, hamstring, and hip strength toward symmetry with the uninvolved side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Sport-specific agility, running progression, and single-leg hop testing introduced once foundational strength is adequate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80" w:line="270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Plyometric and cutting/pivoting drills added late in this phase as strength and confidence allow</w:t>
            </w:r>
          </w:p>
        </w:tc>
      </w:tr>
      <w:tr>
        <w:tc>
          <w:tcPr>
            <w:tcW w:type="dxa" w:w="10800"/>
            <w:gridSpan w:val="2"/>
            <w:tcBorders>
              <w:top w:val="single" w:color="D0DCF0" w:sz="4"/>
            </w:tcBorders>
            <w:shd w:fill="FFFFFF" w:val="clear"/>
            <w:tcMar>
              <w:top w:type="dxa" w:w="100"/>
              <w:left w:type="dxa" w:w="260"/>
              <w:bottom w:type="dxa" w:w="100"/>
              <w:right w:type="dxa" w:w="260"/>
            </w:tcMar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B7791F"/>
                <w:spacing w:val="6"/>
                <w:sz w:val="16"/>
                <w:szCs w:val="16"/>
              </w:rPr>
              <w:t xml:space="preserve">CRITERIA TO ADVANCE:  </w:t>
            </w:r>
            <w:r>
              <w:rPr>
                <w:rFonts w:ascii="Source Sans 3" w:cs="Source Sans 3" w:eastAsia="Source Sans 3" w:hAnsi="Source Sans 3"/>
                <w:color w:val="1A1A1A"/>
                <w:sz w:val="18"/>
                <w:szCs w:val="18"/>
              </w:rPr>
              <w:t xml:space="preserve">See Return-to-Play Criteria below.</w:t>
            </w:r>
          </w:p>
        </w:tc>
      </w:tr>
    </w:tbl>
    <w:p>
      <w:pPr>
        <w:spacing w:after="100"/>
      </w:pPr>
    </w:p>
    <w:p>
      <w:pPr>
        <w:pStyle w:val="Heading1"/>
        <w:pBdr>
          <w:bottom w:val="single" w:color="E8F0FC" w:sz="6" w:space="4"/>
        </w:pBdr>
        <w:spacing w:after="120" w:before="260"/>
      </w:pPr>
      <w:r>
        <w:rPr>
          <w:rFonts w:ascii="Merriweather" w:cs="Merriweather" w:eastAsia="Merriweather" w:hAnsi="Merriweather"/>
          <w:b/>
          <w:bCs/>
          <w:color w:val="0F4A9C"/>
          <w:sz w:val="26"/>
          <w:szCs w:val="26"/>
        </w:rPr>
        <w:t xml:space="preserve">Return-to-Play Criteria</w:t>
      </w:r>
    </w:p>
    <w:p>
      <w:pPr>
        <w:spacing w:after="140" w:line="28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Clearance for unrestricted sport and full activity requires all of the following: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Radiographic bony union at the fracture/osteotomy site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Pain-free with functional activity, including squatting and jumping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Full, symmetric knee range of motion compared with the uninvolved side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Quad strength and control near-symmetric to the uninvolved limb on manual or dynamometer testing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Single-leg hop and agility testing near-symmetric (typically ≥90% limb symmetry index) compared with the uninvolved side</w:t>
      </w:r>
    </w:p>
    <w:p>
      <w:pPr>
        <w:spacing w:after="100"/>
      </w:pPr>
    </w:p>
    <w:tbl>
      <w:tblPr>
        <w:tblW w:type="dxa" w:w="10800"/>
        <w:tblBorders>
          <w:top w:val="none"/>
          <w:left w:val="single" w:color="1E7B34" w:sz="24"/>
          <w:bottom w:val="none"/>
          <w:right w:val="none"/>
          <w:insideH w:val="none"/>
          <w:insideV w:val="none"/>
        </w:tblBorders>
      </w:tblPr>
      <w:tblGrid>
        <w:gridCol w:w="10800"/>
      </w:tblGrid>
      <w:tr>
        <w:tc>
          <w:tcPr>
            <w:tcW w:type="dxa" w:w="10800"/>
            <w:shd w:fill="EAF6EC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60"/>
            </w:pPr>
            <w:r>
              <w:rPr>
                <w:rFonts w:ascii="Source Sans 3" w:cs="Source Sans 3" w:eastAsia="Source Sans 3" w:hAnsi="Source Sans 3"/>
                <w:b/>
                <w:bCs/>
                <w:color w:val="1E7B34"/>
                <w:spacing w:val="10"/>
                <w:sz w:val="16"/>
                <w:szCs w:val="16"/>
              </w:rPr>
              <w:t xml:space="preserve">IMAGING NOTE</w:t>
            </w:r>
          </w:p>
          <w:p>
            <w:pPr>
              <w:spacing w:line="276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Routine postoperative MRI is not needed to confirm healing. Union is followed clinically and with plain radiographs; MRI is reserved only for cases where union or symptoms raise specific concern.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E8F0FC" w:sz="6" w:space="4"/>
        </w:pBdr>
        <w:spacing w:after="120" w:before="260"/>
      </w:pPr>
      <w:r>
        <w:rPr>
          <w:rFonts w:ascii="Merriweather" w:cs="Merriweather" w:eastAsia="Merriweather" w:hAnsi="Merriweather"/>
          <w:b/>
          <w:bCs/>
          <w:color w:val="0F4A9C"/>
          <w:sz w:val="26"/>
          <w:szCs w:val="26"/>
        </w:rPr>
        <w:t xml:space="preserve">Quick-Reference Timeline</w:t>
      </w:r>
    </w:p>
    <w:tbl>
      <w:tblPr>
        <w:tblW w:type="dxa" w:w="10800"/>
        <w:tblBorders>
          <w:top w:val="single" w:color="D0DCF0" w:sz="4"/>
          <w:left w:val="single" w:color="D0DCF0" w:sz="4"/>
          <w:bottom w:val="single" w:color="D0DCF0" w:sz="4"/>
          <w:right w:val="single" w:color="D0DCF0" w:sz="4"/>
          <w:insideH w:val="single" w:color="D0DCF0" w:sz="4"/>
          <w:insideV w:val="single" w:color="D0DCF0" w:sz="4"/>
        </w:tblBorders>
      </w:tblPr>
      <w:tblGrid>
        <w:gridCol w:w="2700"/>
        <w:gridCol w:w="2700"/>
        <w:gridCol w:w="2700"/>
        <w:gridCol w:w="2700"/>
      </w:tblGrid>
      <w:tr>
        <w:trPr>
          <w:tblHeader/>
        </w:trPr>
        <w:tc>
          <w:tcPr>
            <w:tcW w:type="dxa" w:w="2700"/>
            <w:shd w:fill="0F4A9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z w:val="17"/>
                <w:szCs w:val="17"/>
              </w:rPr>
              <w:t xml:space="preserve">Phase</w:t>
            </w:r>
          </w:p>
        </w:tc>
        <w:tc>
          <w:tcPr>
            <w:tcW w:type="dxa" w:w="2700"/>
            <w:shd w:fill="0F4A9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z w:val="17"/>
                <w:szCs w:val="17"/>
              </w:rPr>
              <w:t xml:space="preserve">Weight-Bearing</w:t>
            </w:r>
          </w:p>
        </w:tc>
        <w:tc>
          <w:tcPr>
            <w:tcW w:type="dxa" w:w="2700"/>
            <w:shd w:fill="0F4A9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z w:val="17"/>
                <w:szCs w:val="17"/>
              </w:rPr>
              <w:t xml:space="preserve">Brace Range</w:t>
            </w:r>
          </w:p>
        </w:tc>
        <w:tc>
          <w:tcPr>
            <w:tcW w:type="dxa" w:w="2700"/>
            <w:shd w:fill="0F4A9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FFFFFF"/>
                <w:sz w:val="17"/>
                <w:szCs w:val="17"/>
              </w:rPr>
              <w:t xml:space="preserve">Key Milestones</w:t>
            </w:r>
          </w:p>
        </w:tc>
      </w:tr>
      <w:tr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7"/>
                <w:szCs w:val="17"/>
              </w:rPr>
              <w:t xml:space="preserve">Wks 0–2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WBAT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Locked 0°–30°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Quad sets, SLR, pain/swelling control</w:t>
            </w:r>
          </w:p>
        </w:tc>
      </w:tr>
      <w:tr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7"/>
                <w:szCs w:val="17"/>
              </w:rPr>
              <w:t xml:space="preserve">Wks 2–4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WBAT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0°–60°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AROM/AAROM to 60°, gait normalization</w:t>
            </w:r>
          </w:p>
        </w:tc>
      </w:tr>
      <w:tr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7"/>
                <w:szCs w:val="17"/>
              </w:rPr>
              <w:t xml:space="preserve">Wks 4–6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WBAT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0°–90°</w:t>
            </w:r>
          </w:p>
        </w:tc>
        <w:tc>
          <w:tcPr>
            <w:tcW w:type="dxa" w:w="2700"/>
            <w:shd w:fill="FFFFFF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ROM to 90°, closed-chain strengthening begins</w:t>
            </w:r>
          </w:p>
        </w:tc>
      </w:tr>
      <w:tr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b/>
                <w:bCs/>
                <w:color w:val="0F4A9C"/>
                <w:sz w:val="17"/>
                <w:szCs w:val="17"/>
              </w:rPr>
              <w:t xml:space="preserve">Wk 6+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WBAT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Brace discontinued (MD clearance + quad control)</w:t>
            </w:r>
          </w:p>
        </w:tc>
        <w:tc>
          <w:tcPr>
            <w:tcW w:type="dxa" w:w="2700"/>
            <w:shd w:fill="E8F0FC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r>
              <w:rPr>
                <w:rFonts w:ascii="Source Sans 3" w:cs="Source Sans 3" w:eastAsia="Source Sans 3" w:hAnsi="Source Sans 3"/>
                <w:color w:val="1A1A1A"/>
                <w:sz w:val="17"/>
                <w:szCs w:val="17"/>
              </w:rPr>
              <w:t xml:space="preserve">Full ROM, progressive strengthening, RTP criteria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E8F0FC" w:sz="6" w:space="4"/>
        </w:pBdr>
        <w:spacing w:after="120" w:before="260"/>
      </w:pPr>
      <w:r>
        <w:rPr>
          <w:rFonts w:ascii="Merriweather" w:cs="Merriweather" w:eastAsia="Merriweather" w:hAnsi="Merriweather"/>
          <w:b/>
          <w:bCs/>
          <w:color w:val="0F4A9C"/>
          <w:sz w:val="26"/>
          <w:szCs w:val="26"/>
        </w:rPr>
        <w:t xml:space="preserve">Clinical Pearls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Quad activation is the single most important early goal — a persistent extensor lag is the most common reason for a slow recovery and deserves early attention.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The brace protects the repair from uncontrolled active extension and falls, not from walking — weight-bearing itself does not stress the extensor mechanism the way an unguarded quad contraction against resistance does.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Patellar mobilization started early (once the incision allows) helps prevent the peripatellar stiffness that is otherwise common after patellar surgery.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Avoid resisted knee extension (e.g., open-chain leg extension exercises) until union is confirmed at the 6-week visit.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A bipartite patella fragment and a patellar fracture heal by the same biology — bone-to-bone healing at a cancellous surface — so the same protective timeline applies to both.</w:t>
      </w:r>
    </w:p>
    <w:p>
      <w:pPr>
        <w:spacing w:after="200"/>
      </w:pPr>
    </w:p>
    <w:p>
      <w:pPr>
        <w:pStyle w:val="Heading1"/>
        <w:pBdr>
          <w:bottom w:val="single" w:color="E8F0FC" w:sz="6" w:space="4"/>
        </w:pBdr>
        <w:spacing w:after="120" w:before="260"/>
      </w:pPr>
      <w:r>
        <w:rPr>
          <w:rFonts w:ascii="Merriweather" w:cs="Merriweather" w:eastAsia="Merriweather" w:hAnsi="Merriweather"/>
          <w:b/>
          <w:bCs/>
          <w:color w:val="0F4A9C"/>
          <w:sz w:val="26"/>
          <w:szCs w:val="26"/>
        </w:rPr>
        <w:t xml:space="preserve">Risks &amp; Potential Complications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Nonunion or delayed union at the fixation site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Hardware irritation — screws, wires, or a tension band construct can become prominent and occasionally require a later, separate removal procedure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Arthrofibrosis/knee stiffness, particularly if motion is delayed or under-progressed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Persistent extensor lag or quadriceps weakness if strengthening is not adequately restored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Infection or wound-healing problems</w:t>
      </w:r>
    </w:p>
    <w:p>
      <w:pPr>
        <w:pStyle w:val="ListParagraph"/>
        <w:numPr>
          <w:ilvl w:val="0"/>
          <w:numId w:val="2"/>
        </w:numPr>
        <w:spacing w:after="80" w:line="270"/>
      </w:pPr>
      <w:r>
        <w:rPr>
          <w:rFonts w:ascii="Source Sans 3" w:cs="Source Sans 3" w:eastAsia="Source Sans 3" w:hAnsi="Source Sans 3"/>
          <w:color w:val="1A1A1A"/>
          <w:sz w:val="20"/>
          <w:szCs w:val="20"/>
        </w:rPr>
        <w:t xml:space="preserve">Refracture or loss of fixation with premature return to unprotected activity</w:t>
      </w:r>
    </w:p>
    <w:p>
      <w:pPr>
        <w:spacing w:after="200"/>
      </w:pPr>
    </w:p>
    <w:tbl>
      <w:tblPr>
        <w:tblW w:type="dxa" w:w="10800"/>
        <w:tblBorders>
          <w:top w:val="none"/>
          <w:left w:val="single" w:color="C0392B" w:sz="24"/>
          <w:bottom w:val="none"/>
          <w:right w:val="none"/>
          <w:insideH w:val="none"/>
          <w:insideV w:val="none"/>
        </w:tblBorders>
      </w:tblPr>
      <w:tblGrid>
        <w:gridCol w:w="10800"/>
      </w:tblGrid>
      <w:tr>
        <w:tc>
          <w:tcPr>
            <w:tcW w:type="dxa" w:w="10800"/>
            <w:shd w:fill="FBEAEA" w:val="clear"/>
            <w:tcMar>
              <w:top w:type="dxa" w:w="160"/>
              <w:left w:type="dxa" w:w="260"/>
              <w:bottom w:type="dxa" w:w="160"/>
              <w:right w:type="dxa" w:w="260"/>
            </w:tcMar>
          </w:tcPr>
          <w:p>
            <w:pPr>
              <w:spacing w:after="60"/>
            </w:pPr>
            <w:r>
              <w:rPr>
                <w:rFonts w:ascii="Source Sans 3" w:cs="Source Sans 3" w:eastAsia="Source Sans 3" w:hAnsi="Source Sans 3"/>
                <w:b/>
                <w:bCs/>
                <w:color w:val="C0392B"/>
                <w:spacing w:val="10"/>
                <w:sz w:val="16"/>
                <w:szCs w:val="16"/>
              </w:rPr>
              <w:t xml:space="preserve">RED FLAGS — CONTACT THE OFFICE</w:t>
            </w:r>
          </w:p>
          <w:p>
            <w:pPr>
              <w:spacing w:line="276"/>
            </w:pPr>
            <w:r>
              <w:rPr>
                <w:rFonts w:ascii="Source Sans 3" w:cs="Source Sans 3" w:eastAsia="Source Sans 3" w:hAnsi="Source Sans 3"/>
                <w:color w:val="1A1A1A"/>
                <w:sz w:val="20"/>
                <w:szCs w:val="20"/>
              </w:rPr>
              <w:t xml:space="preserve">Call the office for: increasing rather than decreasing pain, new or worsening extensor lag (inability to actively straighten or hold the leg up), fever, spreading redness or drainage from the incision, a sudden pop or giving-way sensation, or any fall or direct blow to the knee.</w:t>
            </w:r>
          </w:p>
        </w:tc>
      </w:tr>
    </w:tbl>
    <w:sectPr>
      <w:footerReference w:type="default" r:id="rId7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tbl>
    <w:tblPr>
      <w:tblW w:type="dxa" w:w="10800"/>
      <w:tblBorders>
        <w:top w:val="single" w:color="0F4A9C" w:sz="4"/>
        <w:left w:val="none"/>
        <w:bottom w:val="none"/>
        <w:right w:val="none"/>
        <w:insideH w:val="none"/>
        <w:insideV w:val="none"/>
      </w:tblBorders>
    </w:tblPr>
    <w:tblGrid>
      <w:gridCol w:w="10800"/>
    </w:tblGrid>
    <w:tr>
      <w:tc>
        <w:tcPr>
          <w:tcW w:type="dxa" w:w="10800"/>
          <w:tcMar>
            <w:top w:type="dxa" w:w="120"/>
            <w:left w:type="dxa" w:w="0"/>
            <w:bottom w:type="dxa" w:w="0"/>
            <w:right w:type="dxa" w:w="0"/>
          </w:tcMar>
        </w:tcPr>
        <w:p>
          <w:pPr>
            <w:jc w:val="center"/>
          </w:pPr>
          <w:r>
            <w:rPr>
              <w:rFonts w:ascii="Source Sans 3" w:cs="Source Sans 3" w:eastAsia="Source Sans 3" w:hAnsi="Source Sans 3"/>
              <w:b/>
              <w:bCs/>
              <w:color w:val="0F4A9C"/>
              <w:sz w:val="15"/>
              <w:szCs w:val="15"/>
            </w:rPr>
            <w:t xml:space="preserve">David Roberts, MD FAAOS  |  Pediatric Orthopedic Surgery</w:t>
          </w:r>
          <w:r>
            <w:rPr>
              <w:rFonts w:ascii="Source Sans 3" w:cs="Source Sans 3" w:eastAsia="Source Sans 3" w:hAnsi="Source Sans 3"/>
              <w:color w:val="5B6B7F"/>
              <w:sz w:val="15"/>
              <w:szCs w:val="15"/>
            </w:rPr>
            <w:t xml:space="preserve">   •   9650 Gross Point Road, Suite 2900, Skokie, IL 60076   •   Office phone: (847) 866-7846</w:t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7beb3d71261c9836f72b2b464790e4e0c435dcc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2026-07-24T15:01:42.302Z</dcterms:created>
  <dcterms:modified xsi:type="dcterms:W3CDTF">2026-07-24T15:01:42.317Z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