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Look w:val="04A0" w:firstRow="1" w:lastRow="0" w:firstColumn="1" w:lastColumn="0" w:noHBand="0" w:noVBand="1"/>
      </w:tblPr>
      <w:tblGrid>
        <w:gridCol w:w="1181"/>
        <w:gridCol w:w="979"/>
        <w:gridCol w:w="1615"/>
        <w:gridCol w:w="979"/>
        <w:gridCol w:w="979"/>
        <w:gridCol w:w="699"/>
        <w:gridCol w:w="699"/>
        <w:gridCol w:w="429"/>
        <w:gridCol w:w="1165"/>
        <w:gridCol w:w="700"/>
      </w:tblGrid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837744" w:rsidRDefault="00F009F9" w:rsidP="00441A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emnibLIVE.com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317-969-8844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723ACD3" wp14:editId="2EAA1529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-830580</wp:posOffset>
                  </wp:positionV>
                  <wp:extent cx="1114425" cy="1524000"/>
                  <wp:effectExtent l="19050" t="19050" r="28575" b="1905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2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B612CA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F009F9" w:rsidRPr="00671A3F">
                <w:rPr>
                  <w:rFonts w:ascii="Calibri" w:eastAsia="Times New Roman" w:hAnsi="Calibri" w:cs="Calibri"/>
                  <w:color w:val="0563C1"/>
                  <w:u w:val="single"/>
                </w:rPr>
                <w:t>emilyn@emniblive.com</w:t>
              </w:r>
            </w:hyperlink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09F9" w:rsidRDefault="00F009F9" w:rsidP="0082405D">
      <w:pPr>
        <w:jc w:val="center"/>
        <w:rPr>
          <w:b/>
          <w:sz w:val="24"/>
          <w:u w:val="single"/>
        </w:rPr>
      </w:pPr>
    </w:p>
    <w:p w:rsidR="00E77190" w:rsidRPr="0082405D" w:rsidRDefault="00105011" w:rsidP="0082405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Smoothies</w:t>
      </w:r>
    </w:p>
    <w:p w:rsidR="003337FE" w:rsidRPr="00105011" w:rsidRDefault="00105011" w:rsidP="00105011">
      <w:pPr>
        <w:rPr>
          <w:b/>
        </w:rPr>
      </w:pPr>
      <w:r w:rsidRPr="00105011">
        <w:rPr>
          <w:b/>
        </w:rPr>
        <w:t>Ingredients:</w:t>
      </w:r>
    </w:p>
    <w:p w:rsidR="00105011" w:rsidRDefault="00105011" w:rsidP="00105011">
      <w:r>
        <w:tab/>
        <w:t>Fruits (frozen) – any kind based on personal preference</w:t>
      </w:r>
    </w:p>
    <w:p w:rsidR="00105011" w:rsidRDefault="00105011" w:rsidP="00105011">
      <w:r>
        <w:tab/>
        <w:t>Spinach (optional – frozen or fresh)</w:t>
      </w:r>
    </w:p>
    <w:p w:rsidR="00105011" w:rsidRDefault="00105011" w:rsidP="00105011">
      <w:r>
        <w:tab/>
        <w:t>Peanut butter (optional)</w:t>
      </w:r>
    </w:p>
    <w:p w:rsidR="00105011" w:rsidRDefault="00105011" w:rsidP="00105011">
      <w:r>
        <w:tab/>
        <w:t>Yogurt (optional – Greek yogurt has more protein than traditional yogurt)</w:t>
      </w:r>
    </w:p>
    <w:p w:rsidR="00105011" w:rsidRDefault="00105011" w:rsidP="00105011">
      <w:r>
        <w:tab/>
        <w:t>Cooked lentils (optional) – use about 1/8 cup</w:t>
      </w:r>
    </w:p>
    <w:p w:rsidR="00105011" w:rsidRDefault="00105011" w:rsidP="00105011">
      <w:r>
        <w:tab/>
        <w:t>Cocoa powder (optional – if you want a chocolate flavor)</w:t>
      </w:r>
    </w:p>
    <w:p w:rsidR="00105011" w:rsidRDefault="00105011" w:rsidP="00105011">
      <w:r>
        <w:tab/>
        <w:t>Liquid (Almond milk, regular milk, soy milk, or any kind of juice)</w:t>
      </w:r>
    </w:p>
    <w:p w:rsidR="00105011" w:rsidRPr="00105011" w:rsidRDefault="00105011" w:rsidP="00105011">
      <w:pPr>
        <w:rPr>
          <w:b/>
        </w:rPr>
      </w:pPr>
      <w:r w:rsidRPr="00105011">
        <w:rPr>
          <w:b/>
        </w:rPr>
        <w:t>Instructions: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>If you have fresh fruit and would like to freeze it for a colder smoothie or to meal prep: Cut it up into bite sized pieces and separate the pieces on a cutting board or other dish and freeze. Once frozen, can then combine the pieces into a container.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>If you are meal prepping and utilizing a bullet or mason jars, then add these items to meal prep and store in the freezer: fruits and spinach. ***Note, don’t overfill your jar, or you won’t have space for the blender to do its job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 xml:space="preserve">Once the fruit and spinach is added, add any of the optional items which could include peanut butter, yogurt, lentils, </w:t>
      </w:r>
      <w:proofErr w:type="gramStart"/>
      <w:r>
        <w:t>cocoa</w:t>
      </w:r>
      <w:proofErr w:type="gramEnd"/>
      <w:r>
        <w:t xml:space="preserve"> powder. Trial and error on these items to see what you like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 xml:space="preserve">Finally add </w:t>
      </w:r>
      <w:proofErr w:type="gramStart"/>
      <w:r>
        <w:t>your</w:t>
      </w:r>
      <w:proofErr w:type="gramEnd"/>
      <w:r>
        <w:t xml:space="preserve"> liquid whether it’s a milk or a juice. ***Keep in mind to not overfill because the blender blades need to also fit in here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>Blend your smoothie until it has reached the desire consistency</w:t>
      </w:r>
    </w:p>
    <w:p w:rsidR="00105011" w:rsidRDefault="00105011" w:rsidP="00105011">
      <w:pPr>
        <w:pStyle w:val="ListParagraph"/>
        <w:numPr>
          <w:ilvl w:val="0"/>
          <w:numId w:val="2"/>
        </w:numPr>
      </w:pPr>
      <w:r>
        <w:t xml:space="preserve">Enjoy!! </w:t>
      </w:r>
    </w:p>
    <w:p w:rsidR="00105011" w:rsidRDefault="00105011" w:rsidP="00105011"/>
    <w:p w:rsidR="00105011" w:rsidRDefault="00105011" w:rsidP="00105011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This makes a great on the go meal, so works great for breakfast in the car. Or even add to your gym bag and enjoy after your workout although a little bit of delay between making and enjoying will turn it more liquid-y</w:t>
      </w:r>
    </w:p>
    <w:p w:rsidR="00105011" w:rsidRDefault="00105011" w:rsidP="00105011"/>
    <w:sectPr w:rsidR="0010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08CA"/>
    <w:multiLevelType w:val="hybridMultilevel"/>
    <w:tmpl w:val="18340B46"/>
    <w:lvl w:ilvl="0" w:tplc="3E9EC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6F67"/>
    <w:multiLevelType w:val="hybridMultilevel"/>
    <w:tmpl w:val="0714D1BC"/>
    <w:lvl w:ilvl="0" w:tplc="6F64B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7FD2"/>
    <w:multiLevelType w:val="hybridMultilevel"/>
    <w:tmpl w:val="332C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5D"/>
    <w:rsid w:val="00105011"/>
    <w:rsid w:val="00193E1F"/>
    <w:rsid w:val="003337FE"/>
    <w:rsid w:val="0082405D"/>
    <w:rsid w:val="00871C2F"/>
    <w:rsid w:val="00B372CD"/>
    <w:rsid w:val="00F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8E39"/>
  <w15:chartTrackingRefBased/>
  <w15:docId w15:val="{01CD5B5E-04E5-44A1-9570-FC31526B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n@emnib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Nibbelink</dc:creator>
  <cp:keywords/>
  <dc:description/>
  <cp:lastModifiedBy>McKinney, Melissa J.</cp:lastModifiedBy>
  <cp:revision>2</cp:revision>
  <dcterms:created xsi:type="dcterms:W3CDTF">2020-07-28T07:51:00Z</dcterms:created>
  <dcterms:modified xsi:type="dcterms:W3CDTF">2020-07-28T07:51:00Z</dcterms:modified>
</cp:coreProperties>
</file>