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133F" w14:textId="77777777" w:rsidR="00060B68" w:rsidRPr="00470AB3" w:rsidRDefault="00060B68" w:rsidP="00C7551C">
      <w:pPr>
        <w:jc w:val="center"/>
        <w:rPr>
          <w:b/>
          <w:color w:val="538135" w:themeColor="accent6" w:themeShade="BF"/>
          <w:sz w:val="48"/>
          <w:szCs w:val="48"/>
        </w:rPr>
      </w:pPr>
      <w:r w:rsidRPr="00470AB3">
        <w:rPr>
          <w:b/>
          <w:color w:val="538135" w:themeColor="accent6" w:themeShade="BF"/>
          <w:sz w:val="48"/>
          <w:szCs w:val="48"/>
        </w:rPr>
        <w:t>Educational Tax Credit Program</w:t>
      </w:r>
    </w:p>
    <w:p w14:paraId="5AAC2609" w14:textId="77777777" w:rsidR="00060B68" w:rsidRDefault="00060B68" w:rsidP="00C7551C">
      <w:pPr>
        <w:jc w:val="center"/>
        <w:rPr>
          <w:b/>
          <w:color w:val="538135" w:themeColor="accent6" w:themeShade="BF"/>
          <w:sz w:val="48"/>
          <w:szCs w:val="48"/>
        </w:rPr>
      </w:pPr>
      <w:r w:rsidRPr="00470AB3">
        <w:rPr>
          <w:b/>
          <w:color w:val="538135" w:themeColor="accent6" w:themeShade="BF"/>
          <w:sz w:val="48"/>
          <w:szCs w:val="48"/>
        </w:rPr>
        <w:t>Special Purpose Entities</w:t>
      </w:r>
    </w:p>
    <w:p w14:paraId="193C126B" w14:textId="77777777" w:rsidR="00D3324A" w:rsidRPr="00470AB3" w:rsidRDefault="00D3324A" w:rsidP="00C7551C">
      <w:pPr>
        <w:jc w:val="center"/>
        <w:rPr>
          <w:b/>
          <w:color w:val="538135" w:themeColor="accent6" w:themeShade="BF"/>
          <w:sz w:val="48"/>
          <w:szCs w:val="48"/>
        </w:rPr>
      </w:pPr>
      <w:r>
        <w:rPr>
          <w:b/>
          <w:color w:val="538135" w:themeColor="accent6" w:themeShade="BF"/>
          <w:sz w:val="48"/>
          <w:szCs w:val="48"/>
        </w:rPr>
        <w:t>Quick Reference Sheet</w:t>
      </w:r>
    </w:p>
    <w:p w14:paraId="309B62F9" w14:textId="77777777" w:rsidR="00060B68" w:rsidRPr="00D3324A" w:rsidRDefault="00060B68" w:rsidP="00C7551C">
      <w:pPr>
        <w:jc w:val="center"/>
        <w:rPr>
          <w:b/>
          <w:color w:val="C45911" w:themeColor="accent2" w:themeShade="BF"/>
          <w:szCs w:val="24"/>
        </w:rPr>
      </w:pPr>
    </w:p>
    <w:p w14:paraId="5430A49A" w14:textId="77777777" w:rsidR="00C7551C" w:rsidRPr="00D3324A" w:rsidRDefault="00C7551C" w:rsidP="00C7551C">
      <w:pPr>
        <w:jc w:val="center"/>
        <w:rPr>
          <w:b/>
          <w:color w:val="BF8F00" w:themeColor="accent4" w:themeShade="BF"/>
          <w:sz w:val="44"/>
          <w:szCs w:val="44"/>
        </w:rPr>
      </w:pPr>
      <w:r w:rsidRPr="00D3324A">
        <w:rPr>
          <w:b/>
          <w:color w:val="BF8F00" w:themeColor="accent4" w:themeShade="BF"/>
          <w:sz w:val="44"/>
          <w:szCs w:val="44"/>
        </w:rPr>
        <w:t>Eligibility</w:t>
      </w:r>
      <w:r w:rsidR="00060B68" w:rsidRPr="00D3324A">
        <w:rPr>
          <w:b/>
          <w:color w:val="BF8F00" w:themeColor="accent4" w:themeShade="BF"/>
          <w:sz w:val="44"/>
          <w:szCs w:val="44"/>
        </w:rPr>
        <w:t xml:space="preserve"> for Businesses</w:t>
      </w:r>
    </w:p>
    <w:p w14:paraId="69277FFC" w14:textId="77777777" w:rsidR="00C7551C" w:rsidRPr="00752BCC" w:rsidRDefault="00C7551C" w:rsidP="00C7551C">
      <w:pPr>
        <w:jc w:val="center"/>
        <w:rPr>
          <w:b/>
          <w:szCs w:val="24"/>
        </w:rPr>
      </w:pPr>
    </w:p>
    <w:p w14:paraId="2B65D0CC" w14:textId="77777777" w:rsidR="00C7551C" w:rsidRPr="00060B68" w:rsidRDefault="00470AB3" w:rsidP="003D2085">
      <w:pPr>
        <w:rPr>
          <w:b/>
          <w:sz w:val="28"/>
          <w:szCs w:val="28"/>
        </w:rPr>
      </w:pPr>
      <w:r>
        <w:rPr>
          <w:b/>
          <w:sz w:val="28"/>
          <w:szCs w:val="28"/>
        </w:rPr>
        <w:t>Businesses m</w:t>
      </w:r>
      <w:r w:rsidR="00C7551C" w:rsidRPr="00060B68">
        <w:rPr>
          <w:b/>
          <w:sz w:val="28"/>
          <w:szCs w:val="28"/>
        </w:rPr>
        <w:t>ust pay one or more of the following taxes annually:</w:t>
      </w:r>
    </w:p>
    <w:p w14:paraId="7C07EB50" w14:textId="77777777" w:rsidR="009B479A" w:rsidRPr="00060B68" w:rsidRDefault="009B479A" w:rsidP="00A9085A">
      <w:pPr>
        <w:numPr>
          <w:ilvl w:val="0"/>
          <w:numId w:val="11"/>
        </w:numPr>
        <w:pBdr>
          <w:top w:val="single" w:sz="6" w:space="0" w:color="F1F1F1"/>
          <w:bottom w:val="single" w:sz="6" w:space="4" w:color="EEEEEE"/>
        </w:pBdr>
        <w:spacing w:line="360" w:lineRule="auto"/>
        <w:rPr>
          <w:rFonts w:eastAsia="Times New Roman" w:cs="Helvetica"/>
          <w:szCs w:val="24"/>
        </w:rPr>
      </w:pPr>
      <w:r w:rsidRPr="00060B68">
        <w:rPr>
          <w:rFonts w:eastAsia="Times New Roman" w:cs="Helvetica"/>
          <w:szCs w:val="24"/>
        </w:rPr>
        <w:t>Personal Income Tax</w:t>
      </w:r>
    </w:p>
    <w:p w14:paraId="56DB47A9" w14:textId="77777777" w:rsidR="009B479A" w:rsidRPr="00060B68" w:rsidRDefault="009B479A" w:rsidP="00A9085A">
      <w:pPr>
        <w:numPr>
          <w:ilvl w:val="0"/>
          <w:numId w:val="11"/>
        </w:numPr>
        <w:pBdr>
          <w:top w:val="single" w:sz="6" w:space="0" w:color="F1F1F1"/>
          <w:bottom w:val="single" w:sz="6" w:space="4" w:color="EEEEEE"/>
        </w:pBdr>
        <w:spacing w:line="360" w:lineRule="auto"/>
        <w:rPr>
          <w:rFonts w:eastAsia="Times New Roman" w:cs="Helvetica"/>
          <w:szCs w:val="24"/>
        </w:rPr>
      </w:pPr>
      <w:r w:rsidRPr="00060B68">
        <w:rPr>
          <w:rFonts w:eastAsia="Times New Roman" w:cs="Helvetica"/>
          <w:szCs w:val="24"/>
        </w:rPr>
        <w:t>Capital Stock/Foreign Franchise Tax</w:t>
      </w:r>
    </w:p>
    <w:p w14:paraId="3558F1F1" w14:textId="77777777" w:rsidR="009B479A" w:rsidRPr="00060B68" w:rsidRDefault="009B479A" w:rsidP="00A9085A">
      <w:pPr>
        <w:numPr>
          <w:ilvl w:val="0"/>
          <w:numId w:val="11"/>
        </w:numPr>
        <w:pBdr>
          <w:top w:val="single" w:sz="6" w:space="0" w:color="F1F1F1"/>
          <w:bottom w:val="single" w:sz="6" w:space="4" w:color="EEEEEE"/>
        </w:pBdr>
        <w:spacing w:line="360" w:lineRule="auto"/>
        <w:rPr>
          <w:rFonts w:eastAsia="Times New Roman" w:cs="Helvetica"/>
          <w:szCs w:val="24"/>
        </w:rPr>
      </w:pPr>
      <w:r w:rsidRPr="00060B68">
        <w:rPr>
          <w:rFonts w:eastAsia="Times New Roman" w:cs="Helvetica"/>
          <w:szCs w:val="24"/>
        </w:rPr>
        <w:t>Corporate Net Income Tax</w:t>
      </w:r>
    </w:p>
    <w:p w14:paraId="30467255" w14:textId="77777777" w:rsidR="009B479A" w:rsidRPr="00060B68" w:rsidRDefault="009B479A" w:rsidP="00A9085A">
      <w:pPr>
        <w:numPr>
          <w:ilvl w:val="0"/>
          <w:numId w:val="11"/>
        </w:numPr>
        <w:pBdr>
          <w:top w:val="single" w:sz="6" w:space="0" w:color="F1F1F1"/>
          <w:bottom w:val="single" w:sz="6" w:space="4" w:color="EEEEEE"/>
        </w:pBdr>
        <w:spacing w:line="360" w:lineRule="auto"/>
        <w:rPr>
          <w:rFonts w:eastAsia="Times New Roman" w:cs="Helvetica"/>
          <w:szCs w:val="24"/>
        </w:rPr>
      </w:pPr>
      <w:r w:rsidRPr="00060B68">
        <w:rPr>
          <w:rFonts w:eastAsia="Times New Roman" w:cs="Helvetica"/>
          <w:szCs w:val="24"/>
        </w:rPr>
        <w:t>Bank Shares Tax</w:t>
      </w:r>
    </w:p>
    <w:p w14:paraId="199D012C" w14:textId="77777777" w:rsidR="009B479A" w:rsidRPr="00060B68" w:rsidRDefault="009B479A" w:rsidP="00A9085A">
      <w:pPr>
        <w:numPr>
          <w:ilvl w:val="0"/>
          <w:numId w:val="11"/>
        </w:numPr>
        <w:pBdr>
          <w:top w:val="single" w:sz="6" w:space="0" w:color="F1F1F1"/>
          <w:bottom w:val="single" w:sz="6" w:space="4" w:color="EEEEEE"/>
        </w:pBdr>
        <w:spacing w:line="360" w:lineRule="auto"/>
        <w:rPr>
          <w:rFonts w:eastAsia="Times New Roman" w:cs="Helvetica"/>
          <w:szCs w:val="24"/>
        </w:rPr>
      </w:pPr>
      <w:r w:rsidRPr="00060B68">
        <w:rPr>
          <w:rFonts w:eastAsia="Times New Roman" w:cs="Helvetica"/>
          <w:szCs w:val="24"/>
        </w:rPr>
        <w:t>Title Insurance &amp; Trust Company Shares Tax</w:t>
      </w:r>
    </w:p>
    <w:p w14:paraId="3742A3BE" w14:textId="77777777" w:rsidR="009B479A" w:rsidRPr="00060B68" w:rsidRDefault="009B479A" w:rsidP="00A9085A">
      <w:pPr>
        <w:numPr>
          <w:ilvl w:val="0"/>
          <w:numId w:val="11"/>
        </w:numPr>
        <w:pBdr>
          <w:top w:val="single" w:sz="6" w:space="0" w:color="F1F1F1"/>
          <w:bottom w:val="single" w:sz="6" w:space="4" w:color="EEEEEE"/>
        </w:pBdr>
        <w:spacing w:line="360" w:lineRule="auto"/>
        <w:rPr>
          <w:rFonts w:eastAsia="Times New Roman" w:cs="Helvetica"/>
          <w:szCs w:val="24"/>
        </w:rPr>
      </w:pPr>
      <w:r w:rsidRPr="00060B68">
        <w:rPr>
          <w:rFonts w:eastAsia="Times New Roman" w:cs="Helvetica"/>
          <w:szCs w:val="24"/>
        </w:rPr>
        <w:t>Insurance Premium Tax (excluding surplus lines, unauthorized, domestic/foreign marine)</w:t>
      </w:r>
    </w:p>
    <w:p w14:paraId="129070B1" w14:textId="77777777" w:rsidR="009B479A" w:rsidRPr="00060B68" w:rsidRDefault="009B479A" w:rsidP="00A9085A">
      <w:pPr>
        <w:numPr>
          <w:ilvl w:val="0"/>
          <w:numId w:val="11"/>
        </w:numPr>
        <w:pBdr>
          <w:top w:val="single" w:sz="6" w:space="0" w:color="F1F1F1"/>
          <w:bottom w:val="single" w:sz="6" w:space="4" w:color="EEEEEE"/>
        </w:pBdr>
        <w:spacing w:line="360" w:lineRule="auto"/>
        <w:rPr>
          <w:rFonts w:eastAsia="Times New Roman" w:cs="Helvetica"/>
          <w:szCs w:val="24"/>
        </w:rPr>
      </w:pPr>
      <w:r w:rsidRPr="00060B68">
        <w:rPr>
          <w:rFonts w:eastAsia="Times New Roman" w:cs="Helvetica"/>
          <w:szCs w:val="24"/>
        </w:rPr>
        <w:t>Mutual Thrift Tax</w:t>
      </w:r>
    </w:p>
    <w:p w14:paraId="4A3FE069" w14:textId="77777777" w:rsidR="009B479A" w:rsidRPr="00060B68" w:rsidRDefault="009B479A" w:rsidP="00A9085A">
      <w:pPr>
        <w:numPr>
          <w:ilvl w:val="0"/>
          <w:numId w:val="11"/>
        </w:numPr>
        <w:pBdr>
          <w:top w:val="single" w:sz="6" w:space="0" w:color="F1F1F1"/>
          <w:bottom w:val="single" w:sz="6" w:space="4" w:color="EEEEEE"/>
        </w:pBdr>
        <w:spacing w:line="360" w:lineRule="auto"/>
        <w:rPr>
          <w:rFonts w:eastAsia="Times New Roman" w:cs="Helvetica"/>
          <w:szCs w:val="24"/>
        </w:rPr>
      </w:pPr>
      <w:r w:rsidRPr="00060B68">
        <w:rPr>
          <w:rFonts w:eastAsia="Times New Roman" w:cs="Helvetica"/>
          <w:szCs w:val="24"/>
        </w:rPr>
        <w:t>Malt Beverage Tax</w:t>
      </w:r>
    </w:p>
    <w:p w14:paraId="0F90F922" w14:textId="77777777" w:rsidR="009B479A" w:rsidRPr="00060B68" w:rsidRDefault="009B479A" w:rsidP="00A9085A">
      <w:pPr>
        <w:numPr>
          <w:ilvl w:val="0"/>
          <w:numId w:val="11"/>
        </w:numPr>
        <w:pBdr>
          <w:top w:val="single" w:sz="6" w:space="0" w:color="F1F1F1"/>
          <w:bottom w:val="single" w:sz="6" w:space="4" w:color="EEEEEE"/>
        </w:pBdr>
        <w:spacing w:line="360" w:lineRule="auto"/>
        <w:rPr>
          <w:rFonts w:eastAsia="Times New Roman" w:cs="Helvetica"/>
          <w:szCs w:val="24"/>
        </w:rPr>
      </w:pPr>
      <w:r w:rsidRPr="00060B68">
        <w:rPr>
          <w:rFonts w:eastAsia="Times New Roman" w:cs="Helvetica"/>
          <w:szCs w:val="24"/>
        </w:rPr>
        <w:t>Retaliatory Fees under section 212 of the Insurance Company Law of 1921</w:t>
      </w:r>
    </w:p>
    <w:p w14:paraId="47B250C9" w14:textId="77777777" w:rsidR="00C7551C" w:rsidRPr="00060B68" w:rsidRDefault="00C7551C" w:rsidP="00C7551C">
      <w:pPr>
        <w:rPr>
          <w:b/>
          <w:szCs w:val="24"/>
        </w:rPr>
      </w:pPr>
    </w:p>
    <w:p w14:paraId="1ED21B25" w14:textId="77777777" w:rsidR="003D2085" w:rsidRPr="00060B68" w:rsidRDefault="00C7551C" w:rsidP="00C7551C">
      <w:pPr>
        <w:rPr>
          <w:b/>
          <w:sz w:val="28"/>
          <w:szCs w:val="28"/>
        </w:rPr>
      </w:pPr>
      <w:r w:rsidRPr="00060B68">
        <w:rPr>
          <w:b/>
          <w:sz w:val="28"/>
          <w:szCs w:val="28"/>
        </w:rPr>
        <w:t>Businesses often eligible to participate:</w:t>
      </w:r>
    </w:p>
    <w:p w14:paraId="7D681209" w14:textId="77777777" w:rsidR="00C7551C" w:rsidRPr="00060B68" w:rsidRDefault="00C7551C" w:rsidP="003D2085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060B68">
        <w:rPr>
          <w:szCs w:val="24"/>
        </w:rPr>
        <w:t>S Corporations</w:t>
      </w:r>
    </w:p>
    <w:p w14:paraId="1C88DAEF" w14:textId="77777777" w:rsidR="00C7551C" w:rsidRPr="00060B68" w:rsidRDefault="00C7551C" w:rsidP="003D2085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060B68">
        <w:rPr>
          <w:szCs w:val="24"/>
        </w:rPr>
        <w:t>C Corporations</w:t>
      </w:r>
    </w:p>
    <w:p w14:paraId="4943B972" w14:textId="77777777" w:rsidR="00C7551C" w:rsidRPr="00060B68" w:rsidRDefault="00C7551C" w:rsidP="003D2085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060B68">
        <w:rPr>
          <w:szCs w:val="24"/>
        </w:rPr>
        <w:t>General Partnerships</w:t>
      </w:r>
    </w:p>
    <w:p w14:paraId="462E3436" w14:textId="77777777" w:rsidR="00C7551C" w:rsidRPr="00060B68" w:rsidRDefault="00C7551C" w:rsidP="003D2085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060B68">
        <w:rPr>
          <w:szCs w:val="24"/>
        </w:rPr>
        <w:t>Limited Partnerships</w:t>
      </w:r>
    </w:p>
    <w:p w14:paraId="7595E7BC" w14:textId="77777777" w:rsidR="00C7551C" w:rsidRPr="00060B68" w:rsidRDefault="00C7551C" w:rsidP="003D2085">
      <w:pPr>
        <w:pStyle w:val="ListParagraph"/>
        <w:numPr>
          <w:ilvl w:val="0"/>
          <w:numId w:val="2"/>
        </w:numPr>
        <w:spacing w:line="360" w:lineRule="auto"/>
        <w:rPr>
          <w:szCs w:val="24"/>
        </w:rPr>
      </w:pPr>
      <w:r w:rsidRPr="00060B68">
        <w:rPr>
          <w:szCs w:val="24"/>
        </w:rPr>
        <w:t>Limited Liability Companies</w:t>
      </w:r>
      <w:r w:rsidR="00A9085A" w:rsidRPr="00060B68">
        <w:rPr>
          <w:szCs w:val="24"/>
        </w:rPr>
        <w:t xml:space="preserve"> (LLC)</w:t>
      </w:r>
    </w:p>
    <w:p w14:paraId="12E81BA0" w14:textId="77777777" w:rsidR="00A9085A" w:rsidRDefault="00A9085A" w:rsidP="00752BCC">
      <w:pPr>
        <w:rPr>
          <w:b/>
          <w:color w:val="1F3864" w:themeColor="accent5" w:themeShade="80"/>
          <w:sz w:val="32"/>
          <w:szCs w:val="32"/>
        </w:rPr>
      </w:pPr>
    </w:p>
    <w:p w14:paraId="6D787435" w14:textId="77777777" w:rsidR="00060B68" w:rsidRPr="00D3324A" w:rsidRDefault="00060B68" w:rsidP="00060B68">
      <w:pPr>
        <w:jc w:val="center"/>
        <w:rPr>
          <w:b/>
          <w:color w:val="BF8F00" w:themeColor="accent4" w:themeShade="BF"/>
          <w:sz w:val="44"/>
          <w:szCs w:val="44"/>
        </w:rPr>
      </w:pPr>
      <w:r w:rsidRPr="00D3324A">
        <w:rPr>
          <w:b/>
          <w:color w:val="BF8F00" w:themeColor="accent4" w:themeShade="BF"/>
          <w:sz w:val="44"/>
          <w:szCs w:val="44"/>
        </w:rPr>
        <w:t>Eligibility for Individuals</w:t>
      </w:r>
    </w:p>
    <w:p w14:paraId="410F001A" w14:textId="77777777" w:rsidR="00060B68" w:rsidRPr="00060B68" w:rsidRDefault="00060B68" w:rsidP="00752BCC">
      <w:pPr>
        <w:rPr>
          <w:b/>
          <w:color w:val="1F3864" w:themeColor="accent5" w:themeShade="80"/>
          <w:sz w:val="28"/>
          <w:szCs w:val="28"/>
        </w:rPr>
      </w:pPr>
    </w:p>
    <w:p w14:paraId="7783C02E" w14:textId="731F08D2" w:rsidR="00A9085A" w:rsidRPr="00060B68" w:rsidRDefault="00AE70ED">
      <w:pPr>
        <w:rPr>
          <w:b/>
          <w:sz w:val="28"/>
          <w:szCs w:val="28"/>
        </w:rPr>
      </w:pPr>
      <w:r w:rsidRPr="00060B68">
        <w:rPr>
          <w:b/>
          <w:sz w:val="28"/>
          <w:szCs w:val="28"/>
        </w:rPr>
        <w:t>I</w:t>
      </w:r>
      <w:r w:rsidR="00752BCC" w:rsidRPr="00060B68">
        <w:rPr>
          <w:b/>
          <w:sz w:val="28"/>
          <w:szCs w:val="28"/>
        </w:rPr>
        <w:t>ndividuals must be employed by</w:t>
      </w:r>
      <w:r w:rsidR="00F34FCE">
        <w:rPr>
          <w:b/>
          <w:sz w:val="28"/>
          <w:szCs w:val="28"/>
        </w:rPr>
        <w:t xml:space="preserve"> or</w:t>
      </w:r>
      <w:r w:rsidR="00752BCC" w:rsidRPr="00060B68">
        <w:rPr>
          <w:b/>
          <w:sz w:val="28"/>
          <w:szCs w:val="28"/>
        </w:rPr>
        <w:t xml:space="preserve"> own a For Profit</w:t>
      </w:r>
      <w:r w:rsidR="00A9085A" w:rsidRPr="00060B68">
        <w:rPr>
          <w:b/>
          <w:sz w:val="28"/>
          <w:szCs w:val="28"/>
        </w:rPr>
        <w:t xml:space="preserve"> Company or have a tax filing status of Married Filing Jointly with a spouse who is employed by or owns a For Profit Company.</w:t>
      </w:r>
      <w:r w:rsidR="00752BCC" w:rsidRPr="00060B68">
        <w:rPr>
          <w:b/>
          <w:sz w:val="28"/>
          <w:szCs w:val="28"/>
        </w:rPr>
        <w:t xml:space="preserve"> </w:t>
      </w:r>
      <w:r w:rsidR="00F34FCE">
        <w:rPr>
          <w:b/>
          <w:sz w:val="28"/>
          <w:szCs w:val="28"/>
        </w:rPr>
        <w:t xml:space="preserve"> A new letter ruling also allows individuals employed by a non-profit participate if they own stock in a Pennsylvania based company. </w:t>
      </w:r>
    </w:p>
    <w:p w14:paraId="1470A3A4" w14:textId="77777777" w:rsidR="00060B68" w:rsidRDefault="00060B68">
      <w:pPr>
        <w:rPr>
          <w:b/>
          <w:color w:val="C45911" w:themeColor="accent2" w:themeShade="BF"/>
          <w:sz w:val="28"/>
          <w:szCs w:val="28"/>
        </w:rPr>
      </w:pPr>
    </w:p>
    <w:p w14:paraId="40429907" w14:textId="77777777" w:rsidR="00060B68" w:rsidRPr="00D3324A" w:rsidRDefault="00060B68">
      <w:pPr>
        <w:rPr>
          <w:szCs w:val="24"/>
        </w:rPr>
      </w:pPr>
      <w:r w:rsidRPr="00D3324A">
        <w:rPr>
          <w:szCs w:val="24"/>
        </w:rPr>
        <w:t>Please consult your tax advisor for questions regarding your specific tax status.</w:t>
      </w:r>
    </w:p>
    <w:p w14:paraId="55F58233" w14:textId="77777777" w:rsidR="003D2085" w:rsidRPr="00D3324A" w:rsidRDefault="003D2085" w:rsidP="003D2085">
      <w:pPr>
        <w:jc w:val="center"/>
        <w:rPr>
          <w:b/>
          <w:color w:val="BF8F00" w:themeColor="accent4" w:themeShade="BF"/>
          <w:sz w:val="44"/>
          <w:szCs w:val="44"/>
        </w:rPr>
      </w:pPr>
      <w:r w:rsidRPr="00D3324A">
        <w:rPr>
          <w:b/>
          <w:color w:val="BF8F00" w:themeColor="accent4" w:themeShade="BF"/>
          <w:sz w:val="44"/>
          <w:szCs w:val="44"/>
        </w:rPr>
        <w:lastRenderedPageBreak/>
        <w:t>Process</w:t>
      </w:r>
    </w:p>
    <w:p w14:paraId="4690C481" w14:textId="77777777" w:rsidR="00FB3ED6" w:rsidRPr="00FB3ED6" w:rsidRDefault="00FB3ED6" w:rsidP="003D2085">
      <w:pPr>
        <w:jc w:val="center"/>
        <w:rPr>
          <w:b/>
          <w:color w:val="C45911" w:themeColor="accent2" w:themeShade="BF"/>
          <w:szCs w:val="24"/>
        </w:rPr>
      </w:pPr>
    </w:p>
    <w:p w14:paraId="3ACF6ADF" w14:textId="77777777" w:rsidR="009B479A" w:rsidRPr="00060B68" w:rsidRDefault="00AE70ED" w:rsidP="003D208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60B68">
        <w:rPr>
          <w:b/>
          <w:sz w:val="28"/>
          <w:szCs w:val="28"/>
        </w:rPr>
        <w:t>The</w:t>
      </w:r>
      <w:r w:rsidR="00B60A78" w:rsidRPr="00060B68">
        <w:rPr>
          <w:b/>
          <w:sz w:val="28"/>
          <w:szCs w:val="28"/>
        </w:rPr>
        <w:t xml:space="preserve"> Spe</w:t>
      </w:r>
      <w:r w:rsidRPr="00060B68">
        <w:rPr>
          <w:b/>
          <w:sz w:val="28"/>
          <w:szCs w:val="28"/>
        </w:rPr>
        <w:t>cial Purpose Entity (SPE)</w:t>
      </w:r>
      <w:r w:rsidR="00B60A78" w:rsidRPr="00060B68">
        <w:rPr>
          <w:b/>
          <w:sz w:val="28"/>
          <w:szCs w:val="28"/>
        </w:rPr>
        <w:t xml:space="preserve"> applies online </w:t>
      </w:r>
      <w:r w:rsidR="00B60A78" w:rsidRPr="00060B68">
        <w:rPr>
          <w:sz w:val="28"/>
          <w:szCs w:val="28"/>
        </w:rPr>
        <w:t>for approval to participate in the PA tax credit program</w:t>
      </w:r>
      <w:r w:rsidR="00B60A78" w:rsidRPr="00060B68">
        <w:rPr>
          <w:b/>
          <w:sz w:val="28"/>
          <w:szCs w:val="28"/>
        </w:rPr>
        <w:t xml:space="preserve"> </w:t>
      </w:r>
    </w:p>
    <w:p w14:paraId="4243B6F7" w14:textId="77777777" w:rsidR="009B479A" w:rsidRPr="00060B68" w:rsidRDefault="009B479A" w:rsidP="009B479A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060B68">
        <w:rPr>
          <w:sz w:val="28"/>
          <w:szCs w:val="28"/>
        </w:rPr>
        <w:t>EITC—supports need-based financial aid</w:t>
      </w:r>
      <w:r w:rsidR="00741943" w:rsidRPr="00060B68">
        <w:rPr>
          <w:sz w:val="28"/>
          <w:szCs w:val="28"/>
        </w:rPr>
        <w:t xml:space="preserve"> for K-12 students</w:t>
      </w:r>
    </w:p>
    <w:p w14:paraId="3ACF0649" w14:textId="77777777" w:rsidR="009B479A" w:rsidRPr="00060B68" w:rsidRDefault="003D2085" w:rsidP="009B479A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060B68">
        <w:rPr>
          <w:sz w:val="28"/>
          <w:szCs w:val="28"/>
        </w:rPr>
        <w:t>OSTC</w:t>
      </w:r>
      <w:r w:rsidR="009B479A" w:rsidRPr="00060B68">
        <w:rPr>
          <w:sz w:val="28"/>
          <w:szCs w:val="28"/>
        </w:rPr>
        <w:t xml:space="preserve">—supports need-based financial aid for </w:t>
      </w:r>
      <w:r w:rsidR="00741943" w:rsidRPr="00060B68">
        <w:rPr>
          <w:sz w:val="28"/>
          <w:szCs w:val="28"/>
        </w:rPr>
        <w:t xml:space="preserve">K-12 </w:t>
      </w:r>
      <w:r w:rsidR="009B479A" w:rsidRPr="00060B68">
        <w:rPr>
          <w:sz w:val="28"/>
          <w:szCs w:val="28"/>
        </w:rPr>
        <w:t xml:space="preserve">students </w:t>
      </w:r>
      <w:r w:rsidR="00741943" w:rsidRPr="00060B68">
        <w:rPr>
          <w:sz w:val="28"/>
          <w:szCs w:val="28"/>
        </w:rPr>
        <w:t>residing within the boundaries of a low achieving school</w:t>
      </w:r>
    </w:p>
    <w:p w14:paraId="3330EF38" w14:textId="77777777" w:rsidR="003D2085" w:rsidRPr="00060B68" w:rsidRDefault="003D2085" w:rsidP="003D2085">
      <w:pPr>
        <w:rPr>
          <w:sz w:val="28"/>
          <w:szCs w:val="28"/>
        </w:rPr>
      </w:pPr>
    </w:p>
    <w:p w14:paraId="775602DE" w14:textId="77777777" w:rsidR="00B60A78" w:rsidRPr="00060B68" w:rsidRDefault="00B60A78" w:rsidP="00B60A7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60B68">
        <w:rPr>
          <w:b/>
          <w:sz w:val="28"/>
          <w:szCs w:val="28"/>
        </w:rPr>
        <w:t xml:space="preserve">Business or individuals become an accredited member of </w:t>
      </w:r>
      <w:r w:rsidR="00AE70ED" w:rsidRPr="00060B68">
        <w:rPr>
          <w:b/>
          <w:sz w:val="28"/>
          <w:szCs w:val="28"/>
        </w:rPr>
        <w:t>the</w:t>
      </w:r>
      <w:r w:rsidRPr="00060B68">
        <w:rPr>
          <w:b/>
          <w:sz w:val="28"/>
          <w:szCs w:val="28"/>
        </w:rPr>
        <w:t xml:space="preserve"> SPE</w:t>
      </w:r>
      <w:r w:rsidRPr="00060B68">
        <w:rPr>
          <w:sz w:val="28"/>
          <w:szCs w:val="28"/>
        </w:rPr>
        <w:t xml:space="preserve"> </w:t>
      </w:r>
      <w:r w:rsidRPr="00797C0E">
        <w:rPr>
          <w:b/>
          <w:sz w:val="28"/>
          <w:szCs w:val="28"/>
        </w:rPr>
        <w:t>by completing a Joinder Agreement</w:t>
      </w:r>
      <w:r w:rsidR="00FB3ED6" w:rsidRPr="00060B68">
        <w:rPr>
          <w:sz w:val="28"/>
          <w:szCs w:val="28"/>
        </w:rPr>
        <w:t>, indicating the amount of their capital contribution and designating a school to receive their contribution.</w:t>
      </w:r>
    </w:p>
    <w:p w14:paraId="39B90273" w14:textId="77777777" w:rsidR="00B60A78" w:rsidRPr="00060B68" w:rsidRDefault="00B60A78" w:rsidP="00B60A78">
      <w:pPr>
        <w:pStyle w:val="ListParagraph"/>
        <w:rPr>
          <w:sz w:val="28"/>
          <w:szCs w:val="28"/>
        </w:rPr>
      </w:pPr>
    </w:p>
    <w:p w14:paraId="099FBCBD" w14:textId="77777777" w:rsidR="003D2085" w:rsidRPr="00060B68" w:rsidRDefault="003D2085" w:rsidP="003D208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60B68">
        <w:rPr>
          <w:b/>
          <w:sz w:val="28"/>
          <w:szCs w:val="28"/>
        </w:rPr>
        <w:t>Department of Community &amp; Economic Development (DCED) grants approval</w:t>
      </w:r>
      <w:r w:rsidRPr="00060B68">
        <w:rPr>
          <w:sz w:val="28"/>
          <w:szCs w:val="28"/>
        </w:rPr>
        <w:t xml:space="preserve"> for participation to </w:t>
      </w:r>
      <w:r w:rsidR="00B60A78" w:rsidRPr="00060B68">
        <w:rPr>
          <w:sz w:val="28"/>
          <w:szCs w:val="28"/>
        </w:rPr>
        <w:t>the SPE</w:t>
      </w:r>
      <w:r w:rsidRPr="00060B68">
        <w:rPr>
          <w:sz w:val="28"/>
          <w:szCs w:val="28"/>
        </w:rPr>
        <w:t>.</w:t>
      </w:r>
    </w:p>
    <w:p w14:paraId="501852A9" w14:textId="77777777" w:rsidR="003D2085" w:rsidRPr="00060B68" w:rsidRDefault="003D2085" w:rsidP="003D2085">
      <w:pPr>
        <w:pStyle w:val="ListParagraph"/>
        <w:rPr>
          <w:sz w:val="28"/>
          <w:szCs w:val="28"/>
        </w:rPr>
      </w:pPr>
    </w:p>
    <w:p w14:paraId="5027F97B" w14:textId="77777777" w:rsidR="00FB3ED6" w:rsidRPr="00060B68" w:rsidRDefault="00FB3ED6" w:rsidP="003D208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60B68">
        <w:rPr>
          <w:b/>
          <w:sz w:val="28"/>
          <w:szCs w:val="28"/>
        </w:rPr>
        <w:t xml:space="preserve">SPE notifies members of approval and requests capital contribution </w:t>
      </w:r>
      <w:r w:rsidRPr="00060B68">
        <w:rPr>
          <w:sz w:val="28"/>
          <w:szCs w:val="28"/>
        </w:rPr>
        <w:t>for the current tax year.  All contributions must be made within 60 days of the approval.</w:t>
      </w:r>
    </w:p>
    <w:p w14:paraId="289AC697" w14:textId="77777777" w:rsidR="00FB3ED6" w:rsidRPr="00060B68" w:rsidRDefault="00FB3ED6" w:rsidP="00FB3ED6">
      <w:pPr>
        <w:pStyle w:val="ListParagraph"/>
        <w:rPr>
          <w:b/>
          <w:sz w:val="28"/>
          <w:szCs w:val="28"/>
        </w:rPr>
      </w:pPr>
    </w:p>
    <w:p w14:paraId="54C15FB4" w14:textId="77777777" w:rsidR="003D2085" w:rsidRPr="00060B68" w:rsidRDefault="003D2085" w:rsidP="003D208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60B68">
        <w:rPr>
          <w:b/>
          <w:sz w:val="28"/>
          <w:szCs w:val="28"/>
        </w:rPr>
        <w:t xml:space="preserve">Business makes a </w:t>
      </w:r>
      <w:r w:rsidR="00FB3ED6" w:rsidRPr="00060B68">
        <w:rPr>
          <w:b/>
          <w:sz w:val="28"/>
          <w:szCs w:val="28"/>
        </w:rPr>
        <w:t xml:space="preserve">capital </w:t>
      </w:r>
      <w:r w:rsidRPr="00060B68">
        <w:rPr>
          <w:b/>
          <w:sz w:val="28"/>
          <w:szCs w:val="28"/>
        </w:rPr>
        <w:t>contribution</w:t>
      </w:r>
      <w:r w:rsidRPr="00060B68">
        <w:rPr>
          <w:sz w:val="28"/>
          <w:szCs w:val="28"/>
        </w:rPr>
        <w:t xml:space="preserve"> to the </w:t>
      </w:r>
      <w:r w:rsidR="00FB3ED6" w:rsidRPr="00060B68">
        <w:rPr>
          <w:sz w:val="28"/>
          <w:szCs w:val="28"/>
        </w:rPr>
        <w:t>SPE</w:t>
      </w:r>
      <w:r w:rsidRPr="00060B68">
        <w:rPr>
          <w:sz w:val="28"/>
          <w:szCs w:val="28"/>
        </w:rPr>
        <w:t>.</w:t>
      </w:r>
    </w:p>
    <w:p w14:paraId="198155DC" w14:textId="77777777" w:rsidR="003D2085" w:rsidRPr="00060B68" w:rsidRDefault="003D2085" w:rsidP="003D2085">
      <w:pPr>
        <w:pStyle w:val="ListParagraph"/>
        <w:rPr>
          <w:sz w:val="28"/>
          <w:szCs w:val="28"/>
        </w:rPr>
      </w:pPr>
    </w:p>
    <w:p w14:paraId="11C787C1" w14:textId="77777777" w:rsidR="003D2085" w:rsidRPr="00060B68" w:rsidRDefault="00FB3ED6" w:rsidP="003D208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60B68">
        <w:rPr>
          <w:b/>
          <w:sz w:val="28"/>
          <w:szCs w:val="28"/>
        </w:rPr>
        <w:t xml:space="preserve">SPE passes through all contributions to the Scholarship Organization (SO), </w:t>
      </w:r>
      <w:r w:rsidRPr="00060B68">
        <w:rPr>
          <w:sz w:val="28"/>
          <w:szCs w:val="28"/>
        </w:rPr>
        <w:t>and handles all paperwork with the DCED.</w:t>
      </w:r>
    </w:p>
    <w:p w14:paraId="2EAFBEBF" w14:textId="77777777" w:rsidR="00752BCC" w:rsidRPr="00060B68" w:rsidRDefault="00752BCC" w:rsidP="00752BCC">
      <w:pPr>
        <w:pStyle w:val="ListParagraph"/>
        <w:rPr>
          <w:sz w:val="28"/>
          <w:szCs w:val="28"/>
        </w:rPr>
      </w:pPr>
    </w:p>
    <w:p w14:paraId="273571BE" w14:textId="29684322" w:rsidR="003D2085" w:rsidRPr="00060B68" w:rsidRDefault="003D2085" w:rsidP="003D2085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60B68">
        <w:rPr>
          <w:b/>
          <w:sz w:val="28"/>
          <w:szCs w:val="28"/>
        </w:rPr>
        <w:t>S</w:t>
      </w:r>
      <w:r w:rsidR="00FB3ED6" w:rsidRPr="00060B68">
        <w:rPr>
          <w:b/>
          <w:sz w:val="28"/>
          <w:szCs w:val="28"/>
        </w:rPr>
        <w:t>O</w:t>
      </w:r>
      <w:r w:rsidRPr="00060B68">
        <w:rPr>
          <w:b/>
          <w:sz w:val="28"/>
          <w:szCs w:val="28"/>
        </w:rPr>
        <w:t xml:space="preserve"> distributes funds</w:t>
      </w:r>
      <w:r w:rsidRPr="00060B68">
        <w:rPr>
          <w:sz w:val="28"/>
          <w:szCs w:val="28"/>
        </w:rPr>
        <w:t xml:space="preserve"> to the </w:t>
      </w:r>
      <w:r w:rsidR="00FB3ED6" w:rsidRPr="00060B68">
        <w:rPr>
          <w:sz w:val="28"/>
          <w:szCs w:val="28"/>
        </w:rPr>
        <w:t xml:space="preserve">member’s designated </w:t>
      </w:r>
      <w:r w:rsidR="00174059">
        <w:rPr>
          <w:sz w:val="28"/>
          <w:szCs w:val="28"/>
        </w:rPr>
        <w:t>private</w:t>
      </w:r>
      <w:bookmarkStart w:id="0" w:name="_GoBack"/>
      <w:bookmarkEnd w:id="0"/>
      <w:r w:rsidRPr="00060B68">
        <w:rPr>
          <w:sz w:val="28"/>
          <w:szCs w:val="28"/>
        </w:rPr>
        <w:t xml:space="preserve"> school(s).</w:t>
      </w:r>
    </w:p>
    <w:p w14:paraId="48593D05" w14:textId="77777777" w:rsidR="003227EC" w:rsidRPr="00060B68" w:rsidRDefault="003227EC" w:rsidP="003227EC">
      <w:pPr>
        <w:pStyle w:val="ListParagraph"/>
        <w:rPr>
          <w:sz w:val="28"/>
          <w:szCs w:val="28"/>
        </w:rPr>
      </w:pPr>
    </w:p>
    <w:p w14:paraId="2286CF18" w14:textId="77777777" w:rsidR="003227EC" w:rsidRPr="00060B68" w:rsidRDefault="003227EC" w:rsidP="003D2085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060B68">
        <w:rPr>
          <w:b/>
          <w:sz w:val="28"/>
          <w:szCs w:val="28"/>
        </w:rPr>
        <w:t>In February of the following tax year, members receive tax filing documents:</w:t>
      </w:r>
    </w:p>
    <w:p w14:paraId="28C3A33D" w14:textId="77777777" w:rsidR="003227EC" w:rsidRPr="00060B68" w:rsidRDefault="003227EC" w:rsidP="003227EC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060B68">
        <w:rPr>
          <w:sz w:val="28"/>
          <w:szCs w:val="28"/>
        </w:rPr>
        <w:t xml:space="preserve">PA </w:t>
      </w:r>
      <w:r w:rsidR="00060B68">
        <w:rPr>
          <w:sz w:val="28"/>
          <w:szCs w:val="28"/>
        </w:rPr>
        <w:t>Department of Revenue f</w:t>
      </w:r>
      <w:r w:rsidRPr="00060B68">
        <w:rPr>
          <w:sz w:val="28"/>
          <w:szCs w:val="28"/>
        </w:rPr>
        <w:t>orm 1123 for the SPE – Verifies that the tax credit exists for the SPE and the member’s personal portion has been transferred to their Tax ID or Social Security Number when filing PA State</w:t>
      </w:r>
      <w:r w:rsidR="00060B68">
        <w:rPr>
          <w:sz w:val="28"/>
          <w:szCs w:val="28"/>
        </w:rPr>
        <w:t xml:space="preserve"> Income </w:t>
      </w:r>
      <w:r w:rsidRPr="00060B68">
        <w:rPr>
          <w:sz w:val="28"/>
          <w:szCs w:val="28"/>
        </w:rPr>
        <w:t>Tax Return</w:t>
      </w:r>
    </w:p>
    <w:p w14:paraId="745A14A1" w14:textId="77777777" w:rsidR="003227EC" w:rsidRPr="00060B68" w:rsidRDefault="003227EC" w:rsidP="003227EC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060B68">
        <w:rPr>
          <w:sz w:val="28"/>
          <w:szCs w:val="28"/>
        </w:rPr>
        <w:t xml:space="preserve">Schedule K-1 – Indicates the members share in the SPE and used when filling Federal </w:t>
      </w:r>
      <w:r w:rsidR="00060B68">
        <w:rPr>
          <w:sz w:val="28"/>
          <w:szCs w:val="28"/>
        </w:rPr>
        <w:t xml:space="preserve">Income </w:t>
      </w:r>
      <w:r w:rsidRPr="00060B68">
        <w:rPr>
          <w:sz w:val="28"/>
          <w:szCs w:val="28"/>
        </w:rPr>
        <w:t>Tax Return</w:t>
      </w:r>
    </w:p>
    <w:p w14:paraId="3ED64A8B" w14:textId="77777777" w:rsidR="003D2085" w:rsidRDefault="003D2085" w:rsidP="003D2085">
      <w:pPr>
        <w:pStyle w:val="ListParagraph"/>
        <w:rPr>
          <w:sz w:val="36"/>
          <w:szCs w:val="36"/>
        </w:rPr>
      </w:pPr>
    </w:p>
    <w:p w14:paraId="3DF67942" w14:textId="453844F6" w:rsidR="003227EC" w:rsidRDefault="003227EC" w:rsidP="003D2085">
      <w:pPr>
        <w:pStyle w:val="ListParagraph"/>
        <w:rPr>
          <w:sz w:val="36"/>
          <w:szCs w:val="36"/>
        </w:rPr>
      </w:pPr>
    </w:p>
    <w:p w14:paraId="1ABA7E17" w14:textId="7F840155" w:rsidR="00F34FCE" w:rsidRDefault="00F34FCE" w:rsidP="003D2085">
      <w:pPr>
        <w:pStyle w:val="ListParagraph"/>
        <w:rPr>
          <w:sz w:val="36"/>
          <w:szCs w:val="36"/>
        </w:rPr>
      </w:pPr>
    </w:p>
    <w:p w14:paraId="063416F0" w14:textId="77777777" w:rsidR="00F34FCE" w:rsidRPr="003D2085" w:rsidRDefault="00F34FCE" w:rsidP="003D2085">
      <w:pPr>
        <w:pStyle w:val="ListParagraph"/>
        <w:rPr>
          <w:sz w:val="36"/>
          <w:szCs w:val="36"/>
        </w:rPr>
      </w:pPr>
    </w:p>
    <w:p w14:paraId="3396ACBF" w14:textId="77777777" w:rsidR="003D2085" w:rsidRPr="00470AB3" w:rsidRDefault="003227EC" w:rsidP="003227EC">
      <w:pPr>
        <w:jc w:val="center"/>
        <w:rPr>
          <w:b/>
          <w:color w:val="BF8F00" w:themeColor="accent4" w:themeShade="BF"/>
          <w:sz w:val="44"/>
          <w:szCs w:val="44"/>
        </w:rPr>
      </w:pPr>
      <w:r w:rsidRPr="00470AB3">
        <w:rPr>
          <w:b/>
          <w:color w:val="BF8F00" w:themeColor="accent4" w:themeShade="BF"/>
          <w:sz w:val="44"/>
          <w:szCs w:val="44"/>
        </w:rPr>
        <w:lastRenderedPageBreak/>
        <w:t>P</w:t>
      </w:r>
      <w:r w:rsidR="00752BCC" w:rsidRPr="00470AB3">
        <w:rPr>
          <w:b/>
          <w:color w:val="BF8F00" w:themeColor="accent4" w:themeShade="BF"/>
          <w:sz w:val="44"/>
          <w:szCs w:val="44"/>
        </w:rPr>
        <w:t>articipation</w:t>
      </w:r>
    </w:p>
    <w:p w14:paraId="7DE3D111" w14:textId="77777777" w:rsidR="00060B68" w:rsidRPr="00E26A47" w:rsidRDefault="00060B68" w:rsidP="00E26A47">
      <w:pPr>
        <w:tabs>
          <w:tab w:val="left" w:pos="810"/>
        </w:tabs>
        <w:rPr>
          <w:b/>
          <w:sz w:val="32"/>
          <w:szCs w:val="32"/>
        </w:rPr>
      </w:pPr>
    </w:p>
    <w:p w14:paraId="27D88226" w14:textId="77777777" w:rsidR="00752BCC" w:rsidRPr="00060B68" w:rsidRDefault="00752BCC" w:rsidP="00AE70ED">
      <w:pPr>
        <w:pStyle w:val="ListParagraph"/>
        <w:numPr>
          <w:ilvl w:val="0"/>
          <w:numId w:val="12"/>
        </w:numPr>
        <w:tabs>
          <w:tab w:val="left" w:pos="810"/>
        </w:tabs>
        <w:ind w:left="810" w:hanging="450"/>
        <w:rPr>
          <w:b/>
          <w:sz w:val="32"/>
          <w:szCs w:val="32"/>
        </w:rPr>
      </w:pPr>
      <w:r w:rsidRPr="00060B68">
        <w:rPr>
          <w:b/>
          <w:sz w:val="32"/>
          <w:szCs w:val="32"/>
        </w:rPr>
        <w:t>Minimum contribution amount of $3,500</w:t>
      </w:r>
    </w:p>
    <w:p w14:paraId="3805A0C8" w14:textId="77777777" w:rsidR="00060B68" w:rsidRDefault="00060B68" w:rsidP="00060B68">
      <w:pPr>
        <w:pStyle w:val="ListParagraph"/>
        <w:tabs>
          <w:tab w:val="left" w:pos="810"/>
        </w:tabs>
        <w:ind w:left="810"/>
        <w:rPr>
          <w:b/>
          <w:sz w:val="32"/>
          <w:szCs w:val="32"/>
        </w:rPr>
      </w:pPr>
    </w:p>
    <w:p w14:paraId="4AF5DC3E" w14:textId="77777777" w:rsidR="002E63C9" w:rsidRDefault="00891A11" w:rsidP="002E63C9">
      <w:pPr>
        <w:pStyle w:val="ListParagraph"/>
        <w:numPr>
          <w:ilvl w:val="0"/>
          <w:numId w:val="12"/>
        </w:numPr>
        <w:tabs>
          <w:tab w:val="left" w:pos="810"/>
        </w:tabs>
        <w:ind w:left="810" w:hanging="450"/>
        <w:rPr>
          <w:b/>
          <w:sz w:val="32"/>
          <w:szCs w:val="32"/>
        </w:rPr>
      </w:pPr>
      <w:r w:rsidRPr="00060B68">
        <w:rPr>
          <w:b/>
          <w:sz w:val="32"/>
          <w:szCs w:val="32"/>
        </w:rPr>
        <w:t>Individuals must earn a minimum of $115,000 in state taxable income individually or together, if filing status is Married Filing Jointly</w:t>
      </w:r>
    </w:p>
    <w:p w14:paraId="550F0A38" w14:textId="77777777" w:rsidR="002E63C9" w:rsidRPr="002E63C9" w:rsidRDefault="002E63C9" w:rsidP="002E63C9">
      <w:pPr>
        <w:pStyle w:val="ListParagraph"/>
        <w:rPr>
          <w:b/>
          <w:sz w:val="32"/>
          <w:szCs w:val="32"/>
        </w:rPr>
      </w:pPr>
    </w:p>
    <w:p w14:paraId="3D07DC10" w14:textId="77777777" w:rsidR="00060B68" w:rsidRPr="002E63C9" w:rsidRDefault="002E63C9" w:rsidP="002E63C9">
      <w:pPr>
        <w:pStyle w:val="ListParagraph"/>
        <w:numPr>
          <w:ilvl w:val="0"/>
          <w:numId w:val="12"/>
        </w:numPr>
        <w:tabs>
          <w:tab w:val="left" w:pos="810"/>
        </w:tabs>
        <w:ind w:left="810" w:hanging="450"/>
        <w:rPr>
          <w:b/>
          <w:sz w:val="32"/>
          <w:szCs w:val="32"/>
        </w:rPr>
      </w:pPr>
      <w:r w:rsidRPr="002E63C9">
        <w:rPr>
          <w:b/>
          <w:sz w:val="32"/>
          <w:szCs w:val="32"/>
        </w:rPr>
        <w:t>Individuals or couples (Married Filing Jointly) - one must work for a business or own a business</w:t>
      </w:r>
    </w:p>
    <w:p w14:paraId="719223DB" w14:textId="77777777" w:rsidR="002E63C9" w:rsidRPr="002E63C9" w:rsidRDefault="002E63C9" w:rsidP="002E63C9">
      <w:pPr>
        <w:tabs>
          <w:tab w:val="left" w:pos="810"/>
        </w:tabs>
        <w:rPr>
          <w:b/>
          <w:sz w:val="32"/>
          <w:szCs w:val="32"/>
        </w:rPr>
      </w:pPr>
    </w:p>
    <w:p w14:paraId="0E7684CB" w14:textId="77777777" w:rsidR="00752BCC" w:rsidRPr="00060B68" w:rsidRDefault="00752BCC" w:rsidP="00AE70ED">
      <w:pPr>
        <w:pStyle w:val="ListParagraph"/>
        <w:numPr>
          <w:ilvl w:val="0"/>
          <w:numId w:val="12"/>
        </w:numPr>
        <w:tabs>
          <w:tab w:val="left" w:pos="810"/>
        </w:tabs>
        <w:ind w:left="810" w:hanging="450"/>
        <w:rPr>
          <w:b/>
          <w:sz w:val="32"/>
          <w:szCs w:val="32"/>
        </w:rPr>
      </w:pPr>
      <w:r w:rsidRPr="00060B68">
        <w:rPr>
          <w:b/>
          <w:sz w:val="32"/>
          <w:szCs w:val="32"/>
        </w:rPr>
        <w:t xml:space="preserve">Business or individual receives </w:t>
      </w:r>
      <w:r w:rsidR="00F256E9" w:rsidRPr="00060B68">
        <w:rPr>
          <w:b/>
          <w:sz w:val="32"/>
          <w:szCs w:val="32"/>
        </w:rPr>
        <w:t xml:space="preserve">credits </w:t>
      </w:r>
      <w:r w:rsidRPr="00060B68">
        <w:rPr>
          <w:b/>
          <w:sz w:val="32"/>
          <w:szCs w:val="32"/>
        </w:rPr>
        <w:t xml:space="preserve">against Pennsylvania State Taxes for 90% of that amount </w:t>
      </w:r>
      <w:r w:rsidR="00F256E9" w:rsidRPr="00060B68">
        <w:rPr>
          <w:b/>
          <w:sz w:val="32"/>
          <w:szCs w:val="32"/>
        </w:rPr>
        <w:t>each year.</w:t>
      </w:r>
    </w:p>
    <w:p w14:paraId="73D11983" w14:textId="77777777" w:rsidR="00060B68" w:rsidRDefault="00060B68" w:rsidP="00060B68">
      <w:pPr>
        <w:pStyle w:val="ListParagraph"/>
        <w:rPr>
          <w:b/>
          <w:sz w:val="32"/>
          <w:szCs w:val="32"/>
        </w:rPr>
      </w:pPr>
    </w:p>
    <w:p w14:paraId="37CCB884" w14:textId="77777777" w:rsidR="00F256E9" w:rsidRPr="00060B68" w:rsidRDefault="00F256E9" w:rsidP="00AE70ED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 w:rsidRPr="00060B68">
        <w:rPr>
          <w:b/>
          <w:sz w:val="32"/>
          <w:szCs w:val="32"/>
        </w:rPr>
        <w:t>Example</w:t>
      </w:r>
      <w:r w:rsidR="00AE70ED" w:rsidRPr="00060B68">
        <w:rPr>
          <w:b/>
          <w:sz w:val="32"/>
          <w:szCs w:val="32"/>
        </w:rPr>
        <w:t xml:space="preserve"> of minimum donation</w:t>
      </w:r>
      <w:r w:rsidRPr="00060B68">
        <w:rPr>
          <w:b/>
          <w:sz w:val="32"/>
          <w:szCs w:val="32"/>
        </w:rPr>
        <w:t>:</w:t>
      </w:r>
    </w:p>
    <w:p w14:paraId="43CF7898" w14:textId="77777777" w:rsidR="00F256E9" w:rsidRPr="00060B68" w:rsidRDefault="00F256E9" w:rsidP="00AE70ED">
      <w:pPr>
        <w:pStyle w:val="ListParagraph"/>
        <w:numPr>
          <w:ilvl w:val="1"/>
          <w:numId w:val="13"/>
        </w:numPr>
        <w:rPr>
          <w:sz w:val="32"/>
          <w:szCs w:val="32"/>
        </w:rPr>
      </w:pPr>
      <w:r w:rsidRPr="00060B68">
        <w:rPr>
          <w:sz w:val="32"/>
          <w:szCs w:val="32"/>
        </w:rPr>
        <w:t xml:space="preserve">Business </w:t>
      </w:r>
      <w:r w:rsidR="00752BCC" w:rsidRPr="00060B68">
        <w:rPr>
          <w:sz w:val="32"/>
          <w:szCs w:val="32"/>
        </w:rPr>
        <w:t xml:space="preserve">or individual makes a </w:t>
      </w:r>
      <w:r w:rsidRPr="00060B68">
        <w:rPr>
          <w:sz w:val="32"/>
          <w:szCs w:val="32"/>
        </w:rPr>
        <w:t>contribution of $</w:t>
      </w:r>
      <w:r w:rsidR="00752BCC" w:rsidRPr="00060B68">
        <w:rPr>
          <w:sz w:val="32"/>
          <w:szCs w:val="32"/>
        </w:rPr>
        <w:t>3</w:t>
      </w:r>
      <w:r w:rsidRPr="00060B68">
        <w:rPr>
          <w:sz w:val="32"/>
          <w:szCs w:val="32"/>
        </w:rPr>
        <w:t>,</w:t>
      </w:r>
      <w:r w:rsidR="00752BCC" w:rsidRPr="00060B68">
        <w:rPr>
          <w:sz w:val="32"/>
          <w:szCs w:val="32"/>
        </w:rPr>
        <w:t>5</w:t>
      </w:r>
      <w:r w:rsidRPr="00060B68">
        <w:rPr>
          <w:sz w:val="32"/>
          <w:szCs w:val="32"/>
        </w:rPr>
        <w:t>00</w:t>
      </w:r>
    </w:p>
    <w:p w14:paraId="71ED3151" w14:textId="5FA2500D" w:rsidR="00752BCC" w:rsidRPr="005326EA" w:rsidRDefault="00F256E9" w:rsidP="005326EA">
      <w:pPr>
        <w:pStyle w:val="ListParagraph"/>
        <w:numPr>
          <w:ilvl w:val="1"/>
          <w:numId w:val="13"/>
        </w:numPr>
        <w:rPr>
          <w:sz w:val="32"/>
          <w:szCs w:val="32"/>
        </w:rPr>
      </w:pPr>
      <w:r w:rsidRPr="00060B68">
        <w:rPr>
          <w:sz w:val="32"/>
          <w:szCs w:val="32"/>
        </w:rPr>
        <w:t>$</w:t>
      </w:r>
      <w:r w:rsidR="00752BCC" w:rsidRPr="00060B68">
        <w:rPr>
          <w:sz w:val="32"/>
          <w:szCs w:val="32"/>
        </w:rPr>
        <w:t>3</w:t>
      </w:r>
      <w:r w:rsidRPr="00060B68">
        <w:rPr>
          <w:sz w:val="32"/>
          <w:szCs w:val="32"/>
        </w:rPr>
        <w:t>,</w:t>
      </w:r>
      <w:r w:rsidR="00752BCC" w:rsidRPr="00060B68">
        <w:rPr>
          <w:sz w:val="32"/>
          <w:szCs w:val="32"/>
        </w:rPr>
        <w:t>15</w:t>
      </w:r>
      <w:r w:rsidRPr="00060B68">
        <w:rPr>
          <w:sz w:val="32"/>
          <w:szCs w:val="32"/>
        </w:rPr>
        <w:t xml:space="preserve">0 </w:t>
      </w:r>
      <w:r w:rsidR="00752BCC" w:rsidRPr="00060B68">
        <w:rPr>
          <w:sz w:val="32"/>
          <w:szCs w:val="32"/>
        </w:rPr>
        <w:t xml:space="preserve">is </w:t>
      </w:r>
      <w:r w:rsidRPr="00060B68">
        <w:rPr>
          <w:sz w:val="32"/>
          <w:szCs w:val="32"/>
        </w:rPr>
        <w:t>used as credits</w:t>
      </w:r>
      <w:r w:rsidR="00752BCC" w:rsidRPr="00060B68">
        <w:rPr>
          <w:sz w:val="32"/>
          <w:szCs w:val="32"/>
        </w:rPr>
        <w:t xml:space="preserve"> against State taxes</w:t>
      </w:r>
    </w:p>
    <w:sectPr w:rsidR="00752BCC" w:rsidRPr="005326EA" w:rsidSect="00F34FC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22F5"/>
    <w:multiLevelType w:val="multilevel"/>
    <w:tmpl w:val="7C08CE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26BA8"/>
    <w:multiLevelType w:val="hybridMultilevel"/>
    <w:tmpl w:val="D1DA1D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E42F3E"/>
    <w:multiLevelType w:val="hybridMultilevel"/>
    <w:tmpl w:val="1F627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93FA2"/>
    <w:multiLevelType w:val="hybridMultilevel"/>
    <w:tmpl w:val="C21A10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577AB"/>
    <w:multiLevelType w:val="multilevel"/>
    <w:tmpl w:val="6F0C77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667E3"/>
    <w:multiLevelType w:val="hybridMultilevel"/>
    <w:tmpl w:val="956E20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E4208E"/>
    <w:multiLevelType w:val="hybridMultilevel"/>
    <w:tmpl w:val="2620E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E39B9"/>
    <w:multiLevelType w:val="hybridMultilevel"/>
    <w:tmpl w:val="6D1C2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66823"/>
    <w:multiLevelType w:val="hybridMultilevel"/>
    <w:tmpl w:val="9B580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35ECC"/>
    <w:multiLevelType w:val="hybridMultilevel"/>
    <w:tmpl w:val="260854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925B8"/>
    <w:multiLevelType w:val="multilevel"/>
    <w:tmpl w:val="73FA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5573A"/>
    <w:multiLevelType w:val="hybridMultilevel"/>
    <w:tmpl w:val="28547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A30C9"/>
    <w:multiLevelType w:val="hybridMultilevel"/>
    <w:tmpl w:val="FE34A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1C"/>
    <w:rsid w:val="00060B68"/>
    <w:rsid w:val="000C6986"/>
    <w:rsid w:val="00174059"/>
    <w:rsid w:val="002E63C9"/>
    <w:rsid w:val="003227EC"/>
    <w:rsid w:val="003D2085"/>
    <w:rsid w:val="00470AB3"/>
    <w:rsid w:val="004761E0"/>
    <w:rsid w:val="005326EA"/>
    <w:rsid w:val="005E4894"/>
    <w:rsid w:val="00741943"/>
    <w:rsid w:val="00752BCC"/>
    <w:rsid w:val="00792BBC"/>
    <w:rsid w:val="00797C0E"/>
    <w:rsid w:val="007B51DB"/>
    <w:rsid w:val="00891A11"/>
    <w:rsid w:val="009B479A"/>
    <w:rsid w:val="00A9085A"/>
    <w:rsid w:val="00AE70ED"/>
    <w:rsid w:val="00B60A78"/>
    <w:rsid w:val="00BE4514"/>
    <w:rsid w:val="00C7551C"/>
    <w:rsid w:val="00CF7F29"/>
    <w:rsid w:val="00D3324A"/>
    <w:rsid w:val="00E236AA"/>
    <w:rsid w:val="00E26A47"/>
    <w:rsid w:val="00E55C49"/>
    <w:rsid w:val="00F256E9"/>
    <w:rsid w:val="00F34FCE"/>
    <w:rsid w:val="00FB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9B82"/>
  <w15:docId w15:val="{815D8AAD-0992-41D5-9CEB-2886C542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408">
                  <w:marLeft w:val="0"/>
                  <w:marRight w:val="0"/>
                  <w:marTop w:val="40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6877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4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Reese, Mallory</dc:creator>
  <cp:lastModifiedBy>Tami Clark</cp:lastModifiedBy>
  <cp:revision>3</cp:revision>
  <dcterms:created xsi:type="dcterms:W3CDTF">2018-06-26T19:14:00Z</dcterms:created>
  <dcterms:modified xsi:type="dcterms:W3CDTF">2018-06-29T13:54:00Z</dcterms:modified>
</cp:coreProperties>
</file>