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CE7" w:rsidRDefault="00C33CE7">
      <w:pPr>
        <w:tabs>
          <w:tab w:val="center" w:pos="4741"/>
          <w:tab w:val="right" w:pos="9363"/>
        </w:tabs>
        <w:spacing w:after="131" w:line="259" w:lineRule="auto"/>
        <w:ind w:left="0" w:right="-15" w:firstLine="0"/>
        <w:rPr>
          <w:sz w:val="22"/>
        </w:rPr>
      </w:pPr>
      <w:r>
        <w:rPr>
          <w:noProof/>
          <w:sz w:val="22"/>
        </w:rPr>
        <mc:AlternateContent>
          <mc:Choice Requires="wps">
            <w:drawing>
              <wp:anchor distT="0" distB="0" distL="118745" distR="118745" simplePos="0" relativeHeight="251658240" behindDoc="1" locked="0" layoutInCell="1" allowOverlap="0" wp14:anchorId="5ABD5BB3" wp14:editId="2D73D9C4">
                <wp:simplePos x="0" y="0"/>
                <wp:positionH relativeFrom="page">
                  <wp:align>right</wp:align>
                </wp:positionH>
                <wp:positionV relativeFrom="page">
                  <wp:posOffset>301869</wp:posOffset>
                </wp:positionV>
                <wp:extent cx="7753350" cy="523875"/>
                <wp:effectExtent l="0" t="0" r="19050" b="28575"/>
                <wp:wrapSquare wrapText="bothSides"/>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3350" cy="523875"/>
                        </a:xfrm>
                        <a:prstGeom prst="rect">
                          <a:avLst/>
                        </a:prstGeom>
                        <a:solidFill>
                          <a:srgbClr val="002060"/>
                        </a:solidFill>
                        <a:ln w="19050" cap="flat" cmpd="sng" algn="ctr">
                          <a:solidFill>
                            <a:sysClr val="window" lastClr="FFFFFF"/>
                          </a:solidFill>
                          <a:prstDash val="solid"/>
                          <a:miter lim="800000"/>
                        </a:ln>
                        <a:effectLst/>
                      </wps:spPr>
                      <wps:txbx>
                        <w:txbxContent>
                          <w:p w:rsidR="00185057" w:rsidRDefault="00C33CE7" w:rsidP="00C33CE7">
                            <w:pPr>
                              <w:pStyle w:val="Header"/>
                              <w:jc w:val="center"/>
                              <w:rPr>
                                <w:rFonts w:ascii="Aharoni" w:hAnsi="Aharoni" w:cs="Aharoni"/>
                                <w:color w:val="FFFFFF"/>
                              </w:rPr>
                            </w:pPr>
                            <w:r w:rsidRPr="00BC24CB">
                              <w:rPr>
                                <w:caps/>
                                <w:color w:val="FFFFFF"/>
                              </w:rPr>
                              <w:t xml:space="preserve">     </w:t>
                            </w:r>
                            <w:r w:rsidRPr="00B44212">
                              <w:t xml:space="preserve"> </w:t>
                            </w:r>
                            <w:r w:rsidRPr="00BC24CB">
                              <w:rPr>
                                <w:rFonts w:ascii="Aharoni" w:hAnsi="Aharoni" w:cs="Aharoni"/>
                                <w:color w:val="FFFFFF"/>
                              </w:rPr>
                              <w:t>LOCAL ECONO</w:t>
                            </w:r>
                            <w:r>
                              <w:rPr>
                                <w:rFonts w:ascii="Aharoni" w:hAnsi="Aharoni" w:cs="Aharoni"/>
                                <w:color w:val="FFFFFF"/>
                              </w:rPr>
                              <w:t xml:space="preserve">MIC DEVELOPMENT LIMITED </w:t>
                            </w:r>
                            <w:r w:rsidR="00185057">
                              <w:rPr>
                                <w:rFonts w:ascii="Aharoni" w:hAnsi="Aharoni" w:cs="Aharoni"/>
                                <w:color w:val="FFFFFF"/>
                              </w:rPr>
                              <w:t>BOARD, DIRECTORS AND SENIOR MANAGEMENT</w:t>
                            </w:r>
                          </w:p>
                          <w:p w:rsidR="00C33CE7" w:rsidRPr="00BC24CB" w:rsidRDefault="00185057" w:rsidP="00C33CE7">
                            <w:pPr>
                              <w:pStyle w:val="Header"/>
                              <w:jc w:val="center"/>
                              <w:rPr>
                                <w:rFonts w:ascii="Aharoni" w:hAnsi="Aharoni" w:cs="Aharoni"/>
                                <w:color w:val="FFFFFF"/>
                              </w:rPr>
                            </w:pPr>
                            <w:r>
                              <w:rPr>
                                <w:rFonts w:ascii="Aharoni" w:hAnsi="Aharoni" w:cs="Aharoni"/>
                                <w:color w:val="FFFFFF"/>
                              </w:rPr>
                              <w:t>PERFORMANCE EVALUATION POLICY</w:t>
                            </w:r>
                            <w:r w:rsidR="00C33CE7" w:rsidRPr="00BC24CB">
                              <w:rPr>
                                <w:rFonts w:ascii="Aharoni" w:hAnsi="Aharoni" w:cs="Aharoni"/>
                                <w:color w:val="FFFFFF"/>
                              </w:rPr>
                              <w:t xml:space="preserve">   </w:t>
                            </w:r>
                          </w:p>
                          <w:p w:rsidR="00C33CE7" w:rsidRPr="00BC24CB" w:rsidRDefault="00C33CE7" w:rsidP="00C33CE7">
                            <w:pPr>
                              <w:pStyle w:val="Header"/>
                              <w:jc w:val="center"/>
                              <w:rPr>
                                <w:b/>
                                <w:caps/>
                                <w:color w:val="FFFFFF"/>
                              </w:rPr>
                            </w:pPr>
                            <w:r w:rsidRPr="00BC24CB">
                              <w:rPr>
                                <w:rFonts w:cs="Aharoni"/>
                                <w:b/>
                                <w:color w:val="FFFFF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ABD5BB3" id="Rectangle 197" o:spid="_x0000_s1026" style="position:absolute;margin-left:559.3pt;margin-top:23.75pt;width:610.5pt;height:41.25pt;z-index:-251658240;visibility:visible;mso-wrap-style:square;mso-width-percent:0;mso-height-percent:0;mso-wrap-distance-left:9.35pt;mso-wrap-distance-top:0;mso-wrap-distance-right:9.35pt;mso-wrap-distance-bottom:0;mso-position-horizontal:right;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" o:allowoverlap="f" fillcolor="#002060" strokecolor="window" strokeweight="1.5pt">
                <v:path arrowok="t"/>
                <v:textbox>
                  <w:txbxContent>
                    <w:p w:rsidR="00185057" w:rsidRDefault="00C33CE7" w:rsidP="00C33CE7">
                      <w:pPr>
                        <w:pStyle w:val="Header"/>
                        <w:jc w:val="center"/>
                        <w:rPr>
                          <w:rFonts w:ascii="Aharoni" w:hAnsi="Aharoni" w:cs="Aharoni"/>
                          <w:color w:val="FFFFFF"/>
                        </w:rPr>
                      </w:pPr>
                      <w:r w:rsidRPr="00BC24CB">
                        <w:rPr>
                          <w:caps/>
                          <w:color w:val="FFFFFF"/>
                        </w:rPr>
                        <w:t xml:space="preserve">     </w:t>
                      </w:r>
                      <w:r w:rsidRPr="00B44212">
                        <w:t xml:space="preserve"> </w:t>
                      </w:r>
                      <w:r w:rsidRPr="00BC24CB">
                        <w:rPr>
                          <w:rFonts w:ascii="Aharoni" w:hAnsi="Aharoni" w:cs="Aharoni"/>
                          <w:color w:val="FFFFFF"/>
                        </w:rPr>
                        <w:t>LOCAL ECONO</w:t>
                      </w:r>
                      <w:r>
                        <w:rPr>
                          <w:rFonts w:ascii="Aharoni" w:hAnsi="Aharoni" w:cs="Aharoni"/>
                          <w:color w:val="FFFFFF"/>
                        </w:rPr>
                        <w:t xml:space="preserve">MIC DEVELOPMENT LIMITED </w:t>
                      </w:r>
                      <w:r w:rsidR="00185057">
                        <w:rPr>
                          <w:rFonts w:ascii="Aharoni" w:hAnsi="Aharoni" w:cs="Aharoni"/>
                          <w:color w:val="FFFFFF"/>
                        </w:rPr>
                        <w:t>BOARD, DIRECTORS AND SENIOR MANAGEMENT</w:t>
                      </w:r>
                    </w:p>
                    <w:p w:rsidR="00C33CE7" w:rsidRPr="00BC24CB" w:rsidRDefault="00185057" w:rsidP="00C33CE7">
                      <w:pPr>
                        <w:pStyle w:val="Header"/>
                        <w:jc w:val="center"/>
                        <w:rPr>
                          <w:rFonts w:ascii="Aharoni" w:hAnsi="Aharoni" w:cs="Aharoni"/>
                          <w:color w:val="FFFFFF"/>
                        </w:rPr>
                      </w:pPr>
                      <w:r>
                        <w:rPr>
                          <w:rFonts w:ascii="Aharoni" w:hAnsi="Aharoni" w:cs="Aharoni"/>
                          <w:color w:val="FFFFFF"/>
                        </w:rPr>
                        <w:t>PERFORMANCE EVALUATION POLICY</w:t>
                      </w:r>
                      <w:r w:rsidR="00C33CE7" w:rsidRPr="00BC24CB">
                        <w:rPr>
                          <w:rFonts w:ascii="Aharoni" w:hAnsi="Aharoni" w:cs="Aharoni"/>
                          <w:color w:val="FFFFFF"/>
                        </w:rPr>
                        <w:t xml:space="preserve">   </w:t>
                      </w:r>
                    </w:p>
                    <w:p w:rsidR="00C33CE7" w:rsidRPr="00BC24CB" w:rsidRDefault="00C33CE7" w:rsidP="00C33CE7">
                      <w:pPr>
                        <w:pStyle w:val="Header"/>
                        <w:jc w:val="center"/>
                        <w:rPr>
                          <w:b/>
                          <w:caps/>
                          <w:color w:val="FFFFFF"/>
                        </w:rPr>
                      </w:pPr>
                      <w:r w:rsidRPr="00BC24CB">
                        <w:rPr>
                          <w:rFonts w:cs="Aharoni"/>
                          <w:b/>
                          <w:color w:val="FFFFFF"/>
                        </w:rPr>
                        <w:t xml:space="preserve">                                                                                                                                                                                                                                                                                                                                                                                                                                                                                                                                                                                                                                                                                                                                                                                                                                                                                                                                                                                                                                                                                                                                                                                                                               </w:t>
                      </w:r>
                    </w:p>
                  </w:txbxContent>
                </v:textbox>
                <w10:wrap type="square" anchorx="page" anchory="page"/>
              </v:rect>
            </w:pict>
          </mc:Fallback>
        </mc:AlternateContent>
      </w:r>
    </w:p>
    <w:p w:rsidR="00FB034B" w:rsidRPr="00C33CE7" w:rsidRDefault="00185057">
      <w:pPr>
        <w:tabs>
          <w:tab w:val="center" w:pos="4741"/>
          <w:tab w:val="right" w:pos="9363"/>
        </w:tabs>
        <w:spacing w:after="131" w:line="259" w:lineRule="auto"/>
        <w:ind w:left="0" w:right="-15" w:firstLine="0"/>
        <w:rPr>
          <w:sz w:val="22"/>
        </w:rPr>
      </w:pPr>
      <w:r>
        <w:rPr>
          <w:noProof/>
        </w:rPr>
        <mc:AlternateContent>
          <mc:Choice Requires="wps">
            <w:drawing>
              <wp:anchor distT="0" distB="0" distL="114300" distR="114300" simplePos="0" relativeHeight="251659264" behindDoc="0" locked="0" layoutInCell="1" allowOverlap="1">
                <wp:simplePos x="0" y="0"/>
                <wp:positionH relativeFrom="page">
                  <wp:posOffset>2207553</wp:posOffset>
                </wp:positionH>
                <wp:positionV relativeFrom="paragraph">
                  <wp:posOffset>692247</wp:posOffset>
                </wp:positionV>
                <wp:extent cx="3789680" cy="6096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89680" cy="609600"/>
                        </a:xfrm>
                        <a:prstGeom prst="rect">
                          <a:avLst/>
                        </a:prstGeom>
                        <a:noFill/>
                        <a:ln w="12700" cap="flat" cmpd="sng" algn="ctr">
                          <a:noFill/>
                          <a:prstDash val="solid"/>
                          <a:miter lim="800000"/>
                        </a:ln>
                        <a:effectLst/>
                      </wps:spPr>
                      <wps:txbx>
                        <w:txbxContent>
                          <w:p w:rsidR="00185057" w:rsidRDefault="00185057" w:rsidP="00185057">
                            <w:pPr>
                              <w:jc w:val="center"/>
                              <w:rPr>
                                <w:rFonts w:ascii="Bodoni MT Black" w:hAnsi="Bodoni MT Black"/>
                                <w:sz w:val="32"/>
                              </w:rPr>
                            </w:pPr>
                            <w:r>
                              <w:rPr>
                                <w:rFonts w:ascii="Bodoni MT Black" w:hAnsi="Bodoni MT Black"/>
                                <w:sz w:val="32"/>
                              </w:rPr>
                              <w:t>LOCAL ECONOMIC DEVELOPMENT LIMITED</w:t>
                            </w:r>
                          </w:p>
                          <w:p w:rsidR="00185057" w:rsidRPr="00EE450B" w:rsidRDefault="00185057" w:rsidP="00185057">
                            <w:pPr>
                              <w:jc w:val="center"/>
                              <w:rPr>
                                <w:rFonts w:ascii="Bodoni MT Black" w:hAnsi="Bodoni MT Black"/>
                              </w:rPr>
                            </w:pPr>
                          </w:p>
                          <w:p w:rsidR="00185057" w:rsidRDefault="00185057" w:rsidP="00185057">
                            <w:pPr>
                              <w:jc w:val="center"/>
                              <w:rPr>
                                <w:rFonts w:ascii="Bodoni MT Black" w:hAnsi="Bodoni MT Black"/>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margin-left:173.8pt;margin-top:54.5pt;width:298.4pt;height:4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" filled="f" stroked="f" strokeweight="1pt">
                <v:path arrowok="t"/>
                <v:textbox>
                  <w:txbxContent>
                    <w:p w:rsidR="00185057" w:rsidRDefault="00185057" w:rsidP="00185057">
                      <w:pPr>
                        <w:jc w:val="center"/>
                        <w:rPr>
                          <w:rFonts w:ascii="Bodoni MT Black" w:hAnsi="Bodoni MT Black"/>
                          <w:sz w:val="32"/>
                        </w:rPr>
                      </w:pPr>
                      <w:r>
                        <w:rPr>
                          <w:rFonts w:ascii="Bodoni MT Black" w:hAnsi="Bodoni MT Black"/>
                          <w:sz w:val="32"/>
                        </w:rPr>
                        <w:t>LOCAL ECONOMIC DEVELOPMENT LIMITED</w:t>
                      </w:r>
                    </w:p>
                    <w:p w:rsidR="00185057" w:rsidRPr="00EE450B" w:rsidRDefault="00185057" w:rsidP="00185057">
                      <w:pPr>
                        <w:jc w:val="center"/>
                        <w:rPr>
                          <w:rFonts w:ascii="Bodoni MT Black" w:hAnsi="Bodoni MT Black"/>
                        </w:rPr>
                      </w:pPr>
                    </w:p>
                    <w:p w:rsidR="00185057" w:rsidRDefault="00185057" w:rsidP="00185057">
                      <w:pPr>
                        <w:jc w:val="center"/>
                        <w:rPr>
                          <w:rFonts w:ascii="Bodoni MT Black" w:hAnsi="Bodoni MT Black"/>
                          <w:sz w:val="32"/>
                        </w:rPr>
                      </w:pPr>
                    </w:p>
                  </w:txbxContent>
                </v:textbox>
                <w10:wrap anchorx="page"/>
              </v:rect>
            </w:pict>
          </mc:Fallback>
        </mc:AlternateContent>
      </w:r>
      <w:r>
        <w:rPr>
          <w:noProof/>
        </w:rPr>
        <w:drawing>
          <wp:inline distT="0" distB="0" distL="0" distR="0">
            <wp:extent cx="3129915" cy="808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9915" cy="808990"/>
                    </a:xfrm>
                    <a:prstGeom prst="rect">
                      <a:avLst/>
                    </a:prstGeom>
                    <a:noFill/>
                    <a:ln>
                      <a:noFill/>
                    </a:ln>
                  </pic:spPr>
                </pic:pic>
              </a:graphicData>
            </a:graphic>
          </wp:inline>
        </w:drawing>
      </w:r>
      <w:r w:rsidR="00B941B3">
        <w:rPr>
          <w:sz w:val="22"/>
        </w:rPr>
        <w:tab/>
      </w:r>
      <w:r w:rsidR="006B3A9A">
        <w:rPr>
          <w:sz w:val="22"/>
        </w:rPr>
        <w:tab/>
      </w:r>
    </w:p>
    <w:p w:rsidR="00FB034B" w:rsidRDefault="00B941B3">
      <w:pPr>
        <w:pStyle w:val="Heading1"/>
      </w:pPr>
      <w:r>
        <w:t>Board, Directors and Senior Management Performance Evaluation Policy</w:t>
      </w:r>
      <w:r>
        <w:rPr>
          <w:sz w:val="22"/>
        </w:rPr>
        <w:t xml:space="preserve"> </w:t>
      </w:r>
    </w:p>
    <w:p w:rsidR="00FB034B" w:rsidRDefault="00B941B3">
      <w:pPr>
        <w:spacing w:after="18" w:line="259" w:lineRule="auto"/>
        <w:ind w:left="1" w:firstLine="0"/>
      </w:pPr>
      <w:r>
        <w:rPr>
          <w:b/>
        </w:rPr>
        <w:t xml:space="preserve"> </w:t>
      </w:r>
    </w:p>
    <w:p w:rsidR="00FB034B" w:rsidRDefault="00B941B3">
      <w:pPr>
        <w:spacing w:after="69" w:line="259" w:lineRule="auto"/>
        <w:ind w:left="1" w:firstLine="0"/>
      </w:pPr>
      <w:r>
        <w:rPr>
          <w:b/>
        </w:rPr>
        <w:t xml:space="preserve"> </w:t>
      </w:r>
    </w:p>
    <w:p w:rsidR="00FB034B" w:rsidRDefault="00B941B3">
      <w:pPr>
        <w:pStyle w:val="Heading2"/>
        <w:ind w:left="-4"/>
      </w:pPr>
      <w:r>
        <w:t>1.</w:t>
      </w:r>
      <w:r>
        <w:rPr>
          <w:rFonts w:ascii="Arial" w:eastAsia="Arial" w:hAnsi="Arial" w:cs="Arial"/>
        </w:rPr>
        <w:t xml:space="preserve"> </w:t>
      </w:r>
      <w:r>
        <w:t xml:space="preserve">Objective </w:t>
      </w:r>
    </w:p>
    <w:p w:rsidR="00FB034B" w:rsidRDefault="00B941B3">
      <w:pPr>
        <w:spacing w:after="71" w:line="259" w:lineRule="auto"/>
        <w:ind w:left="361" w:firstLine="0"/>
      </w:pPr>
      <w:r>
        <w:rPr>
          <w:b/>
        </w:rPr>
        <w:t xml:space="preserve"> </w:t>
      </w:r>
    </w:p>
    <w:p w:rsidR="00FB034B" w:rsidRDefault="00B941B3">
      <w:pPr>
        <w:ind w:left="793" w:right="6" w:hanging="432"/>
      </w:pPr>
      <w:r>
        <w:rPr>
          <w:b/>
        </w:rPr>
        <w:t>1.1.</w:t>
      </w:r>
      <w:r>
        <w:rPr>
          <w:rFonts w:ascii="Arial" w:eastAsia="Arial" w:hAnsi="Arial" w:cs="Arial"/>
          <w:b/>
        </w:rPr>
        <w:t xml:space="preserve"> </w:t>
      </w:r>
      <w:r w:rsidR="000A36AC">
        <w:t>The Board of Local Economic Development Limited (LEDL</w:t>
      </w:r>
      <w:r>
        <w:t xml:space="preserve">) is committed to a sound and transparent process of Board renewal and to efficient and effective procedures for assessing the performance of the Board, Board Committees, individual Directors and senior management, with the goal to maintain a dynamic and effective Board and senior management team. </w:t>
      </w:r>
    </w:p>
    <w:p w:rsidR="00FB034B" w:rsidRDefault="00B941B3">
      <w:pPr>
        <w:spacing w:after="71" w:line="259" w:lineRule="auto"/>
        <w:ind w:left="793" w:firstLine="0"/>
      </w:pPr>
      <w:r>
        <w:t xml:space="preserve"> </w:t>
      </w:r>
    </w:p>
    <w:p w:rsidR="00FB034B" w:rsidRDefault="00B941B3">
      <w:pPr>
        <w:ind w:right="6"/>
      </w:pPr>
      <w:r>
        <w:rPr>
          <w:b/>
        </w:rPr>
        <w:t>1.2.</w:t>
      </w:r>
      <w:r>
        <w:rPr>
          <w:rFonts w:ascii="Arial" w:eastAsia="Arial" w:hAnsi="Arial" w:cs="Arial"/>
          <w:b/>
        </w:rPr>
        <w:t xml:space="preserve"> </w:t>
      </w:r>
      <w:r>
        <w:t xml:space="preserve">This protocol sets out the guidelines the Board has approved regarding: </w:t>
      </w:r>
    </w:p>
    <w:p w:rsidR="00FB034B" w:rsidRDefault="00B941B3">
      <w:pPr>
        <w:spacing w:after="70" w:line="259" w:lineRule="auto"/>
        <w:ind w:left="793" w:firstLine="0"/>
      </w:pPr>
      <w:r>
        <w:t xml:space="preserve"> </w:t>
      </w:r>
    </w:p>
    <w:p w:rsidR="00FB034B" w:rsidRDefault="00B941B3">
      <w:pPr>
        <w:numPr>
          <w:ilvl w:val="0"/>
          <w:numId w:val="1"/>
        </w:numPr>
        <w:spacing w:after="66"/>
        <w:ind w:right="6" w:hanging="360"/>
      </w:pPr>
      <w:r>
        <w:t xml:space="preserve">Board renewal. </w:t>
      </w:r>
    </w:p>
    <w:p w:rsidR="00FB034B" w:rsidRDefault="00B941B3">
      <w:pPr>
        <w:numPr>
          <w:ilvl w:val="0"/>
          <w:numId w:val="1"/>
        </w:numPr>
        <w:spacing w:after="66"/>
        <w:ind w:right="6" w:hanging="360"/>
      </w:pPr>
      <w:r>
        <w:t xml:space="preserve">Board, Board Committees and individual Director performance evaluations. </w:t>
      </w:r>
    </w:p>
    <w:p w:rsidR="00C33CE7" w:rsidRDefault="00B941B3" w:rsidP="00C33CE7">
      <w:pPr>
        <w:numPr>
          <w:ilvl w:val="0"/>
          <w:numId w:val="1"/>
        </w:numPr>
        <w:ind w:right="6" w:hanging="360"/>
      </w:pPr>
      <w:r>
        <w:t xml:space="preserve">Senior management performance evaluations. </w:t>
      </w:r>
    </w:p>
    <w:p w:rsidR="00FB034B" w:rsidRDefault="00B941B3" w:rsidP="00C33CE7">
      <w:pPr>
        <w:ind w:left="1623" w:right="6" w:firstLine="0"/>
      </w:pPr>
      <w:r>
        <w:t xml:space="preserve"> </w:t>
      </w:r>
    </w:p>
    <w:p w:rsidR="00FB034B" w:rsidRDefault="00B941B3">
      <w:pPr>
        <w:pStyle w:val="Heading2"/>
        <w:ind w:left="-4"/>
      </w:pPr>
      <w:r>
        <w:t>2.</w:t>
      </w:r>
      <w:r>
        <w:rPr>
          <w:rFonts w:ascii="Arial" w:eastAsia="Arial" w:hAnsi="Arial" w:cs="Arial"/>
        </w:rPr>
        <w:t xml:space="preserve"> </w:t>
      </w:r>
      <w:r>
        <w:t xml:space="preserve">Board Renewal and Succession Planning  </w:t>
      </w:r>
    </w:p>
    <w:p w:rsidR="00FB034B" w:rsidRDefault="00B941B3">
      <w:pPr>
        <w:spacing w:after="71" w:line="259" w:lineRule="auto"/>
        <w:ind w:left="361" w:firstLine="0"/>
      </w:pPr>
      <w:r>
        <w:rPr>
          <w:b/>
        </w:rPr>
        <w:t xml:space="preserve"> </w:t>
      </w:r>
    </w:p>
    <w:p w:rsidR="00FB034B" w:rsidRDefault="00B941B3">
      <w:pPr>
        <w:ind w:left="793" w:right="6" w:hanging="432"/>
      </w:pPr>
      <w:r>
        <w:rPr>
          <w:b/>
        </w:rPr>
        <w:t>2.1.</w:t>
      </w:r>
      <w:r>
        <w:rPr>
          <w:rFonts w:ascii="Arial" w:eastAsia="Arial" w:hAnsi="Arial" w:cs="Arial"/>
          <w:b/>
        </w:rPr>
        <w:t xml:space="preserve"> </w:t>
      </w:r>
      <w:r>
        <w:t xml:space="preserve">The Chairman in conjunction with all members of the Board has ultimate responsibility for overseeing the nomination of all Directors and for the review of the Board’s membership. However, the Board </w:t>
      </w:r>
      <w:r w:rsidR="00286FB4">
        <w:t>authorizes</w:t>
      </w:r>
      <w:r>
        <w:t xml:space="preserve"> the Remuneration &amp; Nomination Committee to: </w:t>
      </w:r>
    </w:p>
    <w:p w:rsidR="00FB034B" w:rsidRDefault="00B941B3">
      <w:pPr>
        <w:spacing w:after="71" w:line="259" w:lineRule="auto"/>
        <w:ind w:left="793" w:firstLine="0"/>
      </w:pPr>
      <w:r>
        <w:t xml:space="preserve"> </w:t>
      </w:r>
    </w:p>
    <w:p w:rsidR="00FB034B" w:rsidRDefault="00B941B3">
      <w:pPr>
        <w:numPr>
          <w:ilvl w:val="0"/>
          <w:numId w:val="2"/>
        </w:numPr>
        <w:ind w:right="6" w:hanging="360"/>
      </w:pPr>
      <w:r>
        <w:t xml:space="preserve">Make recommendations to the Board regarding the necessary and desirable mix of skills, experience, expertise and diversity of the Board to </w:t>
      </w:r>
      <w:r w:rsidR="00286FB4">
        <w:t>optimize</w:t>
      </w:r>
      <w:r>
        <w:t xml:space="preserve"> the contribution of the Board to the Group’s performance. </w:t>
      </w:r>
    </w:p>
    <w:p w:rsidR="00FB034B" w:rsidRDefault="00B941B3">
      <w:pPr>
        <w:spacing w:after="71" w:line="259" w:lineRule="auto"/>
        <w:ind w:left="1069" w:firstLine="0"/>
      </w:pPr>
      <w:r>
        <w:t xml:space="preserve"> </w:t>
      </w:r>
    </w:p>
    <w:p w:rsidR="00FB034B" w:rsidRDefault="00B941B3" w:rsidP="000A36AC">
      <w:pPr>
        <w:numPr>
          <w:ilvl w:val="0"/>
          <w:numId w:val="2"/>
        </w:numPr>
        <w:ind w:right="6" w:hanging="360"/>
      </w:pPr>
      <w:r>
        <w:t>Review and advise on staff development plans and Board and senior executive succession plans to ensure they are ro</w:t>
      </w:r>
      <w:r w:rsidR="000A36AC">
        <w:t>bust and aligned with LEDL</w:t>
      </w:r>
      <w:r>
        <w:t xml:space="preserve">’ longer term strategic agenda. </w:t>
      </w:r>
    </w:p>
    <w:p w:rsidR="00FB034B" w:rsidRDefault="00B941B3" w:rsidP="000A36AC">
      <w:pPr>
        <w:numPr>
          <w:ilvl w:val="0"/>
          <w:numId w:val="2"/>
        </w:numPr>
        <w:ind w:right="6" w:hanging="360"/>
      </w:pPr>
      <w:r>
        <w:t xml:space="preserve">Identify and recommend candidates for appointment and re-election to the Board. </w:t>
      </w:r>
    </w:p>
    <w:p w:rsidR="00FB034B" w:rsidRDefault="00B941B3">
      <w:pPr>
        <w:numPr>
          <w:ilvl w:val="0"/>
          <w:numId w:val="2"/>
        </w:numPr>
        <w:ind w:right="6" w:hanging="360"/>
      </w:pPr>
      <w:r>
        <w:t xml:space="preserve">Ensure there is a robust and effective process for evaluating the performance of the Board, Board Committees, individual Directors and senior management. </w:t>
      </w:r>
    </w:p>
    <w:p w:rsidR="00FB034B" w:rsidRDefault="00B941B3">
      <w:pPr>
        <w:spacing w:after="71" w:line="259" w:lineRule="auto"/>
        <w:ind w:left="1637" w:firstLine="0"/>
      </w:pPr>
      <w:r>
        <w:t xml:space="preserve"> </w:t>
      </w:r>
    </w:p>
    <w:p w:rsidR="00185057" w:rsidRDefault="00B941B3" w:rsidP="00185057">
      <w:pPr>
        <w:ind w:left="793" w:right="6" w:hanging="432"/>
      </w:pPr>
      <w:r>
        <w:rPr>
          <w:b/>
        </w:rPr>
        <w:t>2.2.</w:t>
      </w:r>
      <w:r>
        <w:rPr>
          <w:rFonts w:ascii="Arial" w:eastAsia="Arial" w:hAnsi="Arial" w:cs="Arial"/>
          <w:b/>
        </w:rPr>
        <w:t xml:space="preserve"> </w:t>
      </w:r>
      <w:r w:rsidR="00286FB4">
        <w:t>All non-</w:t>
      </w:r>
      <w:r>
        <w:t xml:space="preserve">executive Directors retire on a rotational basis at least every three years. Retiring Directors are eligible for re-election. </w:t>
      </w:r>
    </w:p>
    <w:p w:rsidR="00FB034B" w:rsidRDefault="00B941B3" w:rsidP="00185057">
      <w:pPr>
        <w:ind w:left="793" w:right="6" w:hanging="432"/>
      </w:pPr>
      <w:r>
        <w:t xml:space="preserve"> </w:t>
      </w:r>
    </w:p>
    <w:p w:rsidR="00C33CE7" w:rsidRPr="00C33CE7" w:rsidRDefault="00B941B3" w:rsidP="00C33CE7">
      <w:pPr>
        <w:pStyle w:val="Heading2"/>
        <w:ind w:left="-4"/>
      </w:pPr>
      <w:r>
        <w:t>3.</w:t>
      </w:r>
      <w:r>
        <w:rPr>
          <w:rFonts w:ascii="Arial" w:eastAsia="Arial" w:hAnsi="Arial" w:cs="Arial"/>
        </w:rPr>
        <w:t xml:space="preserve"> </w:t>
      </w:r>
      <w:r>
        <w:t xml:space="preserve">Board Performance Evaluations </w:t>
      </w:r>
    </w:p>
    <w:p w:rsidR="00FB034B" w:rsidRDefault="00B941B3">
      <w:pPr>
        <w:spacing w:after="67"/>
        <w:ind w:left="370" w:right="6"/>
      </w:pPr>
      <w:r>
        <w:rPr>
          <w:b/>
        </w:rPr>
        <w:t>3.1.</w:t>
      </w:r>
      <w:r>
        <w:rPr>
          <w:rFonts w:ascii="Arial" w:eastAsia="Arial" w:hAnsi="Arial" w:cs="Arial"/>
          <w:b/>
        </w:rPr>
        <w:t xml:space="preserve"> </w:t>
      </w:r>
      <w:r>
        <w:t xml:space="preserve">The Board has adopted a formal performance evaluation process which includes the following steps: </w:t>
      </w:r>
    </w:p>
    <w:p w:rsidR="00185057" w:rsidRDefault="00185057">
      <w:pPr>
        <w:spacing w:after="67"/>
        <w:ind w:left="370" w:right="6"/>
      </w:pPr>
    </w:p>
    <w:p w:rsidR="000A36AC" w:rsidRDefault="000A36AC">
      <w:pPr>
        <w:spacing w:after="67"/>
        <w:ind w:left="370" w:right="6"/>
      </w:pPr>
    </w:p>
    <w:p w:rsidR="000A36AC" w:rsidRDefault="000A36AC">
      <w:pPr>
        <w:spacing w:after="67"/>
        <w:ind w:left="370" w:right="6"/>
      </w:pPr>
    </w:p>
    <w:p w:rsidR="000A36AC" w:rsidRDefault="000A36AC">
      <w:pPr>
        <w:spacing w:after="67"/>
        <w:ind w:left="370" w:right="6"/>
      </w:pPr>
      <w:bookmarkStart w:id="0" w:name="_GoBack"/>
      <w:bookmarkEnd w:id="0"/>
    </w:p>
    <w:p w:rsidR="00185057" w:rsidRDefault="00185057">
      <w:pPr>
        <w:spacing w:after="67"/>
        <w:ind w:left="370" w:right="6"/>
      </w:pPr>
    </w:p>
    <w:p w:rsidR="00FB034B" w:rsidRDefault="00B941B3" w:rsidP="00185057">
      <w:pPr>
        <w:numPr>
          <w:ilvl w:val="0"/>
          <w:numId w:val="3"/>
        </w:numPr>
        <w:ind w:right="6" w:hanging="360"/>
      </w:pPr>
      <w:r>
        <w:t xml:space="preserve">The performance of the Board, Board Committees and individual Directors is reviewed annually. </w:t>
      </w:r>
    </w:p>
    <w:p w:rsidR="00FB034B" w:rsidRDefault="00B941B3" w:rsidP="00C33CE7">
      <w:pPr>
        <w:numPr>
          <w:ilvl w:val="0"/>
          <w:numId w:val="3"/>
        </w:numPr>
        <w:ind w:right="6" w:hanging="360"/>
      </w:pPr>
      <w:r>
        <w:t xml:space="preserve">Reviews are conducted by the Chairman of the Board.  </w:t>
      </w:r>
      <w:r w:rsidRPr="00C33CE7">
        <w:rPr>
          <w:sz w:val="22"/>
        </w:rPr>
        <w:t xml:space="preserve"> </w:t>
      </w:r>
    </w:p>
    <w:p w:rsidR="00FB034B" w:rsidRDefault="00B941B3" w:rsidP="00286FB4">
      <w:pPr>
        <w:tabs>
          <w:tab w:val="center" w:pos="4741"/>
          <w:tab w:val="right" w:pos="9363"/>
        </w:tabs>
        <w:spacing w:after="92" w:line="259" w:lineRule="auto"/>
        <w:ind w:left="0" w:right="-15" w:firstLine="0"/>
      </w:pPr>
      <w:r>
        <w:rPr>
          <w:sz w:val="22"/>
        </w:rPr>
        <w:tab/>
      </w:r>
      <w:r>
        <w:rPr>
          <w:sz w:val="22"/>
        </w:rPr>
        <w:tab/>
        <w:t xml:space="preserve">2 </w:t>
      </w:r>
      <w:r>
        <w:t xml:space="preserve"> </w:t>
      </w:r>
    </w:p>
    <w:p w:rsidR="00FB034B" w:rsidRDefault="00B941B3">
      <w:pPr>
        <w:ind w:right="6"/>
      </w:pPr>
      <w:r>
        <w:rPr>
          <w:b/>
        </w:rPr>
        <w:t>3.2.</w:t>
      </w:r>
      <w:r>
        <w:rPr>
          <w:rFonts w:ascii="Arial" w:eastAsia="Arial" w:hAnsi="Arial" w:cs="Arial"/>
          <w:b/>
        </w:rPr>
        <w:t xml:space="preserve"> </w:t>
      </w:r>
      <w:r>
        <w:t xml:space="preserve">This process will be conducted in accordance with the following frameworks: </w:t>
      </w:r>
    </w:p>
    <w:p w:rsidR="00FB034B" w:rsidRDefault="00B941B3">
      <w:pPr>
        <w:spacing w:after="70" w:line="259" w:lineRule="auto"/>
        <w:ind w:left="793" w:firstLine="0"/>
      </w:pPr>
      <w:r>
        <w:t xml:space="preserve"> </w:t>
      </w:r>
    </w:p>
    <w:p w:rsidR="00FB034B" w:rsidRDefault="00B941B3">
      <w:pPr>
        <w:numPr>
          <w:ilvl w:val="0"/>
          <w:numId w:val="4"/>
        </w:numPr>
        <w:ind w:right="6" w:hanging="360"/>
      </w:pPr>
      <w:r>
        <w:t xml:space="preserve">For individual Directors: </w:t>
      </w:r>
    </w:p>
    <w:p w:rsidR="00FB034B" w:rsidRDefault="00B941B3">
      <w:pPr>
        <w:spacing w:after="69" w:line="259" w:lineRule="auto"/>
        <w:ind w:left="1069" w:firstLine="0"/>
      </w:pPr>
      <w:r>
        <w:t xml:space="preserve"> </w:t>
      </w:r>
    </w:p>
    <w:p w:rsidR="00FB034B" w:rsidRDefault="00B941B3">
      <w:pPr>
        <w:numPr>
          <w:ilvl w:val="1"/>
          <w:numId w:val="4"/>
        </w:numPr>
        <w:ind w:right="6" w:hanging="533"/>
      </w:pPr>
      <w:r>
        <w:t xml:space="preserve">The Chairman conducts one-on-one meetings with each non-executive Director specifically addressing key performance indicators and compliance with the Group code of conduct and ethics. </w:t>
      </w:r>
    </w:p>
    <w:p w:rsidR="00FB034B" w:rsidRDefault="00B941B3">
      <w:pPr>
        <w:spacing w:after="70" w:line="259" w:lineRule="auto"/>
        <w:ind w:left="2070" w:firstLine="0"/>
      </w:pPr>
      <w:r>
        <w:t xml:space="preserve"> </w:t>
      </w:r>
    </w:p>
    <w:p w:rsidR="00FB034B" w:rsidRDefault="00B941B3">
      <w:pPr>
        <w:numPr>
          <w:ilvl w:val="0"/>
          <w:numId w:val="4"/>
        </w:numPr>
        <w:ind w:right="6" w:hanging="360"/>
      </w:pPr>
      <w:r>
        <w:t xml:space="preserve">For Board Committees: </w:t>
      </w:r>
    </w:p>
    <w:p w:rsidR="00FB034B" w:rsidRDefault="00B941B3">
      <w:pPr>
        <w:spacing w:after="69" w:line="259" w:lineRule="auto"/>
        <w:ind w:left="1638" w:firstLine="0"/>
      </w:pPr>
      <w:r>
        <w:t xml:space="preserve"> </w:t>
      </w:r>
    </w:p>
    <w:p w:rsidR="00FB034B" w:rsidRDefault="00B941B3">
      <w:pPr>
        <w:numPr>
          <w:ilvl w:val="1"/>
          <w:numId w:val="4"/>
        </w:numPr>
        <w:ind w:right="6" w:hanging="533"/>
      </w:pPr>
      <w:r>
        <w:t xml:space="preserve">The Chairman conducts one-on-one meetings with the Chair of each Board Committee addressing key performance criteria and compliance with Committee charters and terms of reference. </w:t>
      </w:r>
    </w:p>
    <w:p w:rsidR="00FB034B" w:rsidRDefault="00B941B3" w:rsidP="00C33CE7">
      <w:pPr>
        <w:spacing w:after="18" w:line="259" w:lineRule="auto"/>
        <w:ind w:left="2069" w:firstLine="0"/>
      </w:pPr>
      <w:r>
        <w:t xml:space="preserve">  </w:t>
      </w:r>
    </w:p>
    <w:p w:rsidR="00FB034B" w:rsidRDefault="00B941B3" w:rsidP="00C33CE7">
      <w:pPr>
        <w:pStyle w:val="Heading2"/>
        <w:ind w:left="-4"/>
      </w:pPr>
      <w:r>
        <w:t>4.</w:t>
      </w:r>
      <w:r>
        <w:rPr>
          <w:rFonts w:ascii="Arial" w:eastAsia="Arial" w:hAnsi="Arial" w:cs="Arial"/>
        </w:rPr>
        <w:t xml:space="preserve"> </w:t>
      </w:r>
      <w:r>
        <w:t xml:space="preserve">Senior Management Performance Evaluations  </w:t>
      </w:r>
    </w:p>
    <w:p w:rsidR="00FB034B" w:rsidRDefault="00B941B3">
      <w:pPr>
        <w:ind w:left="793" w:right="6" w:hanging="432"/>
      </w:pPr>
      <w:r>
        <w:rPr>
          <w:b/>
        </w:rPr>
        <w:t>4.1.</w:t>
      </w:r>
      <w:r>
        <w:rPr>
          <w:rFonts w:ascii="Arial" w:eastAsia="Arial" w:hAnsi="Arial" w:cs="Arial"/>
          <w:b/>
        </w:rPr>
        <w:t xml:space="preserve"> </w:t>
      </w:r>
      <w:r>
        <w:t xml:space="preserve">The Board has adopted a formal performance evaluation process for senior executives which includes the following steps: </w:t>
      </w:r>
    </w:p>
    <w:p w:rsidR="00FB034B" w:rsidRDefault="00B941B3">
      <w:pPr>
        <w:spacing w:after="71" w:line="259" w:lineRule="auto"/>
        <w:ind w:left="792" w:firstLine="0"/>
      </w:pPr>
      <w:r>
        <w:t xml:space="preserve"> </w:t>
      </w:r>
    </w:p>
    <w:p w:rsidR="00FB034B" w:rsidRDefault="00B941B3">
      <w:pPr>
        <w:numPr>
          <w:ilvl w:val="0"/>
          <w:numId w:val="5"/>
        </w:numPr>
        <w:ind w:right="6" w:hanging="360"/>
      </w:pPr>
      <w:r>
        <w:t xml:space="preserve">Performance of senior management reviewed regularly, at least annually. </w:t>
      </w:r>
    </w:p>
    <w:p w:rsidR="00FB034B" w:rsidRDefault="00B941B3">
      <w:pPr>
        <w:spacing w:after="71" w:line="259" w:lineRule="auto"/>
        <w:ind w:left="1637" w:firstLine="0"/>
      </w:pPr>
      <w:r>
        <w:t xml:space="preserve"> </w:t>
      </w:r>
    </w:p>
    <w:p w:rsidR="00FB034B" w:rsidRDefault="00B941B3">
      <w:pPr>
        <w:numPr>
          <w:ilvl w:val="0"/>
          <w:numId w:val="5"/>
        </w:numPr>
        <w:ind w:right="6" w:hanging="360"/>
      </w:pPr>
      <w:r>
        <w:t xml:space="preserve">Review conducted by the Managing Director. </w:t>
      </w:r>
    </w:p>
    <w:p w:rsidR="00FB034B" w:rsidRDefault="00B941B3">
      <w:pPr>
        <w:spacing w:after="71" w:line="259" w:lineRule="auto"/>
        <w:ind w:left="1637" w:firstLine="0"/>
      </w:pPr>
      <w:r>
        <w:t xml:space="preserve"> </w:t>
      </w:r>
    </w:p>
    <w:p w:rsidR="00FB034B" w:rsidRDefault="00B941B3">
      <w:pPr>
        <w:numPr>
          <w:ilvl w:val="0"/>
          <w:numId w:val="5"/>
        </w:numPr>
        <w:ind w:right="6" w:hanging="360"/>
      </w:pPr>
      <w:r>
        <w:t xml:space="preserve">The Managing Director conducts one-on-one meetings with all senior executives addressing individual and corporate key performance indicators and compliance with the group code of conduct and ethics. </w:t>
      </w:r>
    </w:p>
    <w:p w:rsidR="00FB034B" w:rsidRDefault="00B941B3">
      <w:pPr>
        <w:spacing w:after="71" w:line="259" w:lineRule="auto"/>
        <w:ind w:left="1637" w:firstLine="0"/>
      </w:pPr>
      <w:r>
        <w:t xml:space="preserve"> </w:t>
      </w:r>
    </w:p>
    <w:p w:rsidR="00FB034B" w:rsidRDefault="00B941B3">
      <w:pPr>
        <w:numPr>
          <w:ilvl w:val="0"/>
          <w:numId w:val="5"/>
        </w:numPr>
        <w:ind w:right="6" w:hanging="360"/>
      </w:pPr>
      <w:r>
        <w:t xml:space="preserve">A written report on the annual review of senior management is prepared by or for the Managing Director and presented to the Remuneration &amp; Nomination Committee outlining key findings and recommendations. </w:t>
      </w:r>
    </w:p>
    <w:p w:rsidR="00FB034B" w:rsidRDefault="00B941B3">
      <w:pPr>
        <w:spacing w:after="71" w:line="259" w:lineRule="auto"/>
        <w:ind w:left="1637" w:firstLine="0"/>
      </w:pPr>
      <w:r>
        <w:t xml:space="preserve"> </w:t>
      </w:r>
    </w:p>
    <w:p w:rsidR="00FB034B" w:rsidRDefault="00B941B3" w:rsidP="00C33CE7">
      <w:pPr>
        <w:numPr>
          <w:ilvl w:val="0"/>
          <w:numId w:val="5"/>
        </w:numPr>
        <w:ind w:right="6" w:hanging="360"/>
      </w:pPr>
      <w:r>
        <w:t xml:space="preserve">Remuneration &amp; Nomination Committee provides feedback on senior executive succession plans.   </w:t>
      </w:r>
    </w:p>
    <w:p w:rsidR="00FB034B" w:rsidRDefault="00B941B3" w:rsidP="00C33CE7">
      <w:pPr>
        <w:pStyle w:val="Heading2"/>
        <w:ind w:left="-4"/>
      </w:pPr>
      <w:r>
        <w:t>5.</w:t>
      </w:r>
      <w:r>
        <w:rPr>
          <w:rFonts w:ascii="Arial" w:eastAsia="Arial" w:hAnsi="Arial" w:cs="Arial"/>
        </w:rPr>
        <w:t xml:space="preserve"> </w:t>
      </w:r>
      <w:r>
        <w:t xml:space="preserve">Process review </w:t>
      </w:r>
    </w:p>
    <w:p w:rsidR="00FB034B" w:rsidRDefault="00B941B3">
      <w:pPr>
        <w:ind w:left="792" w:right="6" w:hanging="432"/>
      </w:pPr>
      <w:r>
        <w:rPr>
          <w:b/>
        </w:rPr>
        <w:t>5.1.</w:t>
      </w:r>
      <w:r>
        <w:rPr>
          <w:rFonts w:ascii="Arial" w:eastAsia="Arial" w:hAnsi="Arial" w:cs="Arial"/>
          <w:b/>
        </w:rPr>
        <w:t xml:space="preserve"> </w:t>
      </w:r>
      <w:r>
        <w:t xml:space="preserve">All procedures outlined in this protocol will be reviewed annually by the Remuneration &amp; Nomination Committee or more frequently if changes to legal or regulatory requirements dictate. </w:t>
      </w:r>
    </w:p>
    <w:p w:rsidR="00FB034B" w:rsidRDefault="00B941B3">
      <w:pPr>
        <w:spacing w:after="71" w:line="259" w:lineRule="auto"/>
        <w:ind w:left="792" w:firstLine="0"/>
      </w:pPr>
      <w:r>
        <w:t xml:space="preserve"> </w:t>
      </w:r>
    </w:p>
    <w:p w:rsidR="00FB034B" w:rsidRDefault="00B941B3" w:rsidP="00C33CE7">
      <w:pPr>
        <w:ind w:left="792" w:right="6" w:hanging="432"/>
      </w:pPr>
      <w:r>
        <w:rPr>
          <w:b/>
        </w:rPr>
        <w:t>5.2.</w:t>
      </w:r>
      <w:r>
        <w:rPr>
          <w:rFonts w:ascii="Arial" w:eastAsia="Arial" w:hAnsi="Arial" w:cs="Arial"/>
          <w:b/>
        </w:rPr>
        <w:t xml:space="preserve"> </w:t>
      </w:r>
      <w:r>
        <w:t xml:space="preserve">The Committee may periodically seek independent external advice in relation to the review process and recommendations regarding such advice will be made to the Board for approval. </w:t>
      </w:r>
      <w:r>
        <w:rPr>
          <w:b/>
          <w:sz w:val="16"/>
        </w:rPr>
        <w:t xml:space="preserve"> </w:t>
      </w:r>
    </w:p>
    <w:tbl>
      <w:tblPr>
        <w:tblStyle w:val="TableGrid"/>
        <w:tblW w:w="9566" w:type="dxa"/>
        <w:tblInd w:w="-55" w:type="dxa"/>
        <w:tblCellMar>
          <w:top w:w="113" w:type="dxa"/>
          <w:left w:w="295" w:type="dxa"/>
          <w:right w:w="73" w:type="dxa"/>
        </w:tblCellMar>
        <w:tblLook w:val="04A0" w:firstRow="1" w:lastRow="0" w:firstColumn="1" w:lastColumn="0" w:noHBand="0" w:noVBand="1"/>
      </w:tblPr>
      <w:tblGrid>
        <w:gridCol w:w="1179"/>
        <w:gridCol w:w="1891"/>
        <w:gridCol w:w="1807"/>
        <w:gridCol w:w="3770"/>
        <w:gridCol w:w="919"/>
      </w:tblGrid>
      <w:tr w:rsidR="00FB034B" w:rsidTr="00C33CE7">
        <w:trPr>
          <w:trHeight w:val="444"/>
        </w:trPr>
        <w:tc>
          <w:tcPr>
            <w:tcW w:w="1179"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FB034B" w:rsidRDefault="00B941B3">
            <w:pPr>
              <w:spacing w:after="0" w:line="259" w:lineRule="auto"/>
              <w:ind w:left="0" w:right="40" w:firstLine="0"/>
              <w:jc w:val="center"/>
            </w:pPr>
            <w:r>
              <w:rPr>
                <w:b/>
                <w:sz w:val="16"/>
              </w:rPr>
              <w:t xml:space="preserve">Date </w:t>
            </w:r>
          </w:p>
        </w:tc>
        <w:tc>
          <w:tcPr>
            <w:tcW w:w="1891"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FB034B" w:rsidRDefault="00B941B3">
            <w:pPr>
              <w:spacing w:after="0" w:line="259" w:lineRule="auto"/>
              <w:ind w:left="0" w:right="31" w:firstLine="0"/>
              <w:jc w:val="center"/>
            </w:pPr>
            <w:r>
              <w:rPr>
                <w:b/>
                <w:sz w:val="16"/>
              </w:rPr>
              <w:t xml:space="preserve">Approved by </w:t>
            </w:r>
          </w:p>
        </w:tc>
        <w:tc>
          <w:tcPr>
            <w:tcW w:w="1807"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FB034B" w:rsidRDefault="00B941B3">
            <w:pPr>
              <w:spacing w:after="0" w:line="259" w:lineRule="auto"/>
              <w:ind w:left="0" w:right="37" w:firstLine="0"/>
              <w:jc w:val="center"/>
            </w:pPr>
            <w:r>
              <w:rPr>
                <w:b/>
                <w:sz w:val="16"/>
              </w:rPr>
              <w:t xml:space="preserve">Manual </w:t>
            </w:r>
          </w:p>
        </w:tc>
        <w:tc>
          <w:tcPr>
            <w:tcW w:w="3770"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FB034B" w:rsidRDefault="00B941B3">
            <w:pPr>
              <w:spacing w:after="0" w:line="259" w:lineRule="auto"/>
              <w:ind w:left="0" w:right="33" w:firstLine="0"/>
              <w:jc w:val="center"/>
            </w:pPr>
            <w:r>
              <w:rPr>
                <w:b/>
                <w:sz w:val="16"/>
              </w:rPr>
              <w:t xml:space="preserve">Description </w:t>
            </w:r>
          </w:p>
        </w:tc>
        <w:tc>
          <w:tcPr>
            <w:tcW w:w="919"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FB034B" w:rsidRDefault="00B941B3">
            <w:pPr>
              <w:spacing w:after="0" w:line="259" w:lineRule="auto"/>
              <w:ind w:left="0" w:firstLine="0"/>
            </w:pPr>
            <w:r>
              <w:rPr>
                <w:b/>
                <w:sz w:val="16"/>
              </w:rPr>
              <w:t xml:space="preserve">Version </w:t>
            </w:r>
          </w:p>
        </w:tc>
      </w:tr>
      <w:tr w:rsidR="00FB034B" w:rsidTr="00C33CE7">
        <w:trPr>
          <w:trHeight w:val="393"/>
        </w:trPr>
        <w:tc>
          <w:tcPr>
            <w:tcW w:w="1179" w:type="dxa"/>
            <w:tcBorders>
              <w:top w:val="single" w:sz="4" w:space="0" w:color="000000"/>
              <w:left w:val="single" w:sz="4" w:space="0" w:color="000000"/>
              <w:bottom w:val="single" w:sz="4" w:space="0" w:color="000000"/>
              <w:right w:val="single" w:sz="4" w:space="0" w:color="000000"/>
            </w:tcBorders>
          </w:tcPr>
          <w:p w:rsidR="00FB034B" w:rsidRDefault="00B941B3">
            <w:pPr>
              <w:spacing w:after="0" w:line="259" w:lineRule="auto"/>
              <w:ind w:left="76" w:firstLine="0"/>
            </w:pPr>
            <w:r>
              <w:rPr>
                <w:sz w:val="16"/>
              </w:rPr>
              <w:t xml:space="preserve">27/06/13 </w:t>
            </w:r>
          </w:p>
        </w:tc>
        <w:tc>
          <w:tcPr>
            <w:tcW w:w="1891" w:type="dxa"/>
            <w:tcBorders>
              <w:top w:val="single" w:sz="4" w:space="0" w:color="000000"/>
              <w:left w:val="single" w:sz="4" w:space="0" w:color="000000"/>
              <w:bottom w:val="single" w:sz="4" w:space="0" w:color="000000"/>
              <w:right w:val="single" w:sz="4" w:space="0" w:color="000000"/>
            </w:tcBorders>
          </w:tcPr>
          <w:p w:rsidR="00FB034B" w:rsidRDefault="00B941B3">
            <w:pPr>
              <w:spacing w:after="0" w:line="259" w:lineRule="auto"/>
              <w:ind w:left="0" w:right="30" w:firstLine="0"/>
              <w:jc w:val="center"/>
            </w:pPr>
            <w:r>
              <w:rPr>
                <w:sz w:val="16"/>
              </w:rPr>
              <w:t xml:space="preserve">STC Board </w:t>
            </w:r>
          </w:p>
        </w:tc>
        <w:tc>
          <w:tcPr>
            <w:tcW w:w="1807" w:type="dxa"/>
            <w:tcBorders>
              <w:top w:val="single" w:sz="4" w:space="0" w:color="000000"/>
              <w:left w:val="single" w:sz="4" w:space="0" w:color="000000"/>
              <w:bottom w:val="single" w:sz="4" w:space="0" w:color="000000"/>
              <w:right w:val="single" w:sz="4" w:space="0" w:color="000000"/>
            </w:tcBorders>
          </w:tcPr>
          <w:p w:rsidR="00FB034B" w:rsidRDefault="00B941B3">
            <w:pPr>
              <w:spacing w:after="0" w:line="259" w:lineRule="auto"/>
              <w:ind w:left="0" w:right="229" w:firstLine="0"/>
              <w:jc w:val="center"/>
            </w:pPr>
            <w:r>
              <w:rPr>
                <w:sz w:val="16"/>
              </w:rPr>
              <w:t xml:space="preserve">Administration </w:t>
            </w:r>
          </w:p>
        </w:tc>
        <w:tc>
          <w:tcPr>
            <w:tcW w:w="3770" w:type="dxa"/>
            <w:tcBorders>
              <w:top w:val="single" w:sz="4" w:space="0" w:color="000000"/>
              <w:left w:val="single" w:sz="4" w:space="0" w:color="000000"/>
              <w:bottom w:val="single" w:sz="4" w:space="0" w:color="000000"/>
              <w:right w:val="single" w:sz="4" w:space="0" w:color="000000"/>
            </w:tcBorders>
          </w:tcPr>
          <w:p w:rsidR="00FB034B" w:rsidRDefault="00B941B3">
            <w:pPr>
              <w:spacing w:after="0" w:line="259" w:lineRule="auto"/>
              <w:ind w:left="7" w:firstLine="0"/>
            </w:pPr>
            <w:r>
              <w:rPr>
                <w:sz w:val="16"/>
              </w:rPr>
              <w:t xml:space="preserve">Board Renewal &amp; Performance Evaluation Protocol </w:t>
            </w:r>
          </w:p>
        </w:tc>
        <w:tc>
          <w:tcPr>
            <w:tcW w:w="919" w:type="dxa"/>
            <w:tcBorders>
              <w:top w:val="single" w:sz="4" w:space="0" w:color="000000"/>
              <w:left w:val="single" w:sz="4" w:space="0" w:color="000000"/>
              <w:bottom w:val="single" w:sz="4" w:space="0" w:color="000000"/>
              <w:right w:val="single" w:sz="4" w:space="0" w:color="000000"/>
            </w:tcBorders>
          </w:tcPr>
          <w:p w:rsidR="00FB034B" w:rsidRDefault="00C33CE7">
            <w:pPr>
              <w:spacing w:after="0" w:line="259" w:lineRule="auto"/>
              <w:ind w:left="0" w:right="34" w:firstLine="0"/>
              <w:jc w:val="center"/>
            </w:pPr>
            <w:r>
              <w:rPr>
                <w:sz w:val="16"/>
              </w:rPr>
              <w:t>1</w:t>
            </w:r>
          </w:p>
        </w:tc>
      </w:tr>
    </w:tbl>
    <w:p w:rsidR="00FB034B" w:rsidRDefault="00B941B3">
      <w:pPr>
        <w:spacing w:after="0" w:line="259" w:lineRule="auto"/>
        <w:ind w:left="1" w:firstLine="0"/>
      </w:pPr>
      <w:r>
        <w:rPr>
          <w:sz w:val="22"/>
        </w:rPr>
        <w:t xml:space="preserve"> </w:t>
      </w:r>
    </w:p>
    <w:sectPr w:rsidR="00FB034B">
      <w:pgSz w:w="12240" w:h="15840"/>
      <w:pgMar w:top="80" w:right="1438" w:bottom="70" w:left="14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haroni">
    <w:panose1 w:val="02010803020104030203"/>
    <w:charset w:val="00"/>
    <w:family w:val="auto"/>
    <w:pitch w:val="variable"/>
    <w:sig w:usb0="00000803" w:usb1="00000000" w:usb2="00000000" w:usb3="00000000" w:csb0="00000021"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E4668"/>
    <w:multiLevelType w:val="hybridMultilevel"/>
    <w:tmpl w:val="68169794"/>
    <w:lvl w:ilvl="0" w:tplc="9C168BA0">
      <w:start w:val="1"/>
      <w:numFmt w:val="lowerLetter"/>
      <w:lvlText w:val="%1."/>
      <w:lvlJc w:val="left"/>
      <w:pPr>
        <w:ind w:left="162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9F44B7C">
      <w:start w:val="1"/>
      <w:numFmt w:val="lowerLetter"/>
      <w:lvlText w:val="%2"/>
      <w:lvlJc w:val="left"/>
      <w:pPr>
        <w:ind w:left="235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65D8815A">
      <w:start w:val="1"/>
      <w:numFmt w:val="lowerRoman"/>
      <w:lvlText w:val="%3"/>
      <w:lvlJc w:val="left"/>
      <w:pPr>
        <w:ind w:left="307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DD5A42EA">
      <w:start w:val="1"/>
      <w:numFmt w:val="decimal"/>
      <w:lvlText w:val="%4"/>
      <w:lvlJc w:val="left"/>
      <w:pPr>
        <w:ind w:left="379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6BE0F654">
      <w:start w:val="1"/>
      <w:numFmt w:val="lowerLetter"/>
      <w:lvlText w:val="%5"/>
      <w:lvlJc w:val="left"/>
      <w:pPr>
        <w:ind w:left="451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AE6CDE6E">
      <w:start w:val="1"/>
      <w:numFmt w:val="lowerRoman"/>
      <w:lvlText w:val="%6"/>
      <w:lvlJc w:val="left"/>
      <w:pPr>
        <w:ind w:left="523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D1CACA6C">
      <w:start w:val="1"/>
      <w:numFmt w:val="decimal"/>
      <w:lvlText w:val="%7"/>
      <w:lvlJc w:val="left"/>
      <w:pPr>
        <w:ind w:left="595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3E5E1410">
      <w:start w:val="1"/>
      <w:numFmt w:val="lowerLetter"/>
      <w:lvlText w:val="%8"/>
      <w:lvlJc w:val="left"/>
      <w:pPr>
        <w:ind w:left="667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05B68510">
      <w:start w:val="1"/>
      <w:numFmt w:val="lowerRoman"/>
      <w:lvlText w:val="%9"/>
      <w:lvlJc w:val="left"/>
      <w:pPr>
        <w:ind w:left="739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ADD0866"/>
    <w:multiLevelType w:val="hybridMultilevel"/>
    <w:tmpl w:val="AE36E4BA"/>
    <w:lvl w:ilvl="0" w:tplc="388491EA">
      <w:start w:val="1"/>
      <w:numFmt w:val="lowerLetter"/>
      <w:lvlText w:val="%1."/>
      <w:lvlJc w:val="left"/>
      <w:pPr>
        <w:ind w:left="162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55AC315C">
      <w:start w:val="1"/>
      <w:numFmt w:val="upperRoman"/>
      <w:lvlText w:val="%2."/>
      <w:lvlJc w:val="left"/>
      <w:pPr>
        <w:ind w:left="2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32AF30">
      <w:start w:val="1"/>
      <w:numFmt w:val="lowerRoman"/>
      <w:lvlText w:val="%3"/>
      <w:lvlJc w:val="left"/>
      <w:pPr>
        <w:ind w:left="26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FC0F69A">
      <w:start w:val="1"/>
      <w:numFmt w:val="decimal"/>
      <w:lvlText w:val="%4"/>
      <w:lvlJc w:val="left"/>
      <w:pPr>
        <w:ind w:left="33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D3A63EE">
      <w:start w:val="1"/>
      <w:numFmt w:val="lowerLetter"/>
      <w:lvlText w:val="%5"/>
      <w:lvlJc w:val="left"/>
      <w:pPr>
        <w:ind w:left="40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25E1C04">
      <w:start w:val="1"/>
      <w:numFmt w:val="lowerRoman"/>
      <w:lvlText w:val="%6"/>
      <w:lvlJc w:val="left"/>
      <w:pPr>
        <w:ind w:left="47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9B695DE">
      <w:start w:val="1"/>
      <w:numFmt w:val="decimal"/>
      <w:lvlText w:val="%7"/>
      <w:lvlJc w:val="left"/>
      <w:pPr>
        <w:ind w:left="54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1E8E2D8">
      <w:start w:val="1"/>
      <w:numFmt w:val="lowerLetter"/>
      <w:lvlText w:val="%8"/>
      <w:lvlJc w:val="left"/>
      <w:pPr>
        <w:ind w:left="62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3EA0704">
      <w:start w:val="1"/>
      <w:numFmt w:val="lowerRoman"/>
      <w:lvlText w:val="%9"/>
      <w:lvlJc w:val="left"/>
      <w:pPr>
        <w:ind w:left="69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54A0614"/>
    <w:multiLevelType w:val="hybridMultilevel"/>
    <w:tmpl w:val="DC322186"/>
    <w:lvl w:ilvl="0" w:tplc="8B2A570E">
      <w:start w:val="1"/>
      <w:numFmt w:val="lowerLetter"/>
      <w:lvlText w:val="%1."/>
      <w:lvlJc w:val="left"/>
      <w:pPr>
        <w:ind w:left="162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CF0B63E">
      <w:start w:val="1"/>
      <w:numFmt w:val="lowerLetter"/>
      <w:lvlText w:val="%2"/>
      <w:lvlJc w:val="left"/>
      <w:pPr>
        <w:ind w:left="235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1B3E6736">
      <w:start w:val="1"/>
      <w:numFmt w:val="lowerRoman"/>
      <w:lvlText w:val="%3"/>
      <w:lvlJc w:val="left"/>
      <w:pPr>
        <w:ind w:left="307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F0CA0748">
      <w:start w:val="1"/>
      <w:numFmt w:val="decimal"/>
      <w:lvlText w:val="%4"/>
      <w:lvlJc w:val="left"/>
      <w:pPr>
        <w:ind w:left="379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CAE2CB78">
      <w:start w:val="1"/>
      <w:numFmt w:val="lowerLetter"/>
      <w:lvlText w:val="%5"/>
      <w:lvlJc w:val="left"/>
      <w:pPr>
        <w:ind w:left="451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72409BE2">
      <w:start w:val="1"/>
      <w:numFmt w:val="lowerRoman"/>
      <w:lvlText w:val="%6"/>
      <w:lvlJc w:val="left"/>
      <w:pPr>
        <w:ind w:left="523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D03624E8">
      <w:start w:val="1"/>
      <w:numFmt w:val="decimal"/>
      <w:lvlText w:val="%7"/>
      <w:lvlJc w:val="left"/>
      <w:pPr>
        <w:ind w:left="595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1DA235EE">
      <w:start w:val="1"/>
      <w:numFmt w:val="lowerLetter"/>
      <w:lvlText w:val="%8"/>
      <w:lvlJc w:val="left"/>
      <w:pPr>
        <w:ind w:left="667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791211F6">
      <w:start w:val="1"/>
      <w:numFmt w:val="lowerRoman"/>
      <w:lvlText w:val="%9"/>
      <w:lvlJc w:val="left"/>
      <w:pPr>
        <w:ind w:left="739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C1B1A47"/>
    <w:multiLevelType w:val="hybridMultilevel"/>
    <w:tmpl w:val="7450815C"/>
    <w:lvl w:ilvl="0" w:tplc="473677A0">
      <w:start w:val="1"/>
      <w:numFmt w:val="lowerLetter"/>
      <w:lvlText w:val="%1."/>
      <w:lvlJc w:val="left"/>
      <w:pPr>
        <w:ind w:left="162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9454EA88">
      <w:start w:val="1"/>
      <w:numFmt w:val="lowerLetter"/>
      <w:lvlText w:val="%2"/>
      <w:lvlJc w:val="left"/>
      <w:pPr>
        <w:ind w:left="235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F01889AA">
      <w:start w:val="1"/>
      <w:numFmt w:val="lowerRoman"/>
      <w:lvlText w:val="%3"/>
      <w:lvlJc w:val="left"/>
      <w:pPr>
        <w:ind w:left="307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C4269D9A">
      <w:start w:val="1"/>
      <w:numFmt w:val="decimal"/>
      <w:lvlText w:val="%4"/>
      <w:lvlJc w:val="left"/>
      <w:pPr>
        <w:ind w:left="379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B8369604">
      <w:start w:val="1"/>
      <w:numFmt w:val="lowerLetter"/>
      <w:lvlText w:val="%5"/>
      <w:lvlJc w:val="left"/>
      <w:pPr>
        <w:ind w:left="451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813433DC">
      <w:start w:val="1"/>
      <w:numFmt w:val="lowerRoman"/>
      <w:lvlText w:val="%6"/>
      <w:lvlJc w:val="left"/>
      <w:pPr>
        <w:ind w:left="523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D1E021BC">
      <w:start w:val="1"/>
      <w:numFmt w:val="decimal"/>
      <w:lvlText w:val="%7"/>
      <w:lvlJc w:val="left"/>
      <w:pPr>
        <w:ind w:left="595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B0460CF0">
      <w:start w:val="1"/>
      <w:numFmt w:val="lowerLetter"/>
      <w:lvlText w:val="%8"/>
      <w:lvlJc w:val="left"/>
      <w:pPr>
        <w:ind w:left="667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AEBCE662">
      <w:start w:val="1"/>
      <w:numFmt w:val="lowerRoman"/>
      <w:lvlText w:val="%9"/>
      <w:lvlJc w:val="left"/>
      <w:pPr>
        <w:ind w:left="739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9A322F7"/>
    <w:multiLevelType w:val="hybridMultilevel"/>
    <w:tmpl w:val="0F72C6F4"/>
    <w:lvl w:ilvl="0" w:tplc="3A4CCB0C">
      <w:start w:val="1"/>
      <w:numFmt w:val="lowerLetter"/>
      <w:lvlText w:val="%1."/>
      <w:lvlJc w:val="left"/>
      <w:pPr>
        <w:ind w:left="162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F8E181C">
      <w:start w:val="1"/>
      <w:numFmt w:val="lowerLetter"/>
      <w:lvlText w:val="%2"/>
      <w:lvlJc w:val="left"/>
      <w:pPr>
        <w:ind w:left="235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4104AFFA">
      <w:start w:val="1"/>
      <w:numFmt w:val="lowerRoman"/>
      <w:lvlText w:val="%3"/>
      <w:lvlJc w:val="left"/>
      <w:pPr>
        <w:ind w:left="307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88C8D100">
      <w:start w:val="1"/>
      <w:numFmt w:val="decimal"/>
      <w:lvlText w:val="%4"/>
      <w:lvlJc w:val="left"/>
      <w:pPr>
        <w:ind w:left="379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69B482DE">
      <w:start w:val="1"/>
      <w:numFmt w:val="lowerLetter"/>
      <w:lvlText w:val="%5"/>
      <w:lvlJc w:val="left"/>
      <w:pPr>
        <w:ind w:left="451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EE4697A8">
      <w:start w:val="1"/>
      <w:numFmt w:val="lowerRoman"/>
      <w:lvlText w:val="%6"/>
      <w:lvlJc w:val="left"/>
      <w:pPr>
        <w:ind w:left="523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A8263A8C">
      <w:start w:val="1"/>
      <w:numFmt w:val="decimal"/>
      <w:lvlText w:val="%7"/>
      <w:lvlJc w:val="left"/>
      <w:pPr>
        <w:ind w:left="595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76EA9142">
      <w:start w:val="1"/>
      <w:numFmt w:val="lowerLetter"/>
      <w:lvlText w:val="%8"/>
      <w:lvlJc w:val="left"/>
      <w:pPr>
        <w:ind w:left="667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3ED60E56">
      <w:start w:val="1"/>
      <w:numFmt w:val="lowerRoman"/>
      <w:lvlText w:val="%9"/>
      <w:lvlJc w:val="left"/>
      <w:pPr>
        <w:ind w:left="739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34B"/>
    <w:rsid w:val="000A36AC"/>
    <w:rsid w:val="00185057"/>
    <w:rsid w:val="00286FB4"/>
    <w:rsid w:val="006B3A9A"/>
    <w:rsid w:val="00B941B3"/>
    <w:rsid w:val="00C33CE7"/>
    <w:rsid w:val="00FB0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8EBCA"/>
  <w15:docId w15:val="{4AB9CB06-A4E7-430B-BD19-251BE559D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90" w:lineRule="auto"/>
      <w:ind w:left="371"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0"/>
      <w:ind w:left="1"/>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39"/>
      <w:ind w:left="11" w:hanging="10"/>
      <w:outlineLvl w:val="1"/>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rPr>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rsid w:val="00C33CE7"/>
    <w:pPr>
      <w:tabs>
        <w:tab w:val="center" w:pos="4153"/>
        <w:tab w:val="right" w:pos="8306"/>
      </w:tabs>
      <w:spacing w:after="0" w:line="240" w:lineRule="auto"/>
      <w:ind w:left="0" w:firstLine="0"/>
    </w:pPr>
    <w:rPr>
      <w:rFonts w:ascii="Times New Roman" w:eastAsia="Times New Roman" w:hAnsi="Times New Roman" w:cs="Times New Roman"/>
      <w:color w:val="auto"/>
      <w:sz w:val="24"/>
      <w:szCs w:val="24"/>
      <w:lang w:val="en-NZ" w:eastAsia="en-NZ"/>
    </w:rPr>
  </w:style>
  <w:style w:type="character" w:customStyle="1" w:styleId="HeaderChar">
    <w:name w:val="Header Char"/>
    <w:basedOn w:val="DefaultParagraphFont"/>
    <w:link w:val="Header"/>
    <w:uiPriority w:val="99"/>
    <w:rsid w:val="00C33CE7"/>
    <w:rPr>
      <w:rFonts w:ascii="Times New Roman" w:eastAsia="Times New Roman" w:hAnsi="Times New Roman" w:cs="Times New Roman"/>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580</Words>
  <Characters>3309</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Board, Directors and Senior Management Performance Evaluation Policy </vt:lpstr>
      <vt:lpstr>    1. Objective </vt:lpstr>
      <vt:lpstr>    2. Board Renewal and Succession Planning  </vt:lpstr>
      <vt:lpstr>    3. Board Performance Evaluations </vt:lpstr>
      <vt:lpstr>    4. Senior Management Performance Evaluations  </vt:lpstr>
      <vt:lpstr>    5. Process review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Pelling</dc:creator>
  <cp:keywords/>
  <cp:lastModifiedBy>Libert Ganja</cp:lastModifiedBy>
  <cp:revision>10</cp:revision>
  <dcterms:created xsi:type="dcterms:W3CDTF">2020-10-04T16:58:00Z</dcterms:created>
  <dcterms:modified xsi:type="dcterms:W3CDTF">2021-01-17T19:00:00Z</dcterms:modified>
</cp:coreProperties>
</file>