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AD4" w:rsidRDefault="00563AD4" w:rsidP="00F71C2F">
      <w:pPr>
        <w:ind w:firstLine="0"/>
        <w:contextualSpacing/>
        <w:jc w:val="center"/>
      </w:pPr>
    </w:p>
    <w:p w:rsidR="00563AD4" w:rsidRDefault="00563AD4" w:rsidP="00F71C2F">
      <w:pPr>
        <w:ind w:firstLine="0"/>
        <w:contextualSpacing/>
        <w:jc w:val="center"/>
      </w:pPr>
    </w:p>
    <w:p w:rsidR="00563AD4" w:rsidRDefault="00563AD4" w:rsidP="00F71C2F">
      <w:pPr>
        <w:ind w:firstLine="0"/>
        <w:contextualSpacing/>
        <w:jc w:val="center"/>
      </w:pPr>
    </w:p>
    <w:p w:rsidR="00563AD4" w:rsidRDefault="00563AD4" w:rsidP="00F71C2F">
      <w:pPr>
        <w:ind w:firstLine="0"/>
        <w:contextualSpacing/>
        <w:jc w:val="center"/>
      </w:pPr>
    </w:p>
    <w:p w:rsidR="00563AD4" w:rsidRPr="00450F58" w:rsidRDefault="00563AD4" w:rsidP="00F71C2F">
      <w:pPr>
        <w:ind w:firstLine="0"/>
        <w:contextualSpacing/>
        <w:jc w:val="center"/>
        <w:rPr>
          <w:b/>
        </w:rPr>
      </w:pPr>
      <w:r>
        <w:rPr>
          <w:b/>
        </w:rPr>
        <w:t>Human Computer Interaction a</w:t>
      </w:r>
      <w:r w:rsidRPr="002523E1">
        <w:rPr>
          <w:b/>
        </w:rPr>
        <w:t>nd Design Process</w:t>
      </w:r>
    </w:p>
    <w:p w:rsidR="00563AD4" w:rsidRDefault="00563AD4" w:rsidP="00F71C2F">
      <w:pPr>
        <w:ind w:firstLine="0"/>
        <w:contextualSpacing/>
        <w:jc w:val="center"/>
      </w:pPr>
    </w:p>
    <w:p w:rsidR="00563AD4" w:rsidRDefault="00563AD4" w:rsidP="00F71C2F">
      <w:pPr>
        <w:ind w:firstLine="0"/>
        <w:contextualSpacing/>
        <w:jc w:val="center"/>
      </w:pPr>
      <w:r>
        <w:t>Dwayne Barron</w:t>
      </w:r>
    </w:p>
    <w:p w:rsidR="00563AD4" w:rsidRDefault="00563AD4" w:rsidP="00F71C2F">
      <w:pPr>
        <w:ind w:firstLine="0"/>
        <w:contextualSpacing/>
        <w:jc w:val="center"/>
      </w:pPr>
      <w:r>
        <w:t>Trident University International</w:t>
      </w:r>
    </w:p>
    <w:p w:rsidR="00563AD4" w:rsidRDefault="00563AD4" w:rsidP="00F71C2F">
      <w:pPr>
        <w:ind w:firstLine="0"/>
        <w:contextualSpacing/>
        <w:jc w:val="center"/>
      </w:pPr>
      <w:r>
        <w:t>ITM 433: Human Computer Interaction</w:t>
      </w:r>
    </w:p>
    <w:p w:rsidR="00563AD4" w:rsidRDefault="00563AD4" w:rsidP="00F71C2F">
      <w:pPr>
        <w:ind w:firstLine="0"/>
        <w:contextualSpacing/>
        <w:jc w:val="center"/>
      </w:pPr>
      <w:r>
        <w:t>Dr. Thomas</w:t>
      </w:r>
    </w:p>
    <w:p w:rsidR="00563AD4" w:rsidRDefault="00563AD4" w:rsidP="00F71C2F">
      <w:pPr>
        <w:ind w:firstLine="0"/>
        <w:contextualSpacing/>
        <w:jc w:val="center"/>
      </w:pPr>
      <w:r>
        <w:t>May 26, 2024</w:t>
      </w:r>
    </w:p>
    <w:p w:rsidR="00563AD4" w:rsidRDefault="00563AD4" w:rsidP="00F71C2F">
      <w:pPr>
        <w:contextualSpacing/>
      </w:pPr>
      <w:r>
        <w:br w:type="page"/>
      </w:r>
    </w:p>
    <w:p w:rsidR="00563AD4" w:rsidRPr="006A1ACB" w:rsidRDefault="00563AD4" w:rsidP="00F71C2F">
      <w:pPr>
        <w:ind w:firstLine="0"/>
        <w:contextualSpacing/>
        <w:jc w:val="center"/>
        <w:rPr>
          <w:b/>
        </w:rPr>
      </w:pPr>
      <w:r w:rsidRPr="002523E1">
        <w:rPr>
          <w:b/>
        </w:rPr>
        <w:lastRenderedPageBreak/>
        <w:t>Human Computer Interaction and Design Process</w:t>
      </w:r>
    </w:p>
    <w:p w:rsidR="001F56FA" w:rsidRDefault="009E26B9" w:rsidP="00F71C2F">
      <w:pPr>
        <w:contextualSpacing/>
      </w:pPr>
      <w:r w:rsidRPr="009E26B9">
        <w:t xml:space="preserve">Any given work area's social aspects could be impacted by specific workplace developments. One possible cause of these shifts is the introduction of new technological capabilities. </w:t>
      </w:r>
      <w:r w:rsidR="001475AD">
        <w:t>T</w:t>
      </w:r>
      <w:r w:rsidRPr="009E26B9">
        <w:t xml:space="preserve">he working environment, </w:t>
      </w:r>
      <w:r w:rsidR="001475AD" w:rsidRPr="009E26B9">
        <w:t xml:space="preserve">job content, </w:t>
      </w:r>
      <w:r w:rsidR="001475AD">
        <w:t>job satisfaction, p</w:t>
      </w:r>
      <w:r w:rsidR="001475AD" w:rsidRPr="009E26B9">
        <w:t>ersonnel policies, authority,</w:t>
      </w:r>
      <w:r w:rsidR="001475AD">
        <w:t xml:space="preserve"> and</w:t>
      </w:r>
      <w:r w:rsidR="001475AD" w:rsidRPr="009E26B9">
        <w:t xml:space="preserve"> </w:t>
      </w:r>
      <w:r w:rsidR="001475AD">
        <w:t>influence</w:t>
      </w:r>
      <w:r w:rsidRPr="009E26B9">
        <w:t xml:space="preserve"> are the primary factors that could be </w:t>
      </w:r>
      <w:r w:rsidR="001475AD">
        <w:t>affected</w:t>
      </w:r>
      <w:r w:rsidRPr="009E26B9">
        <w:t xml:space="preserve"> by </w:t>
      </w:r>
      <w:r w:rsidR="001475AD">
        <w:t>these</w:t>
      </w:r>
      <w:r w:rsidRPr="009E26B9">
        <w:t xml:space="preserve"> </w:t>
      </w:r>
      <w:r w:rsidR="001475AD" w:rsidRPr="009E26B9">
        <w:t>modifications</w:t>
      </w:r>
      <w:r w:rsidRPr="009E26B9">
        <w:t xml:space="preserve"> (National Academies of Sciences et al., 2017). Staff morale is impacted by these shifts, particularly in regard to the adoption of cutting-edge IT systems. Because technology often has a major impact on many parts of employment, attitudes towards new technological advances might be positive or negative (National Academies of Sciences et al., 2017). A person's attitude manifests itself in their bodily or mental reactions. Alterations in one's physical demeanor can manifest as an increase or decrease in effort. The employees' mental health is impacted by these alterations. According to Hook (2018), feelings cannot exist in a vacuum. They have a role in how our bodies react as well. Feelings of anger or happiness may accompany such transformations. Changes to social factors, such as the workplace and personnel policies, may elicit either opposition or compliance. As a result of social considerations, such as less group work and increased scrutiny of your workstation's accuracy, efficiency, and speed, organizations should anticipate changes brought </w:t>
      </w:r>
      <w:r>
        <w:t>about by the technology changes</w:t>
      </w:r>
      <w:r w:rsidR="00F71C2F">
        <w:t>.</w:t>
      </w:r>
    </w:p>
    <w:p w:rsidR="00F71C2F" w:rsidRDefault="009E26B9" w:rsidP="00F71C2F">
      <w:pPr>
        <w:contextualSpacing/>
      </w:pPr>
      <w:r w:rsidRPr="009E26B9">
        <w:t xml:space="preserve">Due to the apparent cerebral focus of technology, not all employees may experience these changes in the same way. A big factor in employees' views can be their desire to learn more about the technology and put in more effort. According to Abbas et al. (2014), workstation layouts may alter as a result of technological advancements, new policies may emerge, authority may be transferred between departments or persons, and employees' levels of satisfaction with their jobs may rise or fall. The work, the worker's surroundings, and the environment are all </w:t>
      </w:r>
      <w:r w:rsidRPr="009E26B9">
        <w:lastRenderedPageBreak/>
        <w:t>touched by these changes. As noted by Abbas et al. (2014), new technologies often try to boost productivity via modifying performance. Burnett and Scaffiddi (2018) point out that technology is both dynamic and occasionally difficult to understand. Once implemented in the office, employees will need to adapt to new technology, which can lead to a r</w:t>
      </w:r>
      <w:r>
        <w:t>ange of attitudes and reactions</w:t>
      </w:r>
      <w:r w:rsidR="00F71C2F">
        <w:t>.</w:t>
      </w:r>
    </w:p>
    <w:p w:rsidR="00F71C2F" w:rsidRDefault="009E26B9" w:rsidP="00F71C2F">
      <w:pPr>
        <w:contextualSpacing/>
      </w:pPr>
      <w:r w:rsidRPr="009E26B9">
        <w:t xml:space="preserve">A number of factors must be considered by the information worker prior to embracing new technology. Both the technology and the task at hand must be compatible with these considerations. </w:t>
      </w:r>
      <w:r>
        <w:t xml:space="preserve">According to Schmidt (2018), businesses must </w:t>
      </w:r>
      <w:r w:rsidRPr="009E26B9">
        <w:t xml:space="preserve">understand the user and their setting of use while introducing new systems. Additional factors to think about include security, which is the protection of information from outside influences. In addition to the production or return on investment, information workers must think about the installation and maintenance costs. Because technology strives to maximize productivity, with considerations like efficiency, safety, and speed being high priority, the long-term </w:t>
      </w:r>
      <w:r w:rsidR="00EE658E" w:rsidRPr="009E26B9">
        <w:t>advantage</w:t>
      </w:r>
      <w:r w:rsidRPr="009E26B9">
        <w:t xml:space="preserve"> of new innovations </w:t>
      </w:r>
      <w:r w:rsidR="00EE658E">
        <w:t>should be considered</w:t>
      </w:r>
      <w:r w:rsidR="00F71C2F">
        <w:t>.</w:t>
      </w:r>
    </w:p>
    <w:p w:rsidR="00F71C2F" w:rsidRDefault="00EE658E" w:rsidP="00F71C2F">
      <w:pPr>
        <w:contextualSpacing/>
      </w:pPr>
      <w:r w:rsidRPr="00EE658E">
        <w:t>The effectiveness of novel technologies must be measured and evaluated through frequent testing, especia</w:t>
      </w:r>
      <w:r>
        <w:t>lly when time is of the essence</w:t>
      </w:r>
      <w:r w:rsidR="009E26B9" w:rsidRPr="009E26B9">
        <w:t xml:space="preserve">. Employees' capacity to quickly adjust to new technology is another metric for measuring its success in meeting its stated goal of being user-friendly (National Academies of Sciences et al., 2017). While it is critical, assessing technology can be a complicated procedure that differs from company to company. Considerations like speed, safety, and efficiency can be applied to the perspective. Reliability is </w:t>
      </w:r>
      <w:r w:rsidR="00EB1BA3">
        <w:t xml:space="preserve">a </w:t>
      </w:r>
      <w:r w:rsidR="009E26B9" w:rsidRPr="009E26B9">
        <w:t xml:space="preserve">key </w:t>
      </w:r>
      <w:r w:rsidR="00EB1BA3">
        <w:t xml:space="preserve">factor </w:t>
      </w:r>
      <w:r w:rsidR="009E26B9" w:rsidRPr="009E26B9">
        <w:t>for an evaluation to generate trustworthy findings and valid conclusions regarding nece</w:t>
      </w:r>
      <w:r w:rsidR="009E26B9">
        <w:t>ssary technological adjustments</w:t>
      </w:r>
      <w:r w:rsidR="00F71C2F">
        <w:t>.</w:t>
      </w:r>
    </w:p>
    <w:p w:rsidR="00F71C2F" w:rsidRDefault="00F71C2F">
      <w:r>
        <w:br w:type="page"/>
      </w:r>
    </w:p>
    <w:p w:rsidR="00F71C2F" w:rsidRPr="00F71C2F" w:rsidRDefault="00F71C2F" w:rsidP="00F71C2F">
      <w:pPr>
        <w:ind w:left="720" w:hanging="720"/>
        <w:contextualSpacing/>
        <w:jc w:val="center"/>
        <w:rPr>
          <w:b/>
        </w:rPr>
      </w:pPr>
      <w:r w:rsidRPr="00F71C2F">
        <w:rPr>
          <w:b/>
        </w:rPr>
        <w:lastRenderedPageBreak/>
        <w:t>References</w:t>
      </w:r>
    </w:p>
    <w:p w:rsidR="001E48BF" w:rsidRDefault="001E48BF" w:rsidP="00F71C2F">
      <w:pPr>
        <w:ind w:left="720" w:hanging="720"/>
        <w:contextualSpacing/>
      </w:pPr>
      <w:r w:rsidRPr="00F71C2F">
        <w:t>Abbas, J., Muzaffar, A., Mahmood, H. K., Ramzan, M. A., &amp; Rizvi, S. S. U. H. (2014). Impact of technology on performance of employees (a case study on Allied Bank Ltd, Pakistan). </w:t>
      </w:r>
      <w:r w:rsidRPr="00F71C2F">
        <w:rPr>
          <w:i/>
          <w:iCs/>
        </w:rPr>
        <w:t>World applied sciences journal</w:t>
      </w:r>
      <w:r w:rsidRPr="00F71C2F">
        <w:t>, </w:t>
      </w:r>
      <w:r w:rsidRPr="00F71C2F">
        <w:rPr>
          <w:i/>
          <w:iCs/>
        </w:rPr>
        <w:t>29</w:t>
      </w:r>
      <w:r w:rsidR="005E20CF">
        <w:t>(2), 271-276</w:t>
      </w:r>
      <w:bookmarkStart w:id="0" w:name="_GoBack"/>
      <w:bookmarkEnd w:id="0"/>
    </w:p>
    <w:p w:rsidR="001E48BF" w:rsidRDefault="001E48BF" w:rsidP="00F71C2F">
      <w:pPr>
        <w:ind w:left="720" w:hanging="720"/>
        <w:contextualSpacing/>
      </w:pPr>
      <w:r w:rsidRPr="00F71C2F">
        <w:t xml:space="preserve">Burnett, M., &amp; Scaffiddi, C. (2018). </w:t>
      </w:r>
      <w:r w:rsidRPr="00F71C2F">
        <w:rPr>
          <w:i/>
        </w:rPr>
        <w:t>End-user development. The Encyclopedia of Human– computer Interaction, 2nd Ed. Interaction</w:t>
      </w:r>
      <w:r w:rsidRPr="00F71C2F">
        <w:t>. Design Foundation. Retrieved from https://www.interaction-design.org/literature/book/the-encyclopedia-of-humancomputer-interaction-2nd-ed/end-user-development</w:t>
      </w:r>
    </w:p>
    <w:p w:rsidR="001E48BF" w:rsidRDefault="001E48BF" w:rsidP="00F71C2F">
      <w:pPr>
        <w:ind w:left="720" w:hanging="720"/>
        <w:contextualSpacing/>
      </w:pPr>
      <w:r w:rsidRPr="00F71C2F">
        <w:t xml:space="preserve">Hook, C. (2018). </w:t>
      </w:r>
      <w:r w:rsidRPr="00F71C2F">
        <w:rPr>
          <w:i/>
        </w:rPr>
        <w:t>Affective computing. The Encyclopedia of Human-computer Interaction, 2nd Ed. Interaction</w:t>
      </w:r>
      <w:r w:rsidRPr="00F71C2F">
        <w:t>. Design Foundation. Retrieved from https://www.interactiondesign.org/literature/book/the-encyclopedia-of-human-computer-interaction-2nded/affective-computing</w:t>
      </w:r>
    </w:p>
    <w:p w:rsidR="001E48BF" w:rsidRDefault="001E48BF" w:rsidP="001E48BF">
      <w:pPr>
        <w:ind w:left="720" w:hanging="720"/>
        <w:contextualSpacing/>
      </w:pPr>
      <w:r w:rsidRPr="001E48BF">
        <w:t>National Academies of Sciences, Division on Engineering, Physical Sciences, Computer Science, Telecommunications Board, Committee on Information Technology, &amp; the US Workforce. (2017). </w:t>
      </w:r>
      <w:r w:rsidRPr="001E48BF">
        <w:rPr>
          <w:i/>
          <w:iCs/>
        </w:rPr>
        <w:t>Information technology and the US Workforce: Where are we and where do we go from here?</w:t>
      </w:r>
      <w:r w:rsidRPr="001E48BF">
        <w:t>. National Academies Press.</w:t>
      </w:r>
    </w:p>
    <w:p w:rsidR="001E48BF" w:rsidRDefault="001E48BF" w:rsidP="00F71C2F">
      <w:pPr>
        <w:ind w:left="720" w:hanging="720"/>
        <w:contextualSpacing/>
      </w:pPr>
      <w:r w:rsidRPr="00F71C2F">
        <w:t xml:space="preserve">Schmidt, A. (2018). </w:t>
      </w:r>
      <w:r w:rsidRPr="00F71C2F">
        <w:rPr>
          <w:i/>
        </w:rPr>
        <w:t>Context-aware computing. The Encyclopedia of Human–computer Interaction, 2nd Ed. Interaction</w:t>
      </w:r>
      <w:r w:rsidRPr="00F71C2F">
        <w:t xml:space="preserve">. Design Foundation. Retrieved from </w:t>
      </w:r>
      <w:r w:rsidRPr="001E48BF">
        <w:t>https://www.interaction-design.org/literature/book/the-encyclopedia-of-human-computer-interaction-2nd-ed/context-aware-computing-context-awareness-context-aware-user-interfaces-and-implicit-interaction</w:t>
      </w:r>
    </w:p>
    <w:sectPr w:rsidR="001E48BF">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C27" w:rsidRDefault="00372C27" w:rsidP="00563AD4">
      <w:pPr>
        <w:spacing w:after="0" w:line="240" w:lineRule="auto"/>
      </w:pPr>
      <w:r>
        <w:separator/>
      </w:r>
    </w:p>
  </w:endnote>
  <w:endnote w:type="continuationSeparator" w:id="0">
    <w:p w:rsidR="00372C27" w:rsidRDefault="00372C27" w:rsidP="00563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C27" w:rsidRDefault="00372C27" w:rsidP="00563AD4">
      <w:pPr>
        <w:spacing w:after="0" w:line="240" w:lineRule="auto"/>
      </w:pPr>
      <w:r>
        <w:separator/>
      </w:r>
    </w:p>
  </w:footnote>
  <w:footnote w:type="continuationSeparator" w:id="0">
    <w:p w:rsidR="00372C27" w:rsidRDefault="00372C27" w:rsidP="00563A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232855"/>
      <w:docPartObj>
        <w:docPartGallery w:val="Page Numbers (Top of Page)"/>
        <w:docPartUnique/>
      </w:docPartObj>
    </w:sdtPr>
    <w:sdtEndPr>
      <w:rPr>
        <w:noProof/>
      </w:rPr>
    </w:sdtEndPr>
    <w:sdtContent>
      <w:p w:rsidR="00563AD4" w:rsidRDefault="00563AD4" w:rsidP="00563AD4">
        <w:pPr>
          <w:pStyle w:val="Header"/>
          <w:jc w:val="right"/>
        </w:pPr>
        <w:r>
          <w:fldChar w:fldCharType="begin"/>
        </w:r>
        <w:r>
          <w:instrText xml:space="preserve"> PAGE   \* MERGEFORMAT </w:instrText>
        </w:r>
        <w:r>
          <w:fldChar w:fldCharType="separate"/>
        </w:r>
        <w:r w:rsidR="005E20CF">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AD4"/>
    <w:rsid w:val="001475AD"/>
    <w:rsid w:val="001E48BF"/>
    <w:rsid w:val="00372C27"/>
    <w:rsid w:val="003F27BE"/>
    <w:rsid w:val="00563AD4"/>
    <w:rsid w:val="00585BA9"/>
    <w:rsid w:val="005E20CF"/>
    <w:rsid w:val="006B2435"/>
    <w:rsid w:val="007159D1"/>
    <w:rsid w:val="009E26B9"/>
    <w:rsid w:val="00C3576B"/>
    <w:rsid w:val="00DB1EE7"/>
    <w:rsid w:val="00EB1BA3"/>
    <w:rsid w:val="00EE658E"/>
    <w:rsid w:val="00F71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00" w:afterAutospacing="1"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A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AD4"/>
  </w:style>
  <w:style w:type="paragraph" w:styleId="Footer">
    <w:name w:val="footer"/>
    <w:basedOn w:val="Normal"/>
    <w:link w:val="FooterChar"/>
    <w:uiPriority w:val="99"/>
    <w:unhideWhenUsed/>
    <w:rsid w:val="00563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AD4"/>
  </w:style>
  <w:style w:type="character" w:styleId="Hyperlink">
    <w:name w:val="Hyperlink"/>
    <w:basedOn w:val="DefaultParagraphFont"/>
    <w:uiPriority w:val="99"/>
    <w:unhideWhenUsed/>
    <w:rsid w:val="00F71C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00" w:afterAutospacing="1"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A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AD4"/>
  </w:style>
  <w:style w:type="paragraph" w:styleId="Footer">
    <w:name w:val="footer"/>
    <w:basedOn w:val="Normal"/>
    <w:link w:val="FooterChar"/>
    <w:uiPriority w:val="99"/>
    <w:unhideWhenUsed/>
    <w:rsid w:val="00563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AD4"/>
  </w:style>
  <w:style w:type="character" w:styleId="Hyperlink">
    <w:name w:val="Hyperlink"/>
    <w:basedOn w:val="DefaultParagraphFont"/>
    <w:uiPriority w:val="99"/>
    <w:unhideWhenUsed/>
    <w:rsid w:val="00F71C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dcterms:created xsi:type="dcterms:W3CDTF">2024-05-26T00:24:00Z</dcterms:created>
  <dcterms:modified xsi:type="dcterms:W3CDTF">2024-09-02T18:26:00Z</dcterms:modified>
</cp:coreProperties>
</file>