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Terms &amp; Conditions:-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vehicles stored at Lakes &amp; Bay storage, Deerslet, Burton are subject to these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Provider” is - Richard Lawson &amp; Son, trading as Lakes and Bay storage.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Owner” is - the customer and signatory of these terms &amp; conditions.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Vehicle” is the owner’s caravan, car, campervan, motorhome, boat, trailer, motorbike, or any other vehicle agreed upon at the time of booking.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premises” refers to the indoor storage area and outdoor areas within the secured perimeter of the property.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Storage prices are per annum. Storage provision is renewed annually. The provider can cancel storage provision with 28 days' notice, by email, phone, e-message, in person or in writing.</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provider may change the provision and prices and/or update terms &amp; conditions with 28 days' notice.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The owner’s account must be up to date before the removal of the vehicle from the premises.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The provider accepts temporary custody of the vehicle, subject to payment by the owner for the agreed period of time.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The owner will insure their vehicle. The owner will give the provider a copy of their insurance policy and insurance provider details before they deliver the vehicle, and annually thereafter. All vehicles will be left at the owner's own risk, and the provider will accept no liability.</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owner should inform their insurance company of the location of their vehicle whilst stored at the premises.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provider will keep the vehicle secured at all times within the premises.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The owner will not leave valuables within the vehicles. Windows and doors should be closed and locked by the owner prior to storage.</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The owner will not leave gas containers within the vehicle or on the premises.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The owner must not leave hazardous substances on the premises.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owner must have legal ownership of the vehicle.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Access for the collection or drop-off of the vehicle is within advertised opening times and requires at least 24 hours' notice. Access outside of advertised opening times is at the provider's discretion.</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CCTV is operating on the premises, and the owner may be recorded, and recordings may be stored for security and safety reasons.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Storage spaces are not transferable to third parties.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This agreement is for the documented vehicle only.</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Vehicles should be in a well-maintained condition.</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No trading or advertising by the owner is permitted within the premises.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The vehicle must not be inhabited during the storage period.</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Minor repairs may be undertaken on the premises by the owner with consent from the provider. Major repairs of the vehicle must not be undertaken on the premises.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When terminating the agreement before the period agreed at the time of booking, payment must be made for the full agreed time. The owner needs to give notice to the provider 28 days before terminating the agreement.</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In the event of non-payment of the agreed vehicle storage charge, the provider will require a response to their correspondence within 28 days from the owner. If there is no response from the owner, the provider reserves the right to take possession of the vehicle unless and until the storage charge is paid in full. The provider will inform the owner by email and recorded mail.</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In the event of the owner not settling the outstanding fees after the provider has taken possession of the vehicle, the provider reserves the right to sell the vehicle. The provider will make all reasonable attempts to resolve this and will notify the owner prior to sale. The provider will take reasonable expenses and the outstanding storage fee from the sale and keep any monies remaining for the owner.</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The provider will keep the vehicle secure on the premises to the best of their ability; however, all risks cannot be completely eliminated.</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The provider will not be held liable for damage to the vehicle or its contents as a result of moving the vehicle unless it is a result of negligence as proven by the provider.</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The provider accepts no liability for damage to the vehicle by vermin. The provider will have a vermin control regime in place at all times.</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In the event of the owner damaging their vehicle and/or another vehicle on the premises. They must report it to the provider immediately.</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The provider reserves the right to refuse a vehicle for any reason. In the event of a refusal, a full refund will be given.</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There shall be no unauthorised access to the premises. Access is only for the owner by arrangement.</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In the event of damage to the vehicle whilst on the premises. The provider shall inform the owner immediately. If the owner believes they have a claim against the provider, the owner should send written details of their claim to the provider within 5 days of being informed.</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Any changes to the ownership of the vehicle whilst in storage should be sent to the provider by email in full detail.</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These terms &amp; conditions form part of the storage agreement between the owner of the vehicle and the provider.</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Completion of booking and payment by the vehicle owner confirms that the vehicle owner agrees to all the above terms and conditions.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