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252" w:type="dxa"/>
        <w:tblLook w:val="04A0" w:firstRow="1" w:lastRow="0" w:firstColumn="1" w:lastColumn="0" w:noHBand="0" w:noVBand="1"/>
      </w:tblPr>
      <w:tblGrid>
        <w:gridCol w:w="3204"/>
        <w:gridCol w:w="2952"/>
        <w:gridCol w:w="2952"/>
      </w:tblGrid>
      <w:tr w:rsidR="002121EF" w:rsidTr="002121EF">
        <w:tc>
          <w:tcPr>
            <w:tcW w:w="3204" w:type="dxa"/>
          </w:tcPr>
          <w:p w:rsidR="002121EF" w:rsidRDefault="002121EF">
            <w:r>
              <w:t>Negative Life event</w:t>
            </w:r>
          </w:p>
        </w:tc>
        <w:tc>
          <w:tcPr>
            <w:tcW w:w="2952" w:type="dxa"/>
          </w:tcPr>
          <w:p w:rsidR="002121EF" w:rsidRDefault="002121EF">
            <w:r>
              <w:t>Age at the time event took place/year</w:t>
            </w:r>
          </w:p>
        </w:tc>
        <w:tc>
          <w:tcPr>
            <w:tcW w:w="2952" w:type="dxa"/>
          </w:tcPr>
          <w:p w:rsidR="002121EF" w:rsidRDefault="002121EF">
            <w:r>
              <w:t>Feeling and Thoughts about it</w:t>
            </w:r>
          </w:p>
        </w:tc>
      </w:tr>
      <w:tr w:rsidR="002121EF" w:rsidTr="002121EF">
        <w:tc>
          <w:tcPr>
            <w:tcW w:w="3204" w:type="dxa"/>
          </w:tcPr>
          <w:p w:rsidR="002121EF" w:rsidRDefault="002121EF"/>
          <w:p w:rsidR="002121EF" w:rsidRDefault="002121EF"/>
          <w:p w:rsidR="002121EF" w:rsidRDefault="002121EF"/>
          <w:p w:rsidR="002121EF" w:rsidRDefault="002121EF"/>
        </w:tc>
        <w:tc>
          <w:tcPr>
            <w:tcW w:w="2952" w:type="dxa"/>
          </w:tcPr>
          <w:p w:rsidR="002121EF" w:rsidRDefault="002121EF"/>
        </w:tc>
        <w:tc>
          <w:tcPr>
            <w:tcW w:w="2952" w:type="dxa"/>
          </w:tcPr>
          <w:p w:rsidR="002121EF" w:rsidRDefault="002121EF"/>
        </w:tc>
      </w:tr>
      <w:tr w:rsidR="002121EF" w:rsidTr="002121EF">
        <w:tc>
          <w:tcPr>
            <w:tcW w:w="3204" w:type="dxa"/>
          </w:tcPr>
          <w:p w:rsidR="002121EF" w:rsidRDefault="002121EF"/>
          <w:p w:rsidR="002121EF" w:rsidRDefault="002121EF"/>
          <w:p w:rsidR="002121EF" w:rsidRDefault="002121EF"/>
          <w:p w:rsidR="002121EF" w:rsidRDefault="002121EF"/>
        </w:tc>
        <w:tc>
          <w:tcPr>
            <w:tcW w:w="2952" w:type="dxa"/>
          </w:tcPr>
          <w:p w:rsidR="002121EF" w:rsidRDefault="002121EF"/>
        </w:tc>
        <w:tc>
          <w:tcPr>
            <w:tcW w:w="2952" w:type="dxa"/>
          </w:tcPr>
          <w:p w:rsidR="002121EF" w:rsidRDefault="002121EF"/>
        </w:tc>
      </w:tr>
      <w:tr w:rsidR="002121EF" w:rsidTr="002121EF">
        <w:trPr>
          <w:trHeight w:val="79"/>
        </w:trPr>
        <w:tc>
          <w:tcPr>
            <w:tcW w:w="3204" w:type="dxa"/>
          </w:tcPr>
          <w:p w:rsidR="002121EF" w:rsidRDefault="002121EF"/>
          <w:p w:rsidR="002121EF" w:rsidRDefault="002121EF"/>
          <w:p w:rsidR="002121EF" w:rsidRDefault="002121EF"/>
          <w:p w:rsidR="002121EF" w:rsidRDefault="002121EF"/>
        </w:tc>
        <w:tc>
          <w:tcPr>
            <w:tcW w:w="2952" w:type="dxa"/>
          </w:tcPr>
          <w:p w:rsidR="002121EF" w:rsidRDefault="002121EF"/>
        </w:tc>
        <w:tc>
          <w:tcPr>
            <w:tcW w:w="2952" w:type="dxa"/>
          </w:tcPr>
          <w:p w:rsidR="002121EF" w:rsidRDefault="002121EF"/>
        </w:tc>
      </w:tr>
      <w:tr w:rsidR="002121EF" w:rsidTr="002121EF">
        <w:tc>
          <w:tcPr>
            <w:tcW w:w="3204" w:type="dxa"/>
          </w:tcPr>
          <w:p w:rsidR="002121EF" w:rsidRDefault="002121EF"/>
          <w:p w:rsidR="002121EF" w:rsidRDefault="002121EF"/>
          <w:p w:rsidR="002121EF" w:rsidRDefault="002121EF"/>
          <w:p w:rsidR="002121EF" w:rsidRDefault="002121EF"/>
        </w:tc>
        <w:tc>
          <w:tcPr>
            <w:tcW w:w="2952" w:type="dxa"/>
          </w:tcPr>
          <w:p w:rsidR="002121EF" w:rsidRDefault="002121EF"/>
        </w:tc>
        <w:tc>
          <w:tcPr>
            <w:tcW w:w="2952" w:type="dxa"/>
          </w:tcPr>
          <w:p w:rsidR="002121EF" w:rsidRDefault="002121EF"/>
        </w:tc>
      </w:tr>
      <w:tr w:rsidR="002121EF" w:rsidTr="002121EF">
        <w:tc>
          <w:tcPr>
            <w:tcW w:w="3204" w:type="dxa"/>
          </w:tcPr>
          <w:p w:rsidR="002121EF" w:rsidRDefault="002121EF"/>
          <w:p w:rsidR="002121EF" w:rsidRDefault="002121EF"/>
          <w:p w:rsidR="002121EF" w:rsidRDefault="002121EF"/>
          <w:p w:rsidR="002121EF" w:rsidRDefault="002121EF"/>
        </w:tc>
        <w:tc>
          <w:tcPr>
            <w:tcW w:w="2952" w:type="dxa"/>
          </w:tcPr>
          <w:p w:rsidR="002121EF" w:rsidRDefault="002121EF"/>
        </w:tc>
        <w:tc>
          <w:tcPr>
            <w:tcW w:w="2952" w:type="dxa"/>
          </w:tcPr>
          <w:p w:rsidR="002121EF" w:rsidRDefault="002121EF"/>
        </w:tc>
      </w:tr>
      <w:tr w:rsidR="002121EF" w:rsidTr="002121EF">
        <w:tc>
          <w:tcPr>
            <w:tcW w:w="3204" w:type="dxa"/>
          </w:tcPr>
          <w:p w:rsidR="002121EF" w:rsidRDefault="002121EF"/>
          <w:p w:rsidR="002121EF" w:rsidRDefault="002121EF"/>
          <w:p w:rsidR="002121EF" w:rsidRDefault="002121EF"/>
          <w:p w:rsidR="002121EF" w:rsidRDefault="002121EF"/>
        </w:tc>
        <w:tc>
          <w:tcPr>
            <w:tcW w:w="2952" w:type="dxa"/>
          </w:tcPr>
          <w:p w:rsidR="002121EF" w:rsidRDefault="002121EF"/>
        </w:tc>
        <w:tc>
          <w:tcPr>
            <w:tcW w:w="2952" w:type="dxa"/>
          </w:tcPr>
          <w:p w:rsidR="002121EF" w:rsidRDefault="002121EF"/>
        </w:tc>
      </w:tr>
      <w:tr w:rsidR="002121EF" w:rsidTr="002121EF">
        <w:tc>
          <w:tcPr>
            <w:tcW w:w="3204" w:type="dxa"/>
          </w:tcPr>
          <w:p w:rsidR="002121EF" w:rsidRDefault="002121EF"/>
          <w:p w:rsidR="002121EF" w:rsidRDefault="002121EF"/>
          <w:p w:rsidR="002121EF" w:rsidRDefault="002121EF"/>
          <w:p w:rsidR="002121EF" w:rsidRDefault="002121EF"/>
        </w:tc>
        <w:tc>
          <w:tcPr>
            <w:tcW w:w="2952" w:type="dxa"/>
          </w:tcPr>
          <w:p w:rsidR="002121EF" w:rsidRDefault="002121EF"/>
        </w:tc>
        <w:tc>
          <w:tcPr>
            <w:tcW w:w="2952" w:type="dxa"/>
          </w:tcPr>
          <w:p w:rsidR="002121EF" w:rsidRDefault="002121EF"/>
        </w:tc>
      </w:tr>
      <w:tr w:rsidR="002121EF" w:rsidTr="002121EF">
        <w:tc>
          <w:tcPr>
            <w:tcW w:w="3204" w:type="dxa"/>
          </w:tcPr>
          <w:p w:rsidR="002121EF" w:rsidRDefault="002121EF" w:rsidP="00744BB5"/>
          <w:p w:rsidR="002121EF" w:rsidRDefault="002121EF" w:rsidP="00744BB5"/>
          <w:p w:rsidR="002121EF" w:rsidRDefault="002121EF" w:rsidP="00744BB5"/>
          <w:p w:rsidR="002121EF" w:rsidRDefault="002121EF" w:rsidP="00744BB5"/>
        </w:tc>
        <w:tc>
          <w:tcPr>
            <w:tcW w:w="2952" w:type="dxa"/>
          </w:tcPr>
          <w:p w:rsidR="002121EF" w:rsidRDefault="002121EF" w:rsidP="00744BB5"/>
        </w:tc>
        <w:tc>
          <w:tcPr>
            <w:tcW w:w="2952" w:type="dxa"/>
          </w:tcPr>
          <w:p w:rsidR="002121EF" w:rsidRDefault="002121EF" w:rsidP="00744BB5"/>
        </w:tc>
      </w:tr>
      <w:tr w:rsidR="002121EF" w:rsidTr="002121EF">
        <w:tc>
          <w:tcPr>
            <w:tcW w:w="3204" w:type="dxa"/>
          </w:tcPr>
          <w:p w:rsidR="002121EF" w:rsidRDefault="002121EF" w:rsidP="00744BB5"/>
          <w:p w:rsidR="002121EF" w:rsidRDefault="002121EF" w:rsidP="00744BB5"/>
          <w:p w:rsidR="002121EF" w:rsidRDefault="002121EF" w:rsidP="00744BB5"/>
          <w:p w:rsidR="002121EF" w:rsidRDefault="002121EF" w:rsidP="00744BB5"/>
        </w:tc>
        <w:tc>
          <w:tcPr>
            <w:tcW w:w="2952" w:type="dxa"/>
          </w:tcPr>
          <w:p w:rsidR="002121EF" w:rsidRDefault="002121EF" w:rsidP="00744BB5"/>
        </w:tc>
        <w:tc>
          <w:tcPr>
            <w:tcW w:w="2952" w:type="dxa"/>
          </w:tcPr>
          <w:p w:rsidR="002121EF" w:rsidRDefault="002121EF" w:rsidP="00744BB5"/>
        </w:tc>
      </w:tr>
      <w:tr w:rsidR="002121EF" w:rsidTr="002121EF">
        <w:trPr>
          <w:trHeight w:val="79"/>
        </w:trPr>
        <w:tc>
          <w:tcPr>
            <w:tcW w:w="3204" w:type="dxa"/>
          </w:tcPr>
          <w:p w:rsidR="002121EF" w:rsidRDefault="002121EF" w:rsidP="00744BB5"/>
          <w:p w:rsidR="002121EF" w:rsidRDefault="002121EF" w:rsidP="00744BB5"/>
          <w:p w:rsidR="002121EF" w:rsidRDefault="002121EF" w:rsidP="00744BB5"/>
          <w:p w:rsidR="002121EF" w:rsidRDefault="002121EF" w:rsidP="00744BB5"/>
        </w:tc>
        <w:tc>
          <w:tcPr>
            <w:tcW w:w="2952" w:type="dxa"/>
          </w:tcPr>
          <w:p w:rsidR="002121EF" w:rsidRDefault="002121EF" w:rsidP="00744BB5"/>
        </w:tc>
        <w:tc>
          <w:tcPr>
            <w:tcW w:w="2952" w:type="dxa"/>
          </w:tcPr>
          <w:p w:rsidR="002121EF" w:rsidRDefault="002121EF" w:rsidP="00744BB5"/>
        </w:tc>
      </w:tr>
    </w:tbl>
    <w:p w:rsidR="00002A4E" w:rsidRDefault="00002A4E"/>
    <w:p w:rsidR="002121EF" w:rsidRDefault="002121EF" w:rsidP="002121EF">
      <w:pPr>
        <w:outlineLvl w:val="0"/>
        <w:rPr>
          <w:rFonts w:ascii="Times" w:eastAsia="Times New Roman" w:hAnsi="Times" w:cs="Times New Roman"/>
          <w:color w:val="252525"/>
          <w:kern w:val="36"/>
          <w:sz w:val="45"/>
          <w:szCs w:val="45"/>
        </w:rPr>
      </w:pPr>
    </w:p>
    <w:p w:rsidR="002121EF" w:rsidRDefault="002121EF" w:rsidP="002121EF">
      <w:pPr>
        <w:outlineLvl w:val="0"/>
        <w:rPr>
          <w:rFonts w:ascii="Times" w:eastAsia="Times New Roman" w:hAnsi="Times" w:cs="Times New Roman"/>
          <w:color w:val="252525"/>
          <w:kern w:val="36"/>
          <w:sz w:val="45"/>
          <w:szCs w:val="45"/>
        </w:rPr>
      </w:pPr>
      <w:r w:rsidRPr="00184E43">
        <w:rPr>
          <w:rFonts w:ascii="Times" w:eastAsia="Times New Roman" w:hAnsi="Times" w:cs="Times New Roman"/>
          <w:color w:val="252525"/>
          <w:kern w:val="36"/>
          <w:sz w:val="45"/>
          <w:szCs w:val="45"/>
        </w:rPr>
        <w:lastRenderedPageBreak/>
        <w:t xml:space="preserve">Big “T” and </w:t>
      </w:r>
      <w:proofErr w:type="gramStart"/>
      <w:r w:rsidRPr="00184E43">
        <w:rPr>
          <w:rFonts w:ascii="Times" w:eastAsia="Times New Roman" w:hAnsi="Times" w:cs="Times New Roman"/>
          <w:color w:val="252525"/>
          <w:kern w:val="36"/>
          <w:sz w:val="45"/>
          <w:szCs w:val="45"/>
        </w:rPr>
        <w:t>Little</w:t>
      </w:r>
      <w:proofErr w:type="gramEnd"/>
      <w:r w:rsidRPr="00184E43">
        <w:rPr>
          <w:rFonts w:ascii="Times" w:eastAsia="Times New Roman" w:hAnsi="Times" w:cs="Times New Roman"/>
          <w:color w:val="252525"/>
          <w:kern w:val="36"/>
          <w:sz w:val="45"/>
          <w:szCs w:val="45"/>
        </w:rPr>
        <w:t xml:space="preserve"> “t” trauma</w:t>
      </w:r>
      <w:r>
        <w:rPr>
          <w:rFonts w:ascii="Times" w:eastAsia="Times New Roman" w:hAnsi="Times" w:cs="Times New Roman"/>
          <w:color w:val="252525"/>
          <w:kern w:val="36"/>
          <w:sz w:val="45"/>
          <w:szCs w:val="45"/>
        </w:rPr>
        <w:t>s</w:t>
      </w:r>
    </w:p>
    <w:p w:rsidR="002121EF" w:rsidRPr="00184E43" w:rsidRDefault="002121EF" w:rsidP="002121EF">
      <w:pPr>
        <w:outlineLvl w:val="0"/>
        <w:rPr>
          <w:rFonts w:ascii="Times" w:eastAsia="Times New Roman" w:hAnsi="Times" w:cs="Times New Roman"/>
          <w:color w:val="252525"/>
          <w:kern w:val="36"/>
          <w:sz w:val="45"/>
          <w:szCs w:val="45"/>
        </w:rPr>
      </w:pPr>
      <w:bookmarkStart w:id="0" w:name="_GoBack"/>
      <w:bookmarkEnd w:id="0"/>
    </w:p>
    <w:p w:rsidR="002121EF" w:rsidRPr="00184E43" w:rsidRDefault="002121EF" w:rsidP="002121EF">
      <w:pPr>
        <w:rPr>
          <w:rFonts w:ascii="Helvetica" w:hAnsi="Helvetica" w:cs="Times New Roman"/>
          <w:color w:val="252525"/>
          <w:sz w:val="27"/>
          <w:szCs w:val="27"/>
        </w:rPr>
      </w:pPr>
      <w:r w:rsidRPr="00184E43">
        <w:rPr>
          <w:rFonts w:ascii="Helvetica" w:eastAsia="Cambria" w:hAnsi="Helvetica" w:cs="Times New Roman"/>
          <w:color w:val="252525"/>
          <w:sz w:val="27"/>
          <w:szCs w:val="27"/>
        </w:rPr>
        <w:t>Most people associate trauma with harrowing events like war or a natural disaster. However, any distressing event that falls beyond the scope of normal human experience can be considered traumatic. Individuals who have experienced </w:t>
      </w:r>
      <w:r>
        <w:rPr>
          <w:rFonts w:ascii="Helvetica" w:eastAsia="Cambria" w:hAnsi="Helvetica" w:cs="Times New Roman"/>
          <w:color w:val="252525"/>
          <w:sz w:val="27"/>
          <w:szCs w:val="27"/>
        </w:rPr>
        <w:t xml:space="preserve">trauma </w:t>
      </w:r>
      <w:r w:rsidRPr="00184E43">
        <w:rPr>
          <w:rFonts w:ascii="Helvetica" w:eastAsia="Cambria" w:hAnsi="Helvetica" w:cs="Times New Roman"/>
          <w:color w:val="252525"/>
          <w:sz w:val="27"/>
          <w:szCs w:val="27"/>
        </w:rPr>
        <w:t>are at a much higher risk of developing addiction and substance use disorders, so it is important to understand the overall health implications.</w:t>
      </w:r>
    </w:p>
    <w:p w:rsidR="002121EF" w:rsidRPr="00184E43" w:rsidRDefault="002121EF" w:rsidP="002121EF">
      <w:pPr>
        <w:spacing w:after="120"/>
        <w:rPr>
          <w:rFonts w:ascii="Helvetica" w:eastAsia="Cambria" w:hAnsi="Helvetica" w:cs="Times New Roman"/>
          <w:color w:val="252525"/>
          <w:sz w:val="27"/>
          <w:szCs w:val="27"/>
        </w:rPr>
      </w:pPr>
      <w:r w:rsidRPr="00184E43">
        <w:rPr>
          <w:rFonts w:ascii="Helvetica" w:eastAsia="Cambria" w:hAnsi="Helvetica" w:cs="Times New Roman"/>
          <w:color w:val="252525"/>
          <w:sz w:val="27"/>
          <w:szCs w:val="27"/>
        </w:rPr>
        <w:br/>
        <w:t>There are two main categories of trauma commonly referred to as Big “T” and little “t.” Big “T” traumas are the events most commonly associated with post-traumatic stress disorder (PTSD) including serious injury, sexual violence, or life-threatening experiences. Threats of serious physical injury, death, or sexual violence can cause intense trauma even if the person is never </w:t>
      </w:r>
      <w:r w:rsidRPr="00184E43">
        <w:rPr>
          <w:rFonts w:ascii="Helvetica" w:eastAsia="Cambria" w:hAnsi="Helvetica" w:cs="Times New Roman"/>
          <w:i/>
          <w:iCs/>
          <w:color w:val="252525"/>
          <w:sz w:val="27"/>
          <w:szCs w:val="27"/>
        </w:rPr>
        <w:t>physically</w:t>
      </w:r>
      <w:r w:rsidRPr="00184E43">
        <w:rPr>
          <w:rFonts w:ascii="Helvetica" w:eastAsia="Cambria" w:hAnsi="Helvetica" w:cs="Times New Roman"/>
          <w:color w:val="252525"/>
          <w:sz w:val="27"/>
          <w:szCs w:val="27"/>
        </w:rPr>
        <w:t> harmed. Witnesses to big “T” events or people living and working in close proximity to trauma survivors are also vulnerable to PTSD, especially those who encounter emotional shock on a regular basis like paramedics, therapists, and police officers.</w:t>
      </w:r>
    </w:p>
    <w:p w:rsidR="002121EF" w:rsidRPr="00184E43" w:rsidRDefault="002121EF" w:rsidP="002121EF">
      <w:pPr>
        <w:spacing w:after="120"/>
        <w:rPr>
          <w:rFonts w:ascii="Helvetica" w:eastAsia="Cambria" w:hAnsi="Helvetica" w:cs="Times New Roman"/>
          <w:color w:val="252525"/>
          <w:sz w:val="27"/>
          <w:szCs w:val="27"/>
        </w:rPr>
      </w:pPr>
      <w:r w:rsidRPr="00184E43">
        <w:rPr>
          <w:rFonts w:ascii="Helvetica" w:eastAsia="Cambria" w:hAnsi="Helvetica" w:cs="Times New Roman"/>
          <w:color w:val="252525"/>
          <w:sz w:val="27"/>
          <w:szCs w:val="27"/>
        </w:rPr>
        <w:t xml:space="preserve">Little “t” traumas are highly distressing events that affect individuals on a personal level, but don’t fall into the big “T” category. Examples of little “t” trauma include non-life-threatening injuries, emotional abuse, </w:t>
      </w:r>
      <w:proofErr w:type="gramStart"/>
      <w:r w:rsidRPr="00184E43">
        <w:rPr>
          <w:rFonts w:ascii="Helvetica" w:eastAsia="Cambria" w:hAnsi="Helvetica" w:cs="Times New Roman"/>
          <w:color w:val="252525"/>
          <w:sz w:val="27"/>
          <w:szCs w:val="27"/>
        </w:rPr>
        <w:t>death</w:t>
      </w:r>
      <w:proofErr w:type="gramEnd"/>
      <w:r w:rsidRPr="00184E43">
        <w:rPr>
          <w:rFonts w:ascii="Helvetica" w:eastAsia="Cambria" w:hAnsi="Helvetica" w:cs="Times New Roman"/>
          <w:color w:val="252525"/>
          <w:sz w:val="27"/>
          <w:szCs w:val="27"/>
        </w:rPr>
        <w:t xml:space="preserve"> of a pet, bullying or harassment, and loss of significant relationships. People have unique capacities to handle stress, referred to as resilience, which impacts their ability to cope with trauma. What is highly distressing to one person may not cause the same emotional response in someone else, so the key to understanding little “t” trauma is to examine how it affects the individual rather than focusing on the event itself.</w:t>
      </w:r>
    </w:p>
    <w:p w:rsidR="002121EF" w:rsidRPr="00184E43" w:rsidRDefault="002121EF" w:rsidP="002121EF">
      <w:pPr>
        <w:spacing w:after="120"/>
        <w:rPr>
          <w:rFonts w:ascii="Helvetica" w:eastAsia="Cambria" w:hAnsi="Helvetica" w:cs="Times New Roman"/>
          <w:color w:val="252525"/>
          <w:sz w:val="27"/>
          <w:szCs w:val="27"/>
        </w:rPr>
      </w:pPr>
      <w:r w:rsidRPr="00184E43">
        <w:rPr>
          <w:rFonts w:ascii="Helvetica" w:eastAsia="Cambria" w:hAnsi="Helvetica" w:cs="Times New Roman"/>
          <w:color w:val="252525"/>
          <w:sz w:val="27"/>
          <w:szCs w:val="27"/>
        </w:rPr>
        <w:t xml:space="preserve">Although little “t” traumas may not meet the criteria for a PTSD diagnosis, these events can be extremely upsetting and cause significant emotional damage, particularly if an individual experiences more than one event or if these traumas occur during important periods of brain development like early childhood and adolescence. Evidence now concludes that repeated exposure to little “t” traumas </w:t>
      </w:r>
      <w:proofErr w:type="gramStart"/>
      <w:r w:rsidRPr="00184E43">
        <w:rPr>
          <w:rFonts w:ascii="Helvetica" w:eastAsia="Cambria" w:hAnsi="Helvetica" w:cs="Times New Roman"/>
          <w:color w:val="252525"/>
          <w:sz w:val="27"/>
          <w:szCs w:val="27"/>
        </w:rPr>
        <w:t>can</w:t>
      </w:r>
      <w:proofErr w:type="gramEnd"/>
      <w:r w:rsidRPr="00184E43">
        <w:rPr>
          <w:rFonts w:ascii="Helvetica" w:eastAsia="Cambria" w:hAnsi="Helvetica" w:cs="Times New Roman"/>
          <w:color w:val="252525"/>
          <w:sz w:val="27"/>
          <w:szCs w:val="27"/>
        </w:rPr>
        <w:t xml:space="preserve"> cause more emotional harm than exposure to a single big “T” traumatic event. Empathy and acceptance for the impact of little “t” traumas can be harder to garner because of the common misconception that these events are less significant than life-threatening emergencies. Minimizing the impact of these little “t” incidents can create adverse coping behaviors such as bottling up emotions or attempting to manage symptoms without support. Failing to address the emotional suffering of any traumatic event may lead to cumulative damage over time.</w:t>
      </w:r>
    </w:p>
    <w:p w:rsidR="002121EF" w:rsidRDefault="002121EF" w:rsidP="002121EF"/>
    <w:p w:rsidR="002121EF" w:rsidRDefault="002121EF"/>
    <w:sectPr w:rsidR="002121EF" w:rsidSect="00CF18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1EF"/>
    <w:rsid w:val="00002A4E"/>
    <w:rsid w:val="002121EF"/>
    <w:rsid w:val="00CF1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F72F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21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21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420</Words>
  <Characters>2399</Characters>
  <Application>Microsoft Macintosh Word</Application>
  <DocSecurity>0</DocSecurity>
  <Lines>19</Lines>
  <Paragraphs>5</Paragraphs>
  <ScaleCrop>false</ScaleCrop>
  <Company>WomenSPEAK Recovery Services</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Baty</dc:creator>
  <cp:keywords/>
  <dc:description/>
  <cp:lastModifiedBy>Sharon Baty</cp:lastModifiedBy>
  <cp:revision>1</cp:revision>
  <dcterms:created xsi:type="dcterms:W3CDTF">2017-07-14T06:28:00Z</dcterms:created>
  <dcterms:modified xsi:type="dcterms:W3CDTF">2017-07-14T06:38:00Z</dcterms:modified>
</cp:coreProperties>
</file>