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B5D" w14:textId="77777777" w:rsidR="00E23AD7" w:rsidRPr="00727933" w:rsidRDefault="00E23AD7" w:rsidP="00E23AD7">
      <w:pPr>
        <w:jc w:val="center"/>
        <w:rPr>
          <w:b/>
          <w:bCs/>
        </w:rPr>
      </w:pPr>
      <w:r w:rsidRPr="00727933">
        <w:rPr>
          <w:b/>
          <w:bCs/>
        </w:rPr>
        <w:t>Statewide Agricultural Preservation and Government Integrity Act</w:t>
      </w:r>
    </w:p>
    <w:p w14:paraId="4760E27B" w14:textId="77777777" w:rsidR="00E23AD7" w:rsidRDefault="00E23AD7"/>
    <w:p w14:paraId="6ADD5E66" w14:textId="77777777" w:rsidR="00E23AD7" w:rsidRDefault="00E23AD7">
      <w:r>
        <w:t>Preamble</w:t>
      </w:r>
    </w:p>
    <w:p w14:paraId="497B6777" w14:textId="77777777" w:rsidR="00E23AD7" w:rsidRDefault="00E23AD7"/>
    <w:p w14:paraId="1E3D162D" w14:textId="77777777" w:rsidR="00E23AD7" w:rsidRDefault="00E23AD7">
      <w:r>
        <w:t>Recognizing the vital importance of agriculture to the State’s heritage, economy, food security, environmental stability, and public welfare, this Act is enacted to permanently protect agricultural lands from conversion to residential or commercial development, to preserve such lands for present and future generations, and to ensure that land-use decisions are made transparently and solely in the public interest.</w:t>
      </w:r>
    </w:p>
    <w:p w14:paraId="172DCCB2" w14:textId="77777777" w:rsidR="00E23AD7" w:rsidRDefault="00E23AD7">
      <w:pPr>
        <w:pBdr>
          <w:bottom w:val="single" w:sz="6" w:space="1" w:color="auto"/>
        </w:pBdr>
      </w:pPr>
    </w:p>
    <w:p w14:paraId="53128368" w14:textId="77777777" w:rsidR="00E23AD7" w:rsidRDefault="00E23AD7"/>
    <w:p w14:paraId="5088B888" w14:textId="4073D9CD" w:rsidR="00E23AD7" w:rsidRDefault="00E23AD7">
      <w:r>
        <w:t>Legislative Findings</w:t>
      </w:r>
    </w:p>
    <w:p w14:paraId="5BCFBEE1" w14:textId="3777599A" w:rsidR="00E23AD7" w:rsidRDefault="00E23AD7">
      <w:r>
        <w:t>The Legislature hereby finds and declares that:</w:t>
      </w:r>
    </w:p>
    <w:p w14:paraId="25B3FDE7" w14:textId="3FB5F8BC" w:rsidR="00E23AD7" w:rsidRDefault="00E23AD7" w:rsidP="003945A0">
      <w:pPr>
        <w:pStyle w:val="ListParagraph"/>
        <w:numPr>
          <w:ilvl w:val="0"/>
          <w:numId w:val="1"/>
        </w:numPr>
      </w:pPr>
      <w:r>
        <w:t>Agriculture has been a foundational industry of this State for more than one hundred years and remains essential to economic stability, food security, and rural livelihoods.</w:t>
      </w:r>
    </w:p>
    <w:p w14:paraId="7578FA86" w14:textId="77777777" w:rsidR="003945A0" w:rsidRDefault="003945A0" w:rsidP="003945A0">
      <w:pPr>
        <w:pStyle w:val="ListParagraph"/>
      </w:pPr>
    </w:p>
    <w:p w14:paraId="30851834" w14:textId="6A9256BD" w:rsidR="003945A0" w:rsidRDefault="00E23AD7" w:rsidP="00DD5DF2">
      <w:pPr>
        <w:pStyle w:val="ListParagraph"/>
        <w:numPr>
          <w:ilvl w:val="0"/>
          <w:numId w:val="1"/>
        </w:numPr>
      </w:pPr>
      <w:r>
        <w:t>Citrus groves, cattle ranches, and working farmland provide direct employment to hundreds of thousands of residents and support numerous secondary industries, including processing, transportation, equipment supply, and distribution.</w:t>
      </w:r>
    </w:p>
    <w:p w14:paraId="50BE530E" w14:textId="77777777" w:rsidR="003945A0" w:rsidRDefault="003945A0" w:rsidP="003945A0">
      <w:pPr>
        <w:pStyle w:val="ListParagraph"/>
      </w:pPr>
    </w:p>
    <w:p w14:paraId="63918D5F" w14:textId="321C1C33" w:rsidR="00DD5DF2" w:rsidRDefault="00E23AD7" w:rsidP="00DD5DF2">
      <w:pPr>
        <w:pStyle w:val="ListParagraph"/>
        <w:numPr>
          <w:ilvl w:val="0"/>
          <w:numId w:val="1"/>
        </w:numPr>
      </w:pPr>
      <w:r>
        <w:t>The citrus industry in particular sustains major processing facilities and businesses that rely on the continued availability of locally grown agricultural products, and the loss of such land threatens widespread job loss and economic harm.</w:t>
      </w:r>
    </w:p>
    <w:p w14:paraId="77DF36C0" w14:textId="77777777" w:rsidR="00607E0E" w:rsidRDefault="00607E0E" w:rsidP="00607E0E"/>
    <w:p w14:paraId="066BC82F" w14:textId="51B2F212" w:rsidR="00E23AD7" w:rsidRDefault="00E23AD7" w:rsidP="00410480">
      <w:pPr>
        <w:pStyle w:val="ListParagraph"/>
        <w:numPr>
          <w:ilvl w:val="0"/>
          <w:numId w:val="1"/>
        </w:numPr>
      </w:pPr>
      <w:r>
        <w:t>The conversion of agricultural land to residential or commercial development results in permanent and irreversible loss of productive farmland.</w:t>
      </w:r>
    </w:p>
    <w:p w14:paraId="6FEB6D11" w14:textId="77777777" w:rsidR="00E23AD7" w:rsidRDefault="00E23AD7"/>
    <w:p w14:paraId="35C415A5" w14:textId="77777777" w:rsidR="00E23AD7" w:rsidRDefault="00E23AD7" w:rsidP="00E23AD7">
      <w:pPr>
        <w:pStyle w:val="ListParagraph"/>
        <w:numPr>
          <w:ilvl w:val="0"/>
          <w:numId w:val="1"/>
        </w:numPr>
      </w:pPr>
      <w:r>
        <w:t>Preserving agricultural land protects water resources, reduces infrastructure strain on local governments, mitigates flooding, and maintains open green space essential to environmental and public health.</w:t>
      </w:r>
    </w:p>
    <w:p w14:paraId="2F0D85DE" w14:textId="77777777" w:rsidR="00E23AD7" w:rsidRDefault="00E23AD7"/>
    <w:p w14:paraId="34D55DCE" w14:textId="77777777" w:rsidR="00E23AD7" w:rsidRDefault="00E23AD7" w:rsidP="00E23AD7">
      <w:pPr>
        <w:pStyle w:val="ListParagraph"/>
        <w:numPr>
          <w:ilvl w:val="0"/>
          <w:numId w:val="1"/>
        </w:numPr>
      </w:pPr>
      <w:r>
        <w:t>Rezoning decisions affecting agricultural land are often permanent in nature and may conflict with the long-term economic, environmental, and food-supply interests of the State as a whole.</w:t>
      </w:r>
    </w:p>
    <w:p w14:paraId="5B11C0D2" w14:textId="77777777" w:rsidR="00E23AD7" w:rsidRDefault="00E23AD7"/>
    <w:p w14:paraId="535CA747" w14:textId="173ADD65" w:rsidR="00E23AD7" w:rsidRDefault="00E23AD7" w:rsidP="00410480">
      <w:pPr>
        <w:pStyle w:val="ListParagraph"/>
        <w:numPr>
          <w:ilvl w:val="0"/>
          <w:numId w:val="1"/>
        </w:numPr>
      </w:pPr>
      <w:r>
        <w:t>It is therefore a legitimate, necessary, and compelling public purpose of the State to establish uniform protections to ensure agricultural lands remain available for farming and ranching for future generations.</w:t>
      </w:r>
    </w:p>
    <w:p w14:paraId="248A330D" w14:textId="77777777" w:rsidR="00E23AD7" w:rsidRDefault="00E23AD7">
      <w:pPr>
        <w:pBdr>
          <w:bottom w:val="single" w:sz="6" w:space="1" w:color="auto"/>
        </w:pBdr>
      </w:pPr>
    </w:p>
    <w:p w14:paraId="64D52E8C" w14:textId="77777777" w:rsidR="00E23AD7" w:rsidRDefault="00E23AD7"/>
    <w:p w14:paraId="5C9422F3" w14:textId="484C1F18" w:rsidR="00E23AD7" w:rsidRDefault="00E23AD7">
      <w:r>
        <w:t>Additional Legislative Findings — Transparency and Anti-Corruption</w:t>
      </w:r>
    </w:p>
    <w:p w14:paraId="36BCDEFA" w14:textId="2B51A66D" w:rsidR="00E23AD7" w:rsidRDefault="00E23AD7">
      <w:r>
        <w:t>The Legislature further finds and declares that:</w:t>
      </w:r>
    </w:p>
    <w:p w14:paraId="00526503" w14:textId="1C6E8B2E" w:rsidR="00E23AD7" w:rsidRDefault="00E23AD7" w:rsidP="00410480">
      <w:pPr>
        <w:pStyle w:val="ListParagraph"/>
        <w:numPr>
          <w:ilvl w:val="0"/>
          <w:numId w:val="1"/>
        </w:numPr>
      </w:pPr>
      <w:r>
        <w:t>The integrity of land-use and zoning decisions is essential to maintaining public trust in government.</w:t>
      </w:r>
    </w:p>
    <w:p w14:paraId="73F9C834" w14:textId="77777777" w:rsidR="00E23AD7" w:rsidRDefault="00E23AD7"/>
    <w:p w14:paraId="34F11D73" w14:textId="4E83E187" w:rsidR="00E23AD7" w:rsidRDefault="00E23AD7" w:rsidP="00410480">
      <w:pPr>
        <w:pStyle w:val="ListParagraph"/>
        <w:numPr>
          <w:ilvl w:val="0"/>
          <w:numId w:val="1"/>
        </w:numPr>
      </w:pPr>
      <w:r>
        <w:t>Agricultural land is uniquely vulnerable to undue influence due to the significant financial incentives associated with residential and commercial development.</w:t>
      </w:r>
    </w:p>
    <w:p w14:paraId="2103872B" w14:textId="77777777" w:rsidR="00E23AD7" w:rsidRDefault="00E23AD7"/>
    <w:p w14:paraId="07914528" w14:textId="2DD6C07C" w:rsidR="00E23AD7" w:rsidRDefault="00E23AD7" w:rsidP="00410480">
      <w:pPr>
        <w:pStyle w:val="ListParagraph"/>
        <w:numPr>
          <w:ilvl w:val="0"/>
          <w:numId w:val="1"/>
        </w:numPr>
      </w:pPr>
      <w:r>
        <w:t>Campaign contributions, gifts, promises of future employment, or other things of value—whether direct or indirect—can improperly influence land-use decisions and undermine impartial governance.</w:t>
      </w:r>
    </w:p>
    <w:p w14:paraId="6B16B538" w14:textId="77777777" w:rsidR="00E23AD7" w:rsidRDefault="00E23AD7"/>
    <w:p w14:paraId="7E8E078F" w14:textId="3E1946C3" w:rsidR="00E23AD7" w:rsidRDefault="00E23AD7" w:rsidP="00410480">
      <w:pPr>
        <w:pStyle w:val="ListParagraph"/>
        <w:numPr>
          <w:ilvl w:val="0"/>
          <w:numId w:val="1"/>
        </w:numPr>
      </w:pPr>
      <w:r>
        <w:t>Private communications between developers and public officials outside of publicly noticed meetings, commonly referred to as ex parte communications, erode transparency and deny the public meaningful participation in land-use decisions.</w:t>
      </w:r>
    </w:p>
    <w:p w14:paraId="29C4F555" w14:textId="77777777" w:rsidR="00E23AD7" w:rsidRDefault="00E23AD7"/>
    <w:p w14:paraId="3C7FDF12" w14:textId="0E31B0C4" w:rsidR="00E23AD7" w:rsidRDefault="00E23AD7" w:rsidP="00410480">
      <w:pPr>
        <w:pStyle w:val="ListParagraph"/>
        <w:numPr>
          <w:ilvl w:val="0"/>
          <w:numId w:val="1"/>
        </w:numPr>
      </w:pPr>
      <w:r>
        <w:t>The absence of uniform statewide safeguards governing agricultural land rezoning increases the risk of favoritism, conflicts of interest, and abuse of public office.</w:t>
      </w:r>
    </w:p>
    <w:p w14:paraId="109D9706" w14:textId="77777777" w:rsidR="00E23AD7" w:rsidRDefault="00E23AD7"/>
    <w:p w14:paraId="02D1EDE3" w14:textId="47D7384B" w:rsidR="00E23AD7" w:rsidRDefault="00E23AD7" w:rsidP="00410480">
      <w:pPr>
        <w:pStyle w:val="ListParagraph"/>
        <w:numPr>
          <w:ilvl w:val="0"/>
          <w:numId w:val="1"/>
        </w:numPr>
      </w:pPr>
      <w:r>
        <w:t>Protecting agricultural land from improper rezoning serves not only economic and environmental interests, but also the compelling state interest of preventing corruption and preserving the integrity of governmental decision-making.</w:t>
      </w:r>
    </w:p>
    <w:p w14:paraId="4A9FC52D" w14:textId="77777777" w:rsidR="00E23AD7" w:rsidRDefault="00E23AD7"/>
    <w:p w14:paraId="26D0E0D9" w14:textId="08555714" w:rsidR="00E23AD7" w:rsidRDefault="00E23AD7" w:rsidP="00410480">
      <w:pPr>
        <w:pStyle w:val="ListParagraph"/>
        <w:numPr>
          <w:ilvl w:val="0"/>
          <w:numId w:val="1"/>
        </w:numPr>
      </w:pPr>
      <w:r>
        <w:t>It is therefore necessary for the State to establish clear, uniform, and enforceable standards to ensure that decisions affecting agricultural land are made transparently, lawfully, and solely in the public interest.</w:t>
      </w:r>
    </w:p>
    <w:p w14:paraId="364EA1D3" w14:textId="77777777" w:rsidR="00E23AD7" w:rsidRDefault="00E23AD7"/>
    <w:p w14:paraId="01A2EFF3" w14:textId="77777777" w:rsidR="00E23AD7" w:rsidRDefault="00E23AD7">
      <w:pPr>
        <w:pBdr>
          <w:bottom w:val="single" w:sz="6" w:space="1" w:color="auto"/>
        </w:pBdr>
      </w:pPr>
    </w:p>
    <w:p w14:paraId="62DBFE03" w14:textId="77777777" w:rsidR="00E23AD7" w:rsidRDefault="00E23AD7"/>
    <w:p w14:paraId="78F15384" w14:textId="4CFA4FFD" w:rsidR="00E23AD7" w:rsidRDefault="00E23AD7">
      <w:r>
        <w:t>Section 1. Purpose</w:t>
      </w:r>
    </w:p>
    <w:p w14:paraId="61ABB4D9" w14:textId="39DB7FD1" w:rsidR="00E23AD7" w:rsidRDefault="00E23AD7">
      <w:r>
        <w:t>The purpose of this Act is to preserve all agricultural land for continued agricultural use, protect rural economies, safeguard food production, maintain employment tied to agriculture, prevent irreversible loss of farmland, and ensure integrity and transparency in land-use governance.</w:t>
      </w:r>
    </w:p>
    <w:p w14:paraId="1345C526" w14:textId="77777777" w:rsidR="00E23AD7" w:rsidRDefault="00E23AD7">
      <w:pPr>
        <w:pBdr>
          <w:bottom w:val="single" w:sz="6" w:space="1" w:color="auto"/>
        </w:pBdr>
      </w:pPr>
    </w:p>
    <w:p w14:paraId="76A8EDE3" w14:textId="77777777" w:rsidR="00E23AD7" w:rsidRDefault="00E23AD7"/>
    <w:p w14:paraId="273ABFA7" w14:textId="4793846F" w:rsidR="00E23AD7" w:rsidRDefault="00E23AD7">
      <w:r>
        <w:t>Section 2. Definitions</w:t>
      </w:r>
    </w:p>
    <w:p w14:paraId="13D7344D" w14:textId="77777777" w:rsidR="00E23AD7" w:rsidRDefault="00E23AD7" w:rsidP="00E23AD7">
      <w:pPr>
        <w:pStyle w:val="ListParagraph"/>
        <w:numPr>
          <w:ilvl w:val="0"/>
          <w:numId w:val="2"/>
        </w:numPr>
      </w:pPr>
      <w:r>
        <w:t>Agricultural Land</w:t>
      </w:r>
    </w:p>
    <w:p w14:paraId="4CD79024" w14:textId="014C73B1" w:rsidR="00E23AD7" w:rsidRDefault="00E23AD7">
      <w:r>
        <w:t>Land used for the cultivation of crops, including but not limited to citrus, vegetables, and row crops, or for the raising of livestock, including cattle and other farm animals.</w:t>
      </w:r>
    </w:p>
    <w:p w14:paraId="04C183FB" w14:textId="77777777" w:rsidR="00E23AD7" w:rsidRDefault="00E23AD7" w:rsidP="00E23AD7">
      <w:pPr>
        <w:pStyle w:val="ListParagraph"/>
        <w:numPr>
          <w:ilvl w:val="0"/>
          <w:numId w:val="2"/>
        </w:numPr>
      </w:pPr>
      <w:r>
        <w:t>Protected Agricultural Land</w:t>
      </w:r>
    </w:p>
    <w:p w14:paraId="4C7DDE59" w14:textId="6CFEFDDA" w:rsidR="00E23AD7" w:rsidRDefault="00E23AD7">
      <w:r>
        <w:t>Agricultural land that is legally restricted under this Act from rezoning or conversion to non-agricultural use.</w:t>
      </w:r>
    </w:p>
    <w:p w14:paraId="13C7E097" w14:textId="17B4F8F7" w:rsidR="00E23AD7" w:rsidRDefault="00C504E9">
      <w:r>
        <w:t>(C)</w:t>
      </w:r>
      <w:r w:rsidR="005123CC">
        <w:t xml:space="preserve">     </w:t>
      </w:r>
      <w:r w:rsidR="00E23AD7">
        <w:t>Developer</w:t>
      </w:r>
    </w:p>
    <w:p w14:paraId="6DE9B038" w14:textId="14BFCADD" w:rsidR="00E23AD7" w:rsidRDefault="00E23AD7">
      <w:r>
        <w:t>Any individual, corporation, partnership, or entity seeking approval to rezone, develop, or otherwise convert agricultural land for non-agricultural use.</w:t>
      </w:r>
    </w:p>
    <w:p w14:paraId="391A56A5" w14:textId="77777777" w:rsidR="00E23AD7" w:rsidRDefault="00E23AD7">
      <w:pPr>
        <w:pBdr>
          <w:bottom w:val="single" w:sz="6" w:space="1" w:color="auto"/>
        </w:pBdr>
      </w:pPr>
    </w:p>
    <w:p w14:paraId="427ACCFC" w14:textId="77777777" w:rsidR="00E23AD7" w:rsidRDefault="00E23AD7"/>
    <w:p w14:paraId="0FC171E8" w14:textId="1CD63D6E" w:rsidR="00E23AD7" w:rsidRDefault="00E23AD7">
      <w:r>
        <w:t>Section 3. Permitted Uses</w:t>
      </w:r>
    </w:p>
    <w:p w14:paraId="05CE133D" w14:textId="61FF60D4" w:rsidR="00E23AD7" w:rsidRDefault="00E23AD7">
      <w:r>
        <w:t>The following uses are permitted on protected agricultural land:</w:t>
      </w:r>
    </w:p>
    <w:p w14:paraId="0F484B19" w14:textId="1D3283E1" w:rsidR="00E23AD7" w:rsidRDefault="00E23AD7">
      <w:r>
        <w:t>Crop cultivation and harvesting</w:t>
      </w:r>
    </w:p>
    <w:p w14:paraId="35FE430D" w14:textId="35FA0091" w:rsidR="00E23AD7" w:rsidRDefault="00E23AD7">
      <w:r>
        <w:t>Livestock and ranching operations</w:t>
      </w:r>
    </w:p>
    <w:p w14:paraId="3B1D9A66" w14:textId="52F48C7F" w:rsidR="00E23AD7" w:rsidRDefault="00E23AD7">
      <w:r>
        <w:t>Agricultural processing incidental to farming</w:t>
      </w:r>
    </w:p>
    <w:p w14:paraId="4B77B178" w14:textId="0ABECB77" w:rsidR="00E23AD7" w:rsidRDefault="00E23AD7">
      <w:r>
        <w:t>Conservation practices</w:t>
      </w:r>
    </w:p>
    <w:p w14:paraId="49E01AA4" w14:textId="77777777" w:rsidR="00E23AD7" w:rsidRDefault="00E23AD7">
      <w:r>
        <w:t>Infrastructure necessary to support agricultural operations</w:t>
      </w:r>
    </w:p>
    <w:p w14:paraId="5F718465" w14:textId="77777777" w:rsidR="00E23AD7" w:rsidRDefault="00E23AD7"/>
    <w:p w14:paraId="20F10AAF" w14:textId="77777777" w:rsidR="00E23AD7" w:rsidRDefault="00E23AD7">
      <w:pPr>
        <w:pBdr>
          <w:bottom w:val="single" w:sz="6" w:space="1" w:color="auto"/>
        </w:pBdr>
      </w:pPr>
    </w:p>
    <w:p w14:paraId="5A3395F1" w14:textId="77777777" w:rsidR="00E23AD7" w:rsidRDefault="00E23AD7"/>
    <w:p w14:paraId="55ED8505" w14:textId="54905A36" w:rsidR="00E23AD7" w:rsidRDefault="00E23AD7">
      <w:r>
        <w:t>Section 4. Prohibited Uses</w:t>
      </w:r>
    </w:p>
    <w:p w14:paraId="14150183" w14:textId="77777777" w:rsidR="00E23AD7" w:rsidRDefault="00E23AD7">
      <w:r>
        <w:t>Residential, commercial, industrial, or mixed-use development that would remove land from agricultural production is prohibited, except as expressly authorized by state law.</w:t>
      </w:r>
    </w:p>
    <w:p w14:paraId="48BAFB6F" w14:textId="77777777" w:rsidR="00E23AD7" w:rsidRDefault="00E23AD7">
      <w:pPr>
        <w:pBdr>
          <w:bottom w:val="single" w:sz="6" w:space="1" w:color="auto"/>
        </w:pBdr>
      </w:pPr>
    </w:p>
    <w:p w14:paraId="484C9EBA" w14:textId="77777777" w:rsidR="00E23AD7" w:rsidRDefault="00E23AD7"/>
    <w:p w14:paraId="39124900" w14:textId="40E1BC7C" w:rsidR="00E23AD7" w:rsidRDefault="00E23AD7">
      <w:r>
        <w:t>Section 5. Zoning and Land Use</w:t>
      </w:r>
    </w:p>
    <w:p w14:paraId="0D8761C4" w14:textId="77777777" w:rsidR="00E23AD7" w:rsidRDefault="00E23AD7">
      <w:r>
        <w:t>All agricultural land within the State shall remain zoned for agricultural use.</w:t>
      </w:r>
    </w:p>
    <w:p w14:paraId="2845E06C" w14:textId="2F08A5FB" w:rsidR="00E23AD7" w:rsidRDefault="00E23AD7">
      <w:r>
        <w:t>No county or municipality may rezone protected agricultural land for non-agricultural purposes unless expressly authorized by statewide vote or constitutional amendment.</w:t>
      </w:r>
    </w:p>
    <w:p w14:paraId="1BBF45B6" w14:textId="77777777" w:rsidR="00E23AD7" w:rsidRDefault="00E23AD7">
      <w:pPr>
        <w:pBdr>
          <w:bottom w:val="single" w:sz="6" w:space="1" w:color="auto"/>
        </w:pBdr>
      </w:pPr>
    </w:p>
    <w:p w14:paraId="13E20C9E" w14:textId="77777777" w:rsidR="00E23AD7" w:rsidRDefault="00E23AD7"/>
    <w:p w14:paraId="54F64144" w14:textId="79D46C37" w:rsidR="00E23AD7" w:rsidRDefault="00E23AD7">
      <w:r>
        <w:t>Section 6. Enforcement and Penalties</w:t>
      </w:r>
    </w:p>
    <w:p w14:paraId="0632A60C" w14:textId="77777777" w:rsidR="00E23AD7" w:rsidRDefault="00E23AD7">
      <w:r>
        <w:t>The Department of Agriculture shall oversee enforcement of this Act.</w:t>
      </w:r>
    </w:p>
    <w:p w14:paraId="33807233" w14:textId="6548789B" w:rsidR="00E23AD7" w:rsidRDefault="00E23AD7">
      <w:r>
        <w:t>Violations may result in fines, permit revocation, injunctive relief, and any other remedies available under state law.</w:t>
      </w:r>
    </w:p>
    <w:p w14:paraId="61A9D542" w14:textId="77777777" w:rsidR="00E23AD7" w:rsidRDefault="00E23AD7">
      <w:pPr>
        <w:pBdr>
          <w:bottom w:val="single" w:sz="6" w:space="1" w:color="auto"/>
        </w:pBdr>
      </w:pPr>
    </w:p>
    <w:p w14:paraId="4B6730CC" w14:textId="77777777" w:rsidR="00E23AD7" w:rsidRDefault="00E23AD7"/>
    <w:p w14:paraId="207E51BC" w14:textId="2847D177" w:rsidR="00E23AD7" w:rsidRDefault="00E23AD7">
      <w:r>
        <w:t>Section 7. Conflict of Interest and Transparency Safeguards</w:t>
      </w:r>
    </w:p>
    <w:p w14:paraId="29124E59" w14:textId="77777777" w:rsidR="00E23AD7" w:rsidRDefault="00E23AD7" w:rsidP="00E23AD7">
      <w:pPr>
        <w:pStyle w:val="ListParagraph"/>
        <w:numPr>
          <w:ilvl w:val="0"/>
          <w:numId w:val="3"/>
        </w:numPr>
      </w:pPr>
      <w:r>
        <w:t>No elected or appointed official shall participate in, influence, or vote on any decision affecting protected agricultural land if that official has received campaign contributions, gifts, or anything of value from a developer or affiliated entity seeking rezoning or development approval within the preceding twenty-four (24) months.</w:t>
      </w:r>
    </w:p>
    <w:p w14:paraId="3E5476E3" w14:textId="77777777" w:rsidR="00E23AD7" w:rsidRDefault="00E23AD7"/>
    <w:p w14:paraId="58286634" w14:textId="77777777" w:rsidR="002B670E" w:rsidRDefault="00E23AD7" w:rsidP="002B670E">
      <w:pPr>
        <w:pStyle w:val="ListParagraph"/>
        <w:numPr>
          <w:ilvl w:val="0"/>
          <w:numId w:val="3"/>
        </w:numPr>
      </w:pPr>
      <w:r>
        <w:t>All communications between developers and public officials regarding protected agricultural land shall occur during publicly noticed meetings and shall be entered into the public record.</w:t>
      </w:r>
    </w:p>
    <w:p w14:paraId="20E5C2FE" w14:textId="77777777" w:rsidR="002B670E" w:rsidRDefault="002B670E" w:rsidP="002B670E">
      <w:pPr>
        <w:pStyle w:val="ListParagraph"/>
      </w:pPr>
    </w:p>
    <w:p w14:paraId="7A4F8894" w14:textId="77777777" w:rsidR="002B670E" w:rsidRDefault="00E23AD7" w:rsidP="002B670E">
      <w:pPr>
        <w:pStyle w:val="ListParagraph"/>
        <w:numPr>
          <w:ilvl w:val="0"/>
          <w:numId w:val="3"/>
        </w:numPr>
      </w:pPr>
      <w:r>
        <w:t xml:space="preserve"> Any rezoning, permit, or development approval granted in violation of this section shall be null and void.</w:t>
      </w:r>
    </w:p>
    <w:p w14:paraId="58378B7A" w14:textId="77777777" w:rsidR="002B670E" w:rsidRDefault="002B670E" w:rsidP="002B670E">
      <w:pPr>
        <w:pStyle w:val="ListParagraph"/>
      </w:pPr>
    </w:p>
    <w:p w14:paraId="1F6AC309" w14:textId="289514E6" w:rsidR="00E23AD7" w:rsidRDefault="00E23AD7" w:rsidP="002B670E">
      <w:pPr>
        <w:pStyle w:val="ListParagraph"/>
        <w:numPr>
          <w:ilvl w:val="0"/>
          <w:numId w:val="3"/>
        </w:numPr>
      </w:pPr>
      <w:r>
        <w:t>This section shall be construed broadly to promote transparency, prevent conflicts of interest, and preserve public confidence in governmental decision-making.</w:t>
      </w:r>
    </w:p>
    <w:p w14:paraId="5DC8F6B3" w14:textId="77777777" w:rsidR="00E23AD7" w:rsidRDefault="00E23AD7"/>
    <w:sectPr w:rsidR="00E23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6F01"/>
    <w:multiLevelType w:val="hybridMultilevel"/>
    <w:tmpl w:val="6EDC59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22C93"/>
    <w:multiLevelType w:val="hybridMultilevel"/>
    <w:tmpl w:val="040A56B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6514A"/>
    <w:multiLevelType w:val="hybridMultilevel"/>
    <w:tmpl w:val="8394634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8433">
    <w:abstractNumId w:val="0"/>
  </w:num>
  <w:num w:numId="2" w16cid:durableId="1070273366">
    <w:abstractNumId w:val="1"/>
  </w:num>
  <w:num w:numId="3" w16cid:durableId="122375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7"/>
    <w:rsid w:val="0000226F"/>
    <w:rsid w:val="002B670E"/>
    <w:rsid w:val="00344038"/>
    <w:rsid w:val="00386238"/>
    <w:rsid w:val="003945A0"/>
    <w:rsid w:val="00410480"/>
    <w:rsid w:val="005123CC"/>
    <w:rsid w:val="00607E0E"/>
    <w:rsid w:val="00727933"/>
    <w:rsid w:val="009B6BD5"/>
    <w:rsid w:val="00BA3080"/>
    <w:rsid w:val="00BC7814"/>
    <w:rsid w:val="00C504E9"/>
    <w:rsid w:val="00DD5DF2"/>
    <w:rsid w:val="00E23AD7"/>
    <w:rsid w:val="00EE222C"/>
    <w:rsid w:val="00F10EE0"/>
    <w:rsid w:val="00F6307F"/>
    <w:rsid w:val="00F7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3F2CA"/>
  <w15:chartTrackingRefBased/>
  <w15:docId w15:val="{26B35776-B77A-E14D-BDA5-D203A89B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AD7"/>
    <w:rPr>
      <w:rFonts w:eastAsiaTheme="majorEastAsia" w:cstheme="majorBidi"/>
      <w:color w:val="272727" w:themeColor="text1" w:themeTint="D8"/>
    </w:rPr>
  </w:style>
  <w:style w:type="paragraph" w:styleId="Title">
    <w:name w:val="Title"/>
    <w:basedOn w:val="Normal"/>
    <w:next w:val="Normal"/>
    <w:link w:val="TitleChar"/>
    <w:uiPriority w:val="10"/>
    <w:qFormat/>
    <w:rsid w:val="00E2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AD7"/>
    <w:pPr>
      <w:spacing w:before="160"/>
      <w:jc w:val="center"/>
    </w:pPr>
    <w:rPr>
      <w:i/>
      <w:iCs/>
      <w:color w:val="404040" w:themeColor="text1" w:themeTint="BF"/>
    </w:rPr>
  </w:style>
  <w:style w:type="character" w:customStyle="1" w:styleId="QuoteChar">
    <w:name w:val="Quote Char"/>
    <w:basedOn w:val="DefaultParagraphFont"/>
    <w:link w:val="Quote"/>
    <w:uiPriority w:val="29"/>
    <w:rsid w:val="00E23AD7"/>
    <w:rPr>
      <w:i/>
      <w:iCs/>
      <w:color w:val="404040" w:themeColor="text1" w:themeTint="BF"/>
    </w:rPr>
  </w:style>
  <w:style w:type="paragraph" w:styleId="ListParagraph">
    <w:name w:val="List Paragraph"/>
    <w:basedOn w:val="Normal"/>
    <w:uiPriority w:val="34"/>
    <w:qFormat/>
    <w:rsid w:val="00E23AD7"/>
    <w:pPr>
      <w:ind w:left="720"/>
      <w:contextualSpacing/>
    </w:pPr>
  </w:style>
  <w:style w:type="character" w:styleId="IntenseEmphasis">
    <w:name w:val="Intense Emphasis"/>
    <w:basedOn w:val="DefaultParagraphFont"/>
    <w:uiPriority w:val="21"/>
    <w:qFormat/>
    <w:rsid w:val="00E23AD7"/>
    <w:rPr>
      <w:i/>
      <w:iCs/>
      <w:color w:val="0F4761" w:themeColor="accent1" w:themeShade="BF"/>
    </w:rPr>
  </w:style>
  <w:style w:type="paragraph" w:styleId="IntenseQuote">
    <w:name w:val="Intense Quote"/>
    <w:basedOn w:val="Normal"/>
    <w:next w:val="Normal"/>
    <w:link w:val="IntenseQuoteChar"/>
    <w:uiPriority w:val="30"/>
    <w:qFormat/>
    <w:rsid w:val="00E2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AD7"/>
    <w:rPr>
      <w:i/>
      <w:iCs/>
      <w:color w:val="0F4761" w:themeColor="accent1" w:themeShade="BF"/>
    </w:rPr>
  </w:style>
  <w:style w:type="character" w:styleId="IntenseReference">
    <w:name w:val="Intense Reference"/>
    <w:basedOn w:val="DefaultParagraphFont"/>
    <w:uiPriority w:val="32"/>
    <w:qFormat/>
    <w:rsid w:val="00E23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Justice</dc:creator>
  <cp:keywords/>
  <dc:description/>
  <cp:lastModifiedBy>Bryan Justice</cp:lastModifiedBy>
  <cp:revision>18</cp:revision>
  <dcterms:created xsi:type="dcterms:W3CDTF">2025-12-17T04:14:00Z</dcterms:created>
  <dcterms:modified xsi:type="dcterms:W3CDTF">2025-12-17T04:30:00Z</dcterms:modified>
</cp:coreProperties>
</file>