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70F" w:rsidRDefault="00CA0649">
      <w:r w:rsidRPr="00CA0649">
        <w:rPr>
          <w:noProof/>
        </w:rPr>
        <w:drawing>
          <wp:inline distT="0" distB="0" distL="0" distR="0">
            <wp:extent cx="5943600" cy="384585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49" w:rsidRDefault="00CA0649">
      <w:r w:rsidRPr="00CA0649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49" w:rsidRDefault="00CA0649">
      <w:r w:rsidRPr="00CA0649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49" w:rsidRDefault="00CA0649">
      <w:r w:rsidRPr="00CA0649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49" w:rsidRDefault="00CA0649"/>
    <w:p w:rsidR="00CA0649" w:rsidRDefault="00CA0649">
      <w:r w:rsidRPr="00CA0649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49" w:rsidRDefault="00CA0649"/>
    <w:p w:rsidR="00CA0649" w:rsidRDefault="00CA0649" w:rsidP="00CA0649">
      <w:pPr>
        <w:pStyle w:val="CM33"/>
        <w:spacing w:after="285" w:line="266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Power imbalances can be characterized by physical differences between children, such as age, size, and strength. But they need not be physical. Power can also be characterized by: </w:t>
      </w:r>
    </w:p>
    <w:p w:rsidR="00CA0649" w:rsidRDefault="00CA0649" w:rsidP="00CA0649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Popularity </w:t>
      </w:r>
    </w:p>
    <w:p w:rsidR="00CA0649" w:rsidRDefault="00CA0649" w:rsidP="00CA0649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Background/demographic characteristics (such as </w:t>
      </w:r>
      <w:proofErr w:type="gramStart"/>
      <w:r>
        <w:rPr>
          <w:sz w:val="22"/>
          <w:szCs w:val="22"/>
        </w:rPr>
        <w:t>whether or not</w:t>
      </w:r>
      <w:proofErr w:type="gramEnd"/>
      <w:r>
        <w:rPr>
          <w:sz w:val="22"/>
          <w:szCs w:val="22"/>
        </w:rPr>
        <w:t xml:space="preserve"> a child is a member of a majority racial or ethnic group, whether he or she has a high socio‐economic status, whether he is in the majority regarding sexual orientation) </w:t>
      </w:r>
    </w:p>
    <w:p w:rsidR="00CA0649" w:rsidRDefault="00CA0649" w:rsidP="00CA0649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By social, academic, </w:t>
      </w:r>
      <w:proofErr w:type="gramStart"/>
      <w:r>
        <w:rPr>
          <w:sz w:val="22"/>
          <w:szCs w:val="22"/>
        </w:rPr>
        <w:t>physical</w:t>
      </w:r>
      <w:proofErr w:type="gramEnd"/>
      <w:r>
        <w:rPr>
          <w:sz w:val="22"/>
          <w:szCs w:val="22"/>
        </w:rPr>
        <w:t xml:space="preserve"> or other skills or abilities </w:t>
      </w:r>
    </w:p>
    <w:p w:rsidR="00CA0649" w:rsidRDefault="00CA0649" w:rsidP="00CA0649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Or by access to money, resources, or information—such as being able to reach an entire student body with a single e‐mail button </w:t>
      </w:r>
    </w:p>
    <w:p w:rsidR="00CA0649" w:rsidRDefault="00CA0649" w:rsidP="00CA0649">
      <w:pPr>
        <w:pStyle w:val="Default"/>
        <w:rPr>
          <w:sz w:val="22"/>
          <w:szCs w:val="22"/>
        </w:rPr>
      </w:pPr>
    </w:p>
    <w:p w:rsidR="00CA0649" w:rsidRDefault="00CA0649" w:rsidP="00CA0649">
      <w:r>
        <w:t>One also can exert power over others by outnumbering them (for example, having a group of friends join in the bullying of a single child) or by having a weapon.</w:t>
      </w:r>
    </w:p>
    <w:p w:rsidR="00CA0649" w:rsidRDefault="00CA0649" w:rsidP="00CA0649">
      <w:r w:rsidRPr="00CA0649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49" w:rsidRDefault="00CA0649" w:rsidP="00CA0649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The message to school personnel is that they must carefully consider whether bullying behavior is discriminatory harassment that violates students’ federal civil rights. Under federal law</w:t>
      </w:r>
      <w:r>
        <w:rPr>
          <w:i/>
          <w:iCs/>
          <w:color w:val="000000"/>
          <w:sz w:val="23"/>
          <w:szCs w:val="23"/>
        </w:rPr>
        <w:t xml:space="preserve">, </w:t>
      </w:r>
      <w:r>
        <w:rPr>
          <w:color w:val="000000"/>
          <w:sz w:val="23"/>
          <w:szCs w:val="23"/>
        </w:rPr>
        <w:t>school personnel have very clear obligations to investigate immediately in such circumstances and to take prompt steps to end the harassment if it occurred.</w:t>
      </w:r>
    </w:p>
    <w:p w:rsidR="00CA0649" w:rsidRDefault="00CA0649" w:rsidP="00CA0649">
      <w:r w:rsidRPr="00CA0649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49" w:rsidRDefault="00CA0649" w:rsidP="00CA0649">
      <w:r w:rsidRPr="00CA0649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49" w:rsidRDefault="00CA0649" w:rsidP="00CA0649">
      <w:r w:rsidRPr="00CA0649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49" w:rsidRDefault="00CA0649" w:rsidP="00CA0649">
      <w:r w:rsidRPr="00CA0649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49" w:rsidRDefault="005E67EC" w:rsidP="00CA0649">
      <w:r w:rsidRPr="005E67EC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EC" w:rsidRDefault="005E67EC" w:rsidP="00CA0649">
      <w:r w:rsidRPr="005E67EC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EC" w:rsidRDefault="005E67EC" w:rsidP="00CA0649"/>
    <w:p w:rsidR="005E67EC" w:rsidRDefault="005E67EC" w:rsidP="00CA0649">
      <w:r w:rsidRPr="005E67EC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EC" w:rsidRDefault="005E67EC" w:rsidP="00CA0649"/>
    <w:p w:rsidR="005E67EC" w:rsidRDefault="005E67EC" w:rsidP="00CA0649">
      <w:r w:rsidRPr="005E67EC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EC" w:rsidRDefault="005E67EC" w:rsidP="00CA0649">
      <w:r w:rsidRPr="005E67EC">
        <w:rPr>
          <w:noProof/>
        </w:rPr>
        <w:lastRenderedPageBreak/>
        <w:drawing>
          <wp:inline distT="0" distB="0" distL="0" distR="0">
            <wp:extent cx="5943600" cy="44667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67EC" w:rsidRDefault="005E67EC" w:rsidP="00CA0649"/>
    <w:sectPr w:rsidR="005E67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2624C5F"/>
    <w:multiLevelType w:val="hybridMultilevel"/>
    <w:tmpl w:val="2CFDAE8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649"/>
    <w:rsid w:val="005E67EC"/>
    <w:rsid w:val="00C1170F"/>
    <w:rsid w:val="00CA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5EBCE"/>
  <w15:chartTrackingRefBased/>
  <w15:docId w15:val="{01A676EC-52AA-4544-AF27-782FA2578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A06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M33">
    <w:name w:val="CM33"/>
    <w:basedOn w:val="Default"/>
    <w:next w:val="Default"/>
    <w:uiPriority w:val="99"/>
    <w:rsid w:val="00CA064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7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Clark</dc:creator>
  <cp:keywords/>
  <dc:description/>
  <cp:lastModifiedBy>Charles Clark</cp:lastModifiedBy>
  <cp:revision>1</cp:revision>
  <cp:lastPrinted>2017-11-18T00:36:00Z</cp:lastPrinted>
  <dcterms:created xsi:type="dcterms:W3CDTF">2017-11-18T00:20:00Z</dcterms:created>
  <dcterms:modified xsi:type="dcterms:W3CDTF">2017-11-18T00:41:00Z</dcterms:modified>
</cp:coreProperties>
</file>