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CellSpacing w:w="0" w:type="dxa"/>
        <w:shd w:val="clear" w:color="auto" w:fill="FFFFFF"/>
        <w:tblCellMar>
          <w:top w:w="150" w:type="dxa"/>
          <w:left w:w="450" w:type="dxa"/>
          <w:bottom w:w="150" w:type="dxa"/>
          <w:right w:w="300" w:type="dxa"/>
        </w:tblCellMar>
        <w:tblLook w:val="04A0" w:firstRow="1" w:lastRow="0" w:firstColumn="1" w:lastColumn="0" w:noHBand="0" w:noVBand="1"/>
      </w:tblPr>
      <w:tblGrid>
        <w:gridCol w:w="10800"/>
      </w:tblGrid>
      <w:tr w:rsidR="00614375" w:rsidRPr="00614375" w14:paraId="33604F9D" w14:textId="77777777" w:rsidTr="00614375">
        <w:trPr>
          <w:tblCellSpacing w:w="0" w:type="dxa"/>
        </w:trPr>
        <w:tc>
          <w:tcPr>
            <w:tcW w:w="0" w:type="auto"/>
            <w:shd w:val="clear" w:color="auto" w:fill="FFFFFF"/>
            <w:tcMar>
              <w:top w:w="75" w:type="dxa"/>
              <w:left w:w="0" w:type="dxa"/>
              <w:bottom w:w="150" w:type="dxa"/>
              <w:right w:w="300" w:type="dxa"/>
            </w:tcMar>
            <w:hideMark/>
          </w:tcPr>
          <w:p w14:paraId="4FB6D042" w14:textId="77777777" w:rsidR="00614375" w:rsidRPr="00614375" w:rsidRDefault="00614375" w:rsidP="00614375">
            <w:pPr>
              <w:spacing w:after="0" w:line="240" w:lineRule="auto"/>
              <w:jc w:val="right"/>
              <w:rPr>
                <w:rFonts w:ascii="Arial" w:eastAsia="Times New Roman" w:hAnsi="Arial" w:cs="Arial"/>
                <w:color w:val="1D2228"/>
                <w:sz w:val="20"/>
                <w:szCs w:val="20"/>
              </w:rPr>
            </w:pPr>
            <w:r w:rsidRPr="00614375">
              <w:rPr>
                <w:rFonts w:ascii="Arial" w:eastAsia="Times New Roman" w:hAnsi="Arial" w:cs="Arial"/>
                <w:color w:val="1D2228"/>
                <w:sz w:val="20"/>
                <w:szCs w:val="20"/>
              </w:rPr>
              <w:t>June 28, 2021</w:t>
            </w:r>
          </w:p>
        </w:tc>
      </w:tr>
    </w:tbl>
    <w:p w14:paraId="10DB197F" w14:textId="77777777" w:rsidR="00614375" w:rsidRPr="00614375" w:rsidRDefault="00614375" w:rsidP="00614375">
      <w:pPr>
        <w:spacing w:after="0" w:line="240" w:lineRule="auto"/>
        <w:rPr>
          <w:rFonts w:ascii="Times New Roman" w:eastAsia="Times New Roman" w:hAnsi="Times New Roman" w:cs="Times New Roman"/>
          <w:vanish/>
          <w:sz w:val="24"/>
          <w:szCs w:val="24"/>
        </w:rPr>
      </w:pPr>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614375" w:rsidRPr="00614375" w14:paraId="4FB9871D" w14:textId="77777777" w:rsidTr="00614375">
        <w:trPr>
          <w:tblCellSpacing w:w="0" w:type="dxa"/>
        </w:trPr>
        <w:tc>
          <w:tcPr>
            <w:tcW w:w="0" w:type="auto"/>
            <w:shd w:val="clear" w:color="auto" w:fill="FFFFFF"/>
            <w:vAlign w:val="center"/>
            <w:hideMark/>
          </w:tcPr>
          <w:tbl>
            <w:tblPr>
              <w:tblW w:w="0" w:type="auto"/>
              <w:tblCellSpacing w:w="0" w:type="dxa"/>
              <w:tblInd w:w="450" w:type="dxa"/>
              <w:tblCellMar>
                <w:left w:w="0" w:type="dxa"/>
                <w:right w:w="0" w:type="dxa"/>
              </w:tblCellMar>
              <w:tblLook w:val="04A0" w:firstRow="1" w:lastRow="0" w:firstColumn="1" w:lastColumn="0" w:noHBand="0" w:noVBand="1"/>
            </w:tblPr>
            <w:tblGrid>
              <w:gridCol w:w="10050"/>
            </w:tblGrid>
            <w:tr w:rsidR="00614375" w:rsidRPr="00614375" w14:paraId="2354B5FC" w14:textId="77777777">
              <w:trPr>
                <w:tblCellSpacing w:w="0" w:type="dxa"/>
              </w:trPr>
              <w:tc>
                <w:tcPr>
                  <w:tcW w:w="0" w:type="auto"/>
                  <w:vAlign w:val="center"/>
                  <w:hideMark/>
                </w:tcPr>
                <w:tbl>
                  <w:tblPr>
                    <w:tblW w:w="10050" w:type="dxa"/>
                    <w:tblCellSpacing w:w="0" w:type="dxa"/>
                    <w:tblCellMar>
                      <w:left w:w="0" w:type="dxa"/>
                      <w:right w:w="0" w:type="dxa"/>
                    </w:tblCellMar>
                    <w:tblLook w:val="04A0" w:firstRow="1" w:lastRow="0" w:firstColumn="1" w:lastColumn="0" w:noHBand="0" w:noVBand="1"/>
                  </w:tblPr>
                  <w:tblGrid>
                    <w:gridCol w:w="2550"/>
                    <w:gridCol w:w="450"/>
                    <w:gridCol w:w="7050"/>
                  </w:tblGrid>
                  <w:tr w:rsidR="00614375" w:rsidRPr="00614375" w14:paraId="37FC08D6" w14:textId="77777777">
                    <w:trPr>
                      <w:trHeight w:val="360"/>
                      <w:tblCellSpacing w:w="0" w:type="dxa"/>
                    </w:trPr>
                    <w:tc>
                      <w:tcPr>
                        <w:tcW w:w="2550" w:type="dxa"/>
                        <w:hideMark/>
                      </w:tcPr>
                      <w:p w14:paraId="406DE059" w14:textId="77777777" w:rsidR="00614375" w:rsidRPr="00614375" w:rsidRDefault="00614375" w:rsidP="00614375">
                        <w:pPr>
                          <w:spacing w:after="150" w:line="240" w:lineRule="auto"/>
                          <w:rPr>
                            <w:rFonts w:ascii="Arial" w:eastAsia="Times New Roman" w:hAnsi="Arial" w:cs="Arial"/>
                            <w:b/>
                            <w:bCs/>
                            <w:i/>
                            <w:iCs/>
                            <w:color w:val="000080"/>
                            <w:sz w:val="20"/>
                            <w:szCs w:val="20"/>
                          </w:rPr>
                        </w:pPr>
                        <w:r w:rsidRPr="00614375">
                          <w:rPr>
                            <w:rFonts w:ascii="Arial" w:eastAsia="Times New Roman" w:hAnsi="Arial" w:cs="Arial"/>
                            <w:b/>
                            <w:bCs/>
                            <w:i/>
                            <w:iCs/>
                            <w:color w:val="000080"/>
                            <w:sz w:val="20"/>
                            <w:szCs w:val="20"/>
                          </w:rPr>
                          <w:t>Inflation means that you'll probably need to contribute more to your retirement plan than you think. What seems like a healthy amount now is likely to feel smaller and smaller over time.</w:t>
                        </w:r>
                      </w:p>
                      <w:p w14:paraId="52448D8C" w14:textId="77777777" w:rsidR="00614375" w:rsidRPr="00614375" w:rsidRDefault="00614375" w:rsidP="00614375">
                        <w:pPr>
                          <w:spacing w:after="150" w:line="240" w:lineRule="auto"/>
                          <w:jc w:val="center"/>
                          <w:rPr>
                            <w:rFonts w:ascii="Times New Roman" w:eastAsia="Times New Roman" w:hAnsi="Times New Roman" w:cs="Times New Roman"/>
                            <w:sz w:val="20"/>
                            <w:szCs w:val="20"/>
                          </w:rPr>
                        </w:pPr>
                        <w:r w:rsidRPr="00614375">
                          <w:rPr>
                            <w:rFonts w:ascii="Times New Roman" w:eastAsia="Times New Roman" w:hAnsi="Times New Roman" w:cs="Times New Roman"/>
                            <w:noProof/>
                            <w:sz w:val="20"/>
                            <w:szCs w:val="20"/>
                          </w:rPr>
                          <w:drawing>
                            <wp:inline distT="0" distB="0" distL="0" distR="0" wp14:anchorId="7986C91B" wp14:editId="42DE05FF">
                              <wp:extent cx="1619250" cy="1076325"/>
                              <wp:effectExtent l="0" t="0" r="0" b="9525"/>
                              <wp:docPr id="3" name="Picture 3" descr="A close-up of a pen and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n and a piece of pap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p w14:paraId="2AF71E2F" w14:textId="77777777" w:rsidR="00614375" w:rsidRPr="00614375" w:rsidRDefault="00614375" w:rsidP="00614375">
                        <w:pPr>
                          <w:spacing w:after="150" w:line="240" w:lineRule="auto"/>
                          <w:rPr>
                            <w:rFonts w:ascii="Arial" w:eastAsia="Times New Roman" w:hAnsi="Arial" w:cs="Arial"/>
                            <w:b/>
                            <w:bCs/>
                            <w:i/>
                            <w:iCs/>
                            <w:color w:val="000080"/>
                            <w:sz w:val="20"/>
                            <w:szCs w:val="20"/>
                          </w:rPr>
                        </w:pPr>
                        <w:r w:rsidRPr="00614375">
                          <w:rPr>
                            <w:rFonts w:ascii="Arial" w:eastAsia="Times New Roman" w:hAnsi="Arial" w:cs="Arial"/>
                            <w:b/>
                            <w:bCs/>
                            <w:i/>
                            <w:iCs/>
                            <w:color w:val="000080"/>
                            <w:sz w:val="20"/>
                            <w:szCs w:val="20"/>
                          </w:rPr>
                          <w:t>All investing involves risk, including the possible loss of principal, and there can be no assurance that any investment strategy will be successful. And diversification alone can't guarantee a profit or eliminate the possibility of loss.</w:t>
                        </w:r>
                      </w:p>
                      <w:p w14:paraId="654DC13F" w14:textId="77777777" w:rsidR="00614375" w:rsidRPr="00614375" w:rsidRDefault="00614375" w:rsidP="00614375">
                        <w:pPr>
                          <w:spacing w:after="150" w:line="240" w:lineRule="auto"/>
                          <w:jc w:val="center"/>
                          <w:rPr>
                            <w:rFonts w:ascii="Times New Roman" w:eastAsia="Times New Roman" w:hAnsi="Times New Roman" w:cs="Times New Roman"/>
                            <w:sz w:val="20"/>
                            <w:szCs w:val="20"/>
                          </w:rPr>
                        </w:pPr>
                        <w:r w:rsidRPr="00614375">
                          <w:rPr>
                            <w:rFonts w:ascii="Times New Roman" w:eastAsia="Times New Roman" w:hAnsi="Times New Roman" w:cs="Times New Roman"/>
                            <w:noProof/>
                            <w:sz w:val="20"/>
                            <w:szCs w:val="20"/>
                          </w:rPr>
                          <w:drawing>
                            <wp:inline distT="0" distB="0" distL="0" distR="0" wp14:anchorId="5A98E4C5" wp14:editId="368D514D">
                              <wp:extent cx="1619250" cy="1076325"/>
                              <wp:effectExtent l="0" t="0" r="0" b="9525"/>
                              <wp:docPr id="4" name="Picture 4" descr="A picture containing electronics, keyboard, close,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electronics, keyboard, close, arrange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p w14:paraId="72FB755C" w14:textId="77777777" w:rsidR="00614375" w:rsidRPr="00614375" w:rsidRDefault="00614375" w:rsidP="00614375">
                        <w:pPr>
                          <w:spacing w:after="150" w:line="240" w:lineRule="auto"/>
                          <w:rPr>
                            <w:rFonts w:ascii="Arial" w:eastAsia="Times New Roman" w:hAnsi="Arial" w:cs="Arial"/>
                            <w:b/>
                            <w:bCs/>
                            <w:i/>
                            <w:iCs/>
                            <w:color w:val="000080"/>
                            <w:sz w:val="20"/>
                            <w:szCs w:val="20"/>
                          </w:rPr>
                        </w:pPr>
                        <w:r w:rsidRPr="00614375">
                          <w:rPr>
                            <w:rFonts w:ascii="Arial" w:eastAsia="Times New Roman" w:hAnsi="Arial" w:cs="Arial"/>
                            <w:b/>
                            <w:bCs/>
                            <w:i/>
                            <w:iCs/>
                            <w:color w:val="000080"/>
                            <w:sz w:val="20"/>
                            <w:szCs w:val="20"/>
                          </w:rPr>
                          <w:t>The dollar cost averaging you do when you make automatic contributions to the investments in your retirement plan account involves continuous investment in a security regardless of changes in its price. You should consider your financial and emotional ability to continue making purchases during times when prices are low. Dollar cost averaging does not guarantee a profit or protect against a loss.</w:t>
                        </w:r>
                      </w:p>
                      <w:p w14:paraId="33D244B5" w14:textId="77777777" w:rsidR="00614375" w:rsidRPr="00614375" w:rsidRDefault="00614375" w:rsidP="00614375">
                        <w:pPr>
                          <w:spacing w:after="150" w:line="240" w:lineRule="auto"/>
                          <w:rPr>
                            <w:rFonts w:ascii="Arial" w:eastAsia="Times New Roman" w:hAnsi="Arial" w:cs="Arial"/>
                            <w:b/>
                            <w:bCs/>
                            <w:i/>
                            <w:iCs/>
                            <w:color w:val="000080"/>
                            <w:sz w:val="20"/>
                            <w:szCs w:val="20"/>
                          </w:rPr>
                        </w:pPr>
                        <w:r w:rsidRPr="00614375">
                          <w:rPr>
                            <w:rFonts w:ascii="Arial" w:eastAsia="Times New Roman" w:hAnsi="Arial" w:cs="Arial"/>
                            <w:b/>
                            <w:bCs/>
                            <w:i/>
                            <w:iCs/>
                            <w:color w:val="000080"/>
                            <w:sz w:val="20"/>
                            <w:szCs w:val="20"/>
                          </w:rPr>
                          <w:lastRenderedPageBreak/>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tc>
                    <w:tc>
                      <w:tcPr>
                        <w:tcW w:w="450" w:type="dxa"/>
                        <w:vAlign w:val="center"/>
                        <w:hideMark/>
                      </w:tcPr>
                      <w:p w14:paraId="24A29804" w14:textId="77777777" w:rsidR="00614375" w:rsidRPr="00614375" w:rsidRDefault="00614375" w:rsidP="00614375">
                        <w:pPr>
                          <w:spacing w:after="0" w:line="240" w:lineRule="auto"/>
                          <w:rPr>
                            <w:rFonts w:ascii="Times New Roman" w:eastAsia="Times New Roman" w:hAnsi="Times New Roman" w:cs="Times New Roman"/>
                            <w:sz w:val="20"/>
                            <w:szCs w:val="20"/>
                          </w:rPr>
                        </w:pPr>
                        <w:r w:rsidRPr="00614375">
                          <w:rPr>
                            <w:rFonts w:ascii="Times New Roman" w:eastAsia="Times New Roman" w:hAnsi="Times New Roman" w:cs="Times New Roman"/>
                            <w:sz w:val="20"/>
                            <w:szCs w:val="20"/>
                          </w:rPr>
                          <w:lastRenderedPageBreak/>
                          <w:t> </w:t>
                        </w:r>
                      </w:p>
                    </w:tc>
                    <w:tc>
                      <w:tcPr>
                        <w:tcW w:w="7050" w:type="dxa"/>
                        <w:hideMark/>
                      </w:tcPr>
                      <w:p w14:paraId="0CAE9724" w14:textId="77777777" w:rsidR="00614375" w:rsidRPr="00614375" w:rsidRDefault="00614375" w:rsidP="00614375">
                        <w:pPr>
                          <w:spacing w:before="100" w:beforeAutospacing="1" w:after="100" w:afterAutospacing="1" w:line="240" w:lineRule="auto"/>
                          <w:outlineLvl w:val="0"/>
                          <w:rPr>
                            <w:rFonts w:ascii="Times" w:eastAsia="Times New Roman" w:hAnsi="Times" w:cs="Times"/>
                            <w:color w:val="000000"/>
                            <w:kern w:val="36"/>
                            <w:sz w:val="48"/>
                            <w:szCs w:val="48"/>
                          </w:rPr>
                        </w:pPr>
                        <w:r w:rsidRPr="00614375">
                          <w:rPr>
                            <w:rFonts w:ascii="Times" w:eastAsia="Times New Roman" w:hAnsi="Times" w:cs="Times"/>
                            <w:color w:val="000000"/>
                            <w:kern w:val="36"/>
                            <w:sz w:val="48"/>
                            <w:szCs w:val="48"/>
                          </w:rPr>
                          <w:t>Five Keys to Investing For Retirement</w:t>
                        </w:r>
                      </w:p>
                      <w:p w14:paraId="20E8F0B5"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Making decisions about your retirement account can seem overwhelming, especially if you feel unsure about your knowledge of investments. However, the following basic rules can help you make smarter choices regardless of whether you have some investing experience or are just getting started.</w:t>
                        </w:r>
                      </w:p>
                      <w:p w14:paraId="2367252D" w14:textId="77777777" w:rsidR="00614375" w:rsidRPr="00614375" w:rsidRDefault="00614375" w:rsidP="00614375">
                        <w:pPr>
                          <w:spacing w:after="75" w:line="240" w:lineRule="auto"/>
                          <w:outlineLvl w:val="2"/>
                          <w:rPr>
                            <w:rFonts w:ascii="Arial" w:eastAsia="Times New Roman" w:hAnsi="Arial" w:cs="Arial"/>
                            <w:b/>
                            <w:bCs/>
                            <w:color w:val="000080"/>
                            <w:sz w:val="24"/>
                            <w:szCs w:val="24"/>
                          </w:rPr>
                        </w:pPr>
                        <w:r w:rsidRPr="00614375">
                          <w:rPr>
                            <w:rFonts w:ascii="Arial" w:eastAsia="Times New Roman" w:hAnsi="Arial" w:cs="Arial"/>
                            <w:b/>
                            <w:bCs/>
                            <w:color w:val="000080"/>
                            <w:sz w:val="24"/>
                            <w:szCs w:val="24"/>
                          </w:rPr>
                          <w:t>Don't lose ground to inflation</w:t>
                        </w:r>
                      </w:p>
                      <w:p w14:paraId="4709E585"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It's easy to see how inflation affects gas prices, electric bills, and the cost of food; over time, your money buys less and less. But what inflation does to your investments isn't always as obvious. Let's say your money is earning 4% and inflation is running between 3% and 4% (its historical average). That means your investments are earning only 1% at best. And that's not counting any other costs; even in a tax-deferred retirement account such as a 401(k), you'll eventually owe taxes on that money. Unless your retirement portfolio at least keeps pace with inflation, you could actually be losing money without even realizing it.</w:t>
                        </w:r>
                      </w:p>
                      <w:p w14:paraId="61B705AB"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What does that mean for your retirement strategy? First, you might need to contribute more to your retirement plan than you think. What seems like a healthy sum now will seem smaller and smaller over time; at a 3% annual inflation rate, something that costs $100 today would cost $181 in 20 years. That means you may need a bigger retirement nest egg than you anticipated. And don't forget that people are living much longer now than they used to. You might need your retirement savings to last a lot longer than you expect, and inflation is likely to continue increasing prices over that time. Consider increasing your 401(k) contribution each year by at least enough to overcome the effects of inflation, at least until you hit your plan's contribution limits.</w:t>
                        </w:r>
                      </w:p>
                      <w:p w14:paraId="45614F9B"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Second, you may consider investing at least a portion of your retirement plan in investments that can help keep inflation from silently eating away at the purchasing power of your savings. Cash alternatives such as money market accounts may be relatively safe, but they are the most likely to lose purchasing power to inflation over time. Even if you consider yourself a conservative investor, remember that stocks historically have provided higher long-term total returns than cash alternatives or bonds, even though they also involve greater risk of volatility and potential loss.</w:t>
                        </w:r>
                      </w:p>
                      <w:p w14:paraId="4137C905" w14:textId="77777777" w:rsidR="00614375" w:rsidRPr="00614375" w:rsidRDefault="00614375" w:rsidP="00614375">
                        <w:pPr>
                          <w:spacing w:after="100" w:afterAutospacing="1" w:line="240" w:lineRule="auto"/>
                          <w:rPr>
                            <w:rFonts w:ascii="Times New Roman" w:eastAsia="Times New Roman" w:hAnsi="Times New Roman" w:cs="Times New Roman"/>
                            <w:i/>
                            <w:iCs/>
                            <w:sz w:val="20"/>
                            <w:szCs w:val="20"/>
                          </w:rPr>
                        </w:pPr>
                        <w:r w:rsidRPr="00614375">
                          <w:rPr>
                            <w:rFonts w:ascii="Times New Roman" w:eastAsia="Times New Roman" w:hAnsi="Times New Roman" w:cs="Times New Roman"/>
                            <w:b/>
                            <w:bCs/>
                            <w:i/>
                            <w:iCs/>
                            <w:sz w:val="20"/>
                            <w:szCs w:val="20"/>
                          </w:rPr>
                          <w:t>Note: </w:t>
                        </w:r>
                        <w:r w:rsidRPr="00614375">
                          <w:rPr>
                            <w:rFonts w:ascii="Times New Roman" w:eastAsia="Times New Roman" w:hAnsi="Times New Roman" w:cs="Times New Roman"/>
                            <w:i/>
                            <w:iCs/>
                            <w:sz w:val="20"/>
                            <w:szCs w:val="20"/>
                          </w:rPr>
                          <w:t> Past performance is no guarantee of future results.</w:t>
                        </w:r>
                      </w:p>
                      <w:p w14:paraId="1427AB3F" w14:textId="77777777" w:rsidR="00614375" w:rsidRPr="00614375" w:rsidRDefault="00614375" w:rsidP="00614375">
                        <w:pPr>
                          <w:spacing w:after="100" w:afterAutospacing="1" w:line="240" w:lineRule="auto"/>
                          <w:rPr>
                            <w:rFonts w:ascii="Times New Roman" w:eastAsia="Times New Roman" w:hAnsi="Times New Roman" w:cs="Times New Roman"/>
                            <w:i/>
                            <w:iCs/>
                            <w:sz w:val="20"/>
                            <w:szCs w:val="20"/>
                          </w:rPr>
                        </w:pPr>
                        <w:r w:rsidRPr="00614375">
                          <w:rPr>
                            <w:rFonts w:ascii="Times New Roman" w:eastAsia="Times New Roman" w:hAnsi="Times New Roman" w:cs="Times New Roman"/>
                            <w:b/>
                            <w:bCs/>
                            <w:i/>
                            <w:iCs/>
                            <w:sz w:val="20"/>
                            <w:szCs w:val="20"/>
                          </w:rPr>
                          <w:t>Note: </w:t>
                        </w:r>
                        <w:r w:rsidRPr="00614375">
                          <w:rPr>
                            <w:rFonts w:ascii="Times New Roman" w:eastAsia="Times New Roman" w:hAnsi="Times New Roman" w:cs="Times New Roman"/>
                            <w:i/>
                            <w:iCs/>
                            <w:sz w:val="20"/>
                            <w:szCs w:val="20"/>
                          </w:rPr>
                          <w:t> Money market funds are neither insured nor guaranteed by the Federal Deposit Insurance Corporation or any other government agency. Although money market funds seek to preserve the value of your investment at $1.00 per share, it is possible to lose money by investing in such a fund.</w:t>
                        </w:r>
                      </w:p>
                      <w:p w14:paraId="50E14EFA" w14:textId="77777777" w:rsidR="00614375" w:rsidRPr="00614375" w:rsidRDefault="00614375" w:rsidP="00614375">
                        <w:pPr>
                          <w:spacing w:after="75" w:line="240" w:lineRule="auto"/>
                          <w:outlineLvl w:val="2"/>
                          <w:rPr>
                            <w:rFonts w:ascii="Arial" w:eastAsia="Times New Roman" w:hAnsi="Arial" w:cs="Arial"/>
                            <w:b/>
                            <w:bCs/>
                            <w:color w:val="000080"/>
                            <w:sz w:val="24"/>
                            <w:szCs w:val="24"/>
                          </w:rPr>
                        </w:pPr>
                        <w:r w:rsidRPr="00614375">
                          <w:rPr>
                            <w:rFonts w:ascii="Arial" w:eastAsia="Times New Roman" w:hAnsi="Arial" w:cs="Arial"/>
                            <w:b/>
                            <w:bCs/>
                            <w:color w:val="000080"/>
                            <w:sz w:val="24"/>
                            <w:szCs w:val="24"/>
                          </w:rPr>
                          <w:t>Invest based on your time horizon</w:t>
                        </w:r>
                      </w:p>
                      <w:p w14:paraId="6E9FA469"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 xml:space="preserve">Your time horizon is investment-speak for the amount of time you have left until you plan to use the money you're investing. Why is your time horizon important? Because it can affect how well your portfolio can handle the ups and downs of the financial markets. Someone who was planning to retire in 2008 and was heavily invested in the stock market faced different challenges from </w:t>
                        </w:r>
                        <w:r w:rsidRPr="00614375">
                          <w:rPr>
                            <w:rFonts w:ascii="Arial" w:eastAsia="Times New Roman" w:hAnsi="Arial" w:cs="Arial"/>
                            <w:color w:val="000000"/>
                            <w:sz w:val="20"/>
                            <w:szCs w:val="20"/>
                          </w:rPr>
                          <w:lastRenderedPageBreak/>
                          <w:t>the financial crisis than someone who was investing for a retirement that was many years away, because the person nearing retirement had fewer years left to let their portfolio recover from the downturn.</w:t>
                        </w:r>
                      </w:p>
                      <w:p w14:paraId="7D7336F1"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If you have a long time horizon, you may be able to invest a greater percentage of your money in something that could experience more dramatic price changes but that might also have greater potential for long-term growth. Though past performance doesn't guarantee future results, the long-term direction of the stock market has historically been up despite its frequent and sometimes massive fluctuations.</w:t>
                        </w:r>
                      </w:p>
                      <w:p w14:paraId="480FC3D8"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Think long-term for goals that are many years away and invest accordingly. The longer you stay with a diversified portfolio of investments, the more likely you are to be able to ride out market downturns and improve your opportunities for gain.</w:t>
                        </w:r>
                      </w:p>
                      <w:p w14:paraId="1FD91EE5" w14:textId="77777777" w:rsidR="00614375" w:rsidRPr="00614375" w:rsidRDefault="00614375" w:rsidP="00614375">
                        <w:pPr>
                          <w:spacing w:after="75" w:line="240" w:lineRule="auto"/>
                          <w:outlineLvl w:val="2"/>
                          <w:rPr>
                            <w:rFonts w:ascii="Arial" w:eastAsia="Times New Roman" w:hAnsi="Arial" w:cs="Arial"/>
                            <w:b/>
                            <w:bCs/>
                            <w:color w:val="000080"/>
                            <w:sz w:val="24"/>
                            <w:szCs w:val="24"/>
                          </w:rPr>
                        </w:pPr>
                        <w:r w:rsidRPr="00614375">
                          <w:rPr>
                            <w:rFonts w:ascii="Arial" w:eastAsia="Times New Roman" w:hAnsi="Arial" w:cs="Arial"/>
                            <w:b/>
                            <w:bCs/>
                            <w:color w:val="000080"/>
                            <w:sz w:val="24"/>
                            <w:szCs w:val="24"/>
                          </w:rPr>
                          <w:t>Consider your risk tolerance</w:t>
                        </w:r>
                      </w:p>
                      <w:p w14:paraId="67830078"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Another key factor in your retirement investing decisions is your risk tolerance — basically, how well you can handle a possible investment loss. There are two aspects to risk tolerance. The first is your financial ability to survive a loss. If you expect to need your money soon — for example, if you plan to begin using your retirement savings in the next year or so — those needs reduce your ability to withstand even a small loss. However, if you're investing for the long term, don't expect to need the money immediately, or have other assets to rely on in an emergency, your risk tolerance may be higher.</w:t>
                        </w:r>
                      </w:p>
                      <w:p w14:paraId="27B5EE29"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The second aspect of risk tolerance is your emotional ability to withstand the possibility of loss. If you're invested in a way that doesn't let you sleep at night, you may need to consider reducing the amount of risk in your portfolio. Many people think they're comfortable with risk, only to find out when the market takes a turn for the worse that they're actually a lot less risk-tolerant than they thought. Often that means they wind up selling in a panic when prices are lowest. Try to be honest about how you might react to a market downturn, and plan accordingly.</w:t>
                        </w:r>
                      </w:p>
                      <w:p w14:paraId="097E6A52"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Remember that there are many ways to manage risk. For example, understanding the potential risks and rewards of each of your investments and its role in your portfolio may help you gauge your emotional risk tolerance more accurately. Also, having money deducted from your paycheck and put into your retirement plan helps spread your risk over time. By investing regularly, you reduce the chance of investing a large sum just before the market takes a downturn.</w:t>
                        </w:r>
                      </w:p>
                      <w:p w14:paraId="51C193F2" w14:textId="77777777" w:rsidR="00614375" w:rsidRPr="00614375" w:rsidRDefault="00614375" w:rsidP="00614375">
                        <w:pPr>
                          <w:spacing w:after="75" w:line="240" w:lineRule="auto"/>
                          <w:outlineLvl w:val="2"/>
                          <w:rPr>
                            <w:rFonts w:ascii="Arial" w:eastAsia="Times New Roman" w:hAnsi="Arial" w:cs="Arial"/>
                            <w:b/>
                            <w:bCs/>
                            <w:color w:val="000080"/>
                            <w:sz w:val="24"/>
                            <w:szCs w:val="24"/>
                          </w:rPr>
                        </w:pPr>
                        <w:r w:rsidRPr="00614375">
                          <w:rPr>
                            <w:rFonts w:ascii="Arial" w:eastAsia="Times New Roman" w:hAnsi="Arial" w:cs="Arial"/>
                            <w:b/>
                            <w:bCs/>
                            <w:color w:val="000080"/>
                            <w:sz w:val="24"/>
                            <w:szCs w:val="24"/>
                          </w:rPr>
                          <w:t>Integrate retirement with your other financial goals</w:t>
                        </w:r>
                      </w:p>
                      <w:p w14:paraId="0A5581AF"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Think about establishing an emergency fund; it can help you avoid needing to tap your retirement savings before you had planned to. Generally, if you withdraw money from a traditional retirement plan before you turn 59½, you'll owe not only the amount of federal and state income tax on that money, but also a 10% federal penalty (and possibly a state penalty as well). There are exceptions to the penalty for premature distributions from a 401(k) (for example, having a qualifying disability or withdrawing money after leaving your employer after you turn 55). However, having a separate emergency fund can help you avoid an early distribution and allow your retirement money to stay invested.</w:t>
                        </w:r>
                      </w:p>
                      <w:p w14:paraId="0D5CD717"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 xml:space="preserve">If you have outstanding debt, you'll need to weigh the benefits of saving for retirement versus paying off that debt as soon as possible. If the interest rate you're paying is high, you might benefit from paying off at least part of your debt first. If you're contemplating borrowing from or making a withdrawal from your </w:t>
                        </w:r>
                        <w:r w:rsidRPr="00614375">
                          <w:rPr>
                            <w:rFonts w:ascii="Arial" w:eastAsia="Times New Roman" w:hAnsi="Arial" w:cs="Arial"/>
                            <w:color w:val="000000"/>
                            <w:sz w:val="20"/>
                            <w:szCs w:val="20"/>
                          </w:rPr>
                          <w:lastRenderedPageBreak/>
                          <w:t>workplace savings account, make sure you investigate using other financing options first, such as loans from banks, credit unions, friends, or family. If your employer matches your contributions, don't forget to factor into your calculations the loss of that matching money if you choose to focus on paying off debt. You'll be giving up what is essentially free money if you don't at least contribute enough to get the employer match.</w:t>
                        </w:r>
                      </w:p>
                      <w:p w14:paraId="3DB44FE4" w14:textId="77777777" w:rsidR="00614375" w:rsidRPr="00614375" w:rsidRDefault="00614375" w:rsidP="00614375">
                        <w:pPr>
                          <w:spacing w:after="75" w:line="240" w:lineRule="auto"/>
                          <w:outlineLvl w:val="2"/>
                          <w:rPr>
                            <w:rFonts w:ascii="Arial" w:eastAsia="Times New Roman" w:hAnsi="Arial" w:cs="Arial"/>
                            <w:b/>
                            <w:bCs/>
                            <w:color w:val="000080"/>
                            <w:sz w:val="24"/>
                            <w:szCs w:val="24"/>
                          </w:rPr>
                        </w:pPr>
                        <w:r w:rsidRPr="00614375">
                          <w:rPr>
                            <w:rFonts w:ascii="Arial" w:eastAsia="Times New Roman" w:hAnsi="Arial" w:cs="Arial"/>
                            <w:b/>
                            <w:bCs/>
                            <w:color w:val="000080"/>
                            <w:sz w:val="24"/>
                            <w:szCs w:val="24"/>
                          </w:rPr>
                          <w:t>Don't put all your eggs in one basket</w:t>
                        </w:r>
                      </w:p>
                      <w:p w14:paraId="4969C30E"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Diversifying your retirement savings across many different types of investments can help you manage the ups and downs of your portfolio. Different types of investments may face different types of risk. For example, when most people think of risk, they think of market risk — the possibility that an investment will lose value because of a general decline in financial markets. However, there are many other types of risk. Bonds face default or credit risk (the risk that a bond issuer will not be able to pay the interest owed on its bonds, or repay the principal borrowed). Bonds also face interest rate risk, because bond prices generally fall when interest rates rise. International investors may face currency risk if exchange rates between U.S. and foreign currencies affect the value of a foreign investment. Political risk is created by legislative actions (or the lack of them).</w:t>
                        </w:r>
                      </w:p>
                      <w:p w14:paraId="796CD922"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These are only a few of the various types of risk. However, one investment may respond to the same set of circumstances very differently than another, and thus involve different risks. Putting your money into many different securities, as a mutual fund does, is one way to spread your risk. Another is to invest in several different types of investments — for example, stocks, bonds, and cash alternatives. Spreading your portfolio over several different types of investments can help you manage the types and level of risk you face.</w:t>
                        </w:r>
                      </w:p>
                      <w:p w14:paraId="5FD2E084" w14:textId="77777777" w:rsidR="00614375" w:rsidRPr="00614375" w:rsidRDefault="00614375" w:rsidP="00614375">
                        <w:pPr>
                          <w:spacing w:after="105" w:line="240" w:lineRule="auto"/>
                          <w:rPr>
                            <w:rFonts w:ascii="Arial" w:eastAsia="Times New Roman" w:hAnsi="Arial" w:cs="Arial"/>
                            <w:color w:val="000000"/>
                            <w:sz w:val="20"/>
                            <w:szCs w:val="20"/>
                          </w:rPr>
                        </w:pPr>
                        <w:r w:rsidRPr="00614375">
                          <w:rPr>
                            <w:rFonts w:ascii="Arial" w:eastAsia="Times New Roman" w:hAnsi="Arial" w:cs="Arial"/>
                            <w:color w:val="000000"/>
                            <w:sz w:val="20"/>
                            <w:szCs w:val="20"/>
                          </w:rPr>
                          <w:t>Participating in your retirement plan is probably more important than any individual investing decision you'll make. Keep it simple, stick with it, and time can be a strong ally.</w:t>
                        </w:r>
                      </w:p>
                    </w:tc>
                  </w:tr>
                </w:tbl>
                <w:p w14:paraId="5AEBCE43" w14:textId="77777777" w:rsidR="00614375" w:rsidRPr="00614375" w:rsidRDefault="00614375" w:rsidP="00614375">
                  <w:pPr>
                    <w:spacing w:after="0" w:line="240" w:lineRule="auto"/>
                    <w:rPr>
                      <w:rFonts w:ascii="Times New Roman" w:eastAsia="Times New Roman" w:hAnsi="Times New Roman" w:cs="Times New Roman"/>
                      <w:sz w:val="20"/>
                      <w:szCs w:val="20"/>
                    </w:rPr>
                  </w:pPr>
                </w:p>
              </w:tc>
            </w:tr>
          </w:tbl>
          <w:p w14:paraId="03D64FA1" w14:textId="77777777" w:rsidR="00614375" w:rsidRPr="00614375" w:rsidRDefault="00614375" w:rsidP="00614375">
            <w:pPr>
              <w:spacing w:after="0" w:line="240" w:lineRule="auto"/>
              <w:rPr>
                <w:rFonts w:ascii="Helvetica" w:eastAsia="Times New Roman" w:hAnsi="Helvetica" w:cs="Helvetica"/>
                <w:color w:val="1D2228"/>
                <w:sz w:val="20"/>
                <w:szCs w:val="20"/>
              </w:rPr>
            </w:pPr>
          </w:p>
        </w:tc>
      </w:tr>
      <w:tr w:rsidR="00614375" w:rsidRPr="00614375" w14:paraId="6EE9D17C" w14:textId="77777777" w:rsidTr="00614375">
        <w:trPr>
          <w:tblCellSpacing w:w="0" w:type="dxa"/>
        </w:trPr>
        <w:tc>
          <w:tcPr>
            <w:tcW w:w="0" w:type="auto"/>
            <w:shd w:val="clear" w:color="auto" w:fill="FFFFFF"/>
            <w:tcMar>
              <w:top w:w="0" w:type="dxa"/>
              <w:left w:w="450" w:type="dxa"/>
              <w:bottom w:w="0" w:type="dxa"/>
              <w:right w:w="30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5025"/>
              <w:gridCol w:w="5025"/>
            </w:tblGrid>
            <w:tr w:rsidR="00614375" w:rsidRPr="00614375" w14:paraId="2E6B76D5" w14:textId="77777777">
              <w:trPr>
                <w:tblCellSpacing w:w="0" w:type="dxa"/>
                <w:jc w:val="right"/>
              </w:trPr>
              <w:tc>
                <w:tcPr>
                  <w:tcW w:w="2500" w:type="pct"/>
                  <w:tcMar>
                    <w:top w:w="150" w:type="dxa"/>
                    <w:left w:w="0" w:type="dxa"/>
                    <w:bottom w:w="75" w:type="dxa"/>
                    <w:right w:w="0" w:type="dxa"/>
                  </w:tcMar>
                  <w:vAlign w:val="center"/>
                  <w:hideMark/>
                </w:tcPr>
                <w:p w14:paraId="1B814325" w14:textId="77777777" w:rsidR="00614375" w:rsidRPr="00614375" w:rsidRDefault="00614375" w:rsidP="00614375">
                  <w:pPr>
                    <w:spacing w:after="0" w:line="240" w:lineRule="auto"/>
                    <w:rPr>
                      <w:rFonts w:ascii="Times New Roman" w:eastAsia="Times New Roman" w:hAnsi="Times New Roman" w:cs="Times New Roman"/>
                      <w:sz w:val="20"/>
                      <w:szCs w:val="20"/>
                    </w:rPr>
                  </w:pPr>
                  <w:hyperlink r:id="rId6" w:tgtFrame="_blank" w:history="1">
                    <w:r w:rsidRPr="00614375">
                      <w:rPr>
                        <w:rFonts w:ascii="Times New Roman" w:eastAsia="Times New Roman" w:hAnsi="Times New Roman" w:cs="Times New Roman"/>
                        <w:b/>
                        <w:bCs/>
                        <w:color w:val="196AD4"/>
                        <w:sz w:val="18"/>
                        <w:szCs w:val="18"/>
                        <w:u w:val="single"/>
                      </w:rPr>
                      <w:t>Refer a friend</w:t>
                    </w:r>
                  </w:hyperlink>
                </w:p>
              </w:tc>
              <w:tc>
                <w:tcPr>
                  <w:tcW w:w="2500" w:type="pct"/>
                  <w:tcMar>
                    <w:top w:w="150" w:type="dxa"/>
                    <w:left w:w="0" w:type="dxa"/>
                    <w:bottom w:w="75" w:type="dxa"/>
                    <w:right w:w="0" w:type="dxa"/>
                  </w:tcMar>
                  <w:vAlign w:val="center"/>
                  <w:hideMark/>
                </w:tcPr>
                <w:p w14:paraId="48F9B397" w14:textId="77777777" w:rsidR="00614375" w:rsidRPr="00614375" w:rsidRDefault="00614375" w:rsidP="00614375">
                  <w:pPr>
                    <w:spacing w:after="0" w:line="240" w:lineRule="auto"/>
                    <w:jc w:val="right"/>
                    <w:rPr>
                      <w:rFonts w:ascii="Times New Roman" w:eastAsia="Times New Roman" w:hAnsi="Times New Roman" w:cs="Times New Roman"/>
                      <w:sz w:val="20"/>
                      <w:szCs w:val="20"/>
                    </w:rPr>
                  </w:pPr>
                  <w:r w:rsidRPr="00614375">
                    <w:rPr>
                      <w:rFonts w:ascii="Times New Roman" w:eastAsia="Times New Roman" w:hAnsi="Times New Roman" w:cs="Times New Roman"/>
                      <w:b/>
                      <w:bCs/>
                      <w:sz w:val="18"/>
                      <w:szCs w:val="18"/>
                    </w:rPr>
                    <w:t>To find out more click </w:t>
                  </w:r>
                  <w:hyperlink r:id="rId7" w:tgtFrame="_blank" w:history="1">
                    <w:r w:rsidRPr="00614375">
                      <w:rPr>
                        <w:rFonts w:ascii="Times New Roman" w:eastAsia="Times New Roman" w:hAnsi="Times New Roman" w:cs="Times New Roman"/>
                        <w:b/>
                        <w:bCs/>
                        <w:color w:val="196AD4"/>
                        <w:sz w:val="18"/>
                        <w:szCs w:val="18"/>
                        <w:u w:val="single"/>
                      </w:rPr>
                      <w:t>here</w:t>
                    </w:r>
                  </w:hyperlink>
                </w:p>
              </w:tc>
            </w:tr>
          </w:tbl>
          <w:p w14:paraId="6BBA8E16" w14:textId="77777777" w:rsidR="00614375" w:rsidRPr="00614375" w:rsidRDefault="00614375" w:rsidP="00614375">
            <w:pPr>
              <w:spacing w:after="0" w:line="240" w:lineRule="auto"/>
              <w:jc w:val="right"/>
              <w:rPr>
                <w:rFonts w:ascii="Helvetica" w:eastAsia="Times New Roman" w:hAnsi="Helvetica" w:cs="Helvetica"/>
                <w:color w:val="1D2228"/>
                <w:sz w:val="20"/>
                <w:szCs w:val="20"/>
              </w:rPr>
            </w:pPr>
          </w:p>
        </w:tc>
      </w:tr>
      <w:tr w:rsidR="00614375" w:rsidRPr="00614375" w14:paraId="20ABCA90" w14:textId="77777777" w:rsidTr="00614375">
        <w:trPr>
          <w:tblCellSpacing w:w="0" w:type="dxa"/>
        </w:trPr>
        <w:tc>
          <w:tcPr>
            <w:tcW w:w="0" w:type="auto"/>
            <w:shd w:val="clear" w:color="auto" w:fill="FFFFFF"/>
            <w:tcMar>
              <w:top w:w="0" w:type="dxa"/>
              <w:left w:w="450" w:type="dxa"/>
              <w:bottom w:w="450" w:type="dxa"/>
              <w:right w:w="300" w:type="dxa"/>
            </w:tcMar>
            <w:vAlign w:val="center"/>
            <w:hideMark/>
          </w:tcPr>
          <w:tbl>
            <w:tblPr>
              <w:tblW w:w="5000" w:type="pct"/>
              <w:tblCellSpacing w:w="0" w:type="dxa"/>
              <w:tblBorders>
                <w:top w:val="single" w:sz="6" w:space="0" w:color="999999"/>
              </w:tblBorders>
              <w:shd w:val="clear" w:color="auto" w:fill="FFFFFF"/>
              <w:tblCellMar>
                <w:top w:w="75" w:type="dxa"/>
                <w:left w:w="0" w:type="dxa"/>
                <w:right w:w="0" w:type="dxa"/>
              </w:tblCellMar>
              <w:tblLook w:val="04A0" w:firstRow="1" w:lastRow="0" w:firstColumn="1" w:lastColumn="0" w:noHBand="0" w:noVBand="1"/>
            </w:tblPr>
            <w:tblGrid>
              <w:gridCol w:w="10050"/>
            </w:tblGrid>
            <w:tr w:rsidR="00614375" w:rsidRPr="00614375" w14:paraId="456DD297" w14:textId="77777777">
              <w:trPr>
                <w:tblCellSpacing w:w="0" w:type="dxa"/>
              </w:trPr>
              <w:tc>
                <w:tcPr>
                  <w:tcW w:w="0" w:type="auto"/>
                  <w:shd w:val="clear" w:color="auto" w:fill="FFFFFF"/>
                  <w:vAlign w:val="center"/>
                  <w:hideMark/>
                </w:tcPr>
                <w:p w14:paraId="1B1666AE" w14:textId="77777777" w:rsidR="00614375" w:rsidRPr="00614375" w:rsidRDefault="00614375" w:rsidP="00614375">
                  <w:pPr>
                    <w:spacing w:after="0" w:line="240" w:lineRule="auto"/>
                    <w:rPr>
                      <w:rFonts w:ascii="Times New Roman" w:eastAsia="Times New Roman" w:hAnsi="Times New Roman" w:cs="Times New Roman"/>
                      <w:sz w:val="20"/>
                      <w:szCs w:val="20"/>
                    </w:rPr>
                  </w:pPr>
                  <w:r w:rsidRPr="00614375">
                    <w:rPr>
                      <w:rFonts w:ascii="Times New Roman" w:eastAsia="Times New Roman" w:hAnsi="Times New Roman" w:cs="Times New Roman"/>
                      <w:sz w:val="20"/>
                      <w:szCs w:val="20"/>
                    </w:rPr>
                    <w:t>Raymond James &amp; Associates, Inc., member New York Stock Exchange/SIPC</w:t>
                  </w:r>
                  <w:r w:rsidRPr="00614375">
                    <w:rPr>
                      <w:rFonts w:ascii="Times New Roman" w:eastAsia="Times New Roman" w:hAnsi="Times New Roman" w:cs="Times New Roman"/>
                      <w:sz w:val="20"/>
                      <w:szCs w:val="20"/>
                    </w:rPr>
                    <w:br/>
                  </w:r>
                  <w:r w:rsidRPr="00614375">
                    <w:rPr>
                      <w:rFonts w:ascii="Times New Roman" w:eastAsia="Times New Roman" w:hAnsi="Times New Roman" w:cs="Times New Roman"/>
                      <w:sz w:val="20"/>
                      <w:szCs w:val="20"/>
                    </w:rPr>
                    <w:br/>
                    <w:t>This information, developed by an independent third party, has been obtained from sources considered to be reliable, but Raymond James does not guarantee that the foregoing material is accurate or complete. This information is not a complete summary or statement of all available data necessary for making an investment decision and does not constitute a recommendation. The information contained in this report does not purport to be a complete description of the securities, markets, or developments referred to in this material. This information is not intended as a solicitation or an offer to buy or sell any security referred to herein. Investments mentioned may not be suitable for all investors. The material is general in nature. Past performance may not be indicative of future results. Raymond James does not provide advice on tax, legal or mortgage issues. These matters should be discussed with the appropriate professional.</w:t>
                  </w:r>
                </w:p>
              </w:tc>
            </w:tr>
            <w:tr w:rsidR="00614375" w:rsidRPr="00614375" w14:paraId="30331D5D" w14:textId="77777777">
              <w:trPr>
                <w:tblCellSpacing w:w="0" w:type="dxa"/>
              </w:trPr>
              <w:tc>
                <w:tcPr>
                  <w:tcW w:w="0" w:type="auto"/>
                  <w:shd w:val="clear" w:color="auto" w:fill="FFFFFF"/>
                  <w:vAlign w:val="center"/>
                  <w:hideMark/>
                </w:tcPr>
                <w:p w14:paraId="2134B93C" w14:textId="77777777" w:rsidR="00614375" w:rsidRPr="00614375" w:rsidRDefault="00614375" w:rsidP="00614375">
                  <w:pPr>
                    <w:spacing w:before="100" w:beforeAutospacing="1" w:after="100" w:afterAutospacing="1" w:line="240" w:lineRule="auto"/>
                    <w:rPr>
                      <w:rFonts w:ascii="Times New Roman" w:eastAsia="Times New Roman" w:hAnsi="Times New Roman" w:cs="Times New Roman"/>
                      <w:b/>
                      <w:bCs/>
                      <w:sz w:val="16"/>
                      <w:szCs w:val="16"/>
                    </w:rPr>
                  </w:pPr>
                  <w:r w:rsidRPr="00614375">
                    <w:rPr>
                      <w:rFonts w:ascii="Times New Roman" w:eastAsia="Times New Roman" w:hAnsi="Times New Roman" w:cs="Times New Roman"/>
                      <w:b/>
                      <w:bCs/>
                      <w:sz w:val="16"/>
                      <w:szCs w:val="16"/>
                    </w:rPr>
                    <w:t>Prepared by Broadridge Advisor Solutions Copyright 2021.</w:t>
                  </w:r>
                </w:p>
                <w:p w14:paraId="7EB2E61F" w14:textId="77777777" w:rsidR="00614375" w:rsidRPr="00614375" w:rsidRDefault="00614375" w:rsidP="00614375">
                  <w:pPr>
                    <w:spacing w:after="0" w:line="240" w:lineRule="auto"/>
                    <w:rPr>
                      <w:rFonts w:ascii="Times New Roman" w:eastAsia="Times New Roman" w:hAnsi="Times New Roman" w:cs="Times New Roman"/>
                      <w:sz w:val="20"/>
                      <w:szCs w:val="20"/>
                    </w:rPr>
                  </w:pPr>
                  <w:r w:rsidRPr="00614375">
                    <w:rPr>
                      <w:rFonts w:ascii="Times New Roman" w:eastAsia="Times New Roman" w:hAnsi="Times New Roman" w:cs="Times New Roman"/>
                      <w:sz w:val="20"/>
                      <w:szCs w:val="20"/>
                    </w:rPr>
                    <w:t>The information contained within this commercial email has been obtained from sources considered reliable, but we do not guarantee the foregoing material is accurate or complete. Please </w:t>
                  </w:r>
                  <w:hyperlink r:id="rId8" w:tgtFrame="_blank" w:history="1">
                    <w:r w:rsidRPr="00614375">
                      <w:rPr>
                        <w:rFonts w:ascii="Times New Roman" w:eastAsia="Times New Roman" w:hAnsi="Times New Roman" w:cs="Times New Roman"/>
                        <w:color w:val="196AD4"/>
                        <w:sz w:val="20"/>
                        <w:szCs w:val="20"/>
                        <w:u w:val="single"/>
                      </w:rPr>
                      <w:t>click here</w:t>
                    </w:r>
                  </w:hyperlink>
                  <w:r w:rsidRPr="00614375">
                    <w:rPr>
                      <w:rFonts w:ascii="Times New Roman" w:eastAsia="Times New Roman" w:hAnsi="Times New Roman" w:cs="Times New Roman"/>
                      <w:sz w:val="20"/>
                      <w:szCs w:val="20"/>
                    </w:rPr>
                    <w:t> to unsubscribe from Broadridge Advisor Solutions emails.</w:t>
                  </w:r>
                </w:p>
              </w:tc>
            </w:tr>
          </w:tbl>
          <w:p w14:paraId="33FA340E" w14:textId="77777777" w:rsidR="00614375" w:rsidRPr="00614375" w:rsidRDefault="00614375" w:rsidP="00614375">
            <w:pPr>
              <w:spacing w:after="0" w:line="240" w:lineRule="auto"/>
              <w:rPr>
                <w:rFonts w:ascii="Helvetica" w:eastAsia="Times New Roman" w:hAnsi="Helvetica" w:cs="Helvetica"/>
                <w:color w:val="1D2228"/>
                <w:sz w:val="20"/>
                <w:szCs w:val="20"/>
              </w:rPr>
            </w:pPr>
          </w:p>
        </w:tc>
      </w:tr>
    </w:tbl>
    <w:p w14:paraId="44EC1BFF" w14:textId="77777777" w:rsidR="00614375" w:rsidRDefault="00614375"/>
    <w:sectPr w:rsidR="0061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75"/>
    <w:rsid w:val="0061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59F"/>
  <w15:chartTrackingRefBased/>
  <w15:docId w15:val="{5B6622D3-EAC3-49F4-A50E-D34D5550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821775893">
          <w:marLeft w:val="0"/>
          <w:marRight w:val="0"/>
          <w:marTop w:val="0"/>
          <w:marBottom w:val="150"/>
          <w:divBdr>
            <w:top w:val="none" w:sz="0" w:space="0" w:color="auto"/>
            <w:left w:val="none" w:sz="0" w:space="0" w:color="auto"/>
            <w:bottom w:val="none" w:sz="0" w:space="0" w:color="auto"/>
            <w:right w:val="none" w:sz="0" w:space="0" w:color="auto"/>
          </w:divBdr>
        </w:div>
        <w:div w:id="1533226092">
          <w:marLeft w:val="0"/>
          <w:marRight w:val="0"/>
          <w:marTop w:val="0"/>
          <w:marBottom w:val="150"/>
          <w:divBdr>
            <w:top w:val="none" w:sz="0" w:space="0" w:color="auto"/>
            <w:left w:val="none" w:sz="0" w:space="0" w:color="auto"/>
            <w:bottom w:val="none" w:sz="0" w:space="0" w:color="auto"/>
            <w:right w:val="none" w:sz="0" w:space="0" w:color="auto"/>
          </w:divBdr>
        </w:div>
        <w:div w:id="924261828">
          <w:marLeft w:val="0"/>
          <w:marRight w:val="0"/>
          <w:marTop w:val="0"/>
          <w:marBottom w:val="150"/>
          <w:divBdr>
            <w:top w:val="none" w:sz="0" w:space="0" w:color="auto"/>
            <w:left w:val="none" w:sz="0" w:space="0" w:color="auto"/>
            <w:bottom w:val="none" w:sz="0" w:space="0" w:color="auto"/>
            <w:right w:val="none" w:sz="0" w:space="0" w:color="auto"/>
          </w:divBdr>
        </w:div>
        <w:div w:id="1734619722">
          <w:marLeft w:val="0"/>
          <w:marRight w:val="0"/>
          <w:marTop w:val="0"/>
          <w:marBottom w:val="150"/>
          <w:divBdr>
            <w:top w:val="none" w:sz="0" w:space="0" w:color="auto"/>
            <w:left w:val="none" w:sz="0" w:space="0" w:color="auto"/>
            <w:bottom w:val="none" w:sz="0" w:space="0" w:color="auto"/>
            <w:right w:val="none" w:sz="0" w:space="0" w:color="auto"/>
          </w:divBdr>
        </w:div>
        <w:div w:id="1691570440">
          <w:marLeft w:val="0"/>
          <w:marRight w:val="0"/>
          <w:marTop w:val="0"/>
          <w:marBottom w:val="150"/>
          <w:divBdr>
            <w:top w:val="none" w:sz="0" w:space="0" w:color="auto"/>
            <w:left w:val="none" w:sz="0" w:space="0" w:color="auto"/>
            <w:bottom w:val="none" w:sz="0" w:space="0" w:color="auto"/>
            <w:right w:val="none" w:sz="0" w:space="0" w:color="auto"/>
          </w:divBdr>
        </w:div>
        <w:div w:id="1129661995">
          <w:marLeft w:val="0"/>
          <w:marRight w:val="0"/>
          <w:marTop w:val="0"/>
          <w:marBottom w:val="150"/>
          <w:divBdr>
            <w:top w:val="none" w:sz="0" w:space="0" w:color="auto"/>
            <w:left w:val="none" w:sz="0" w:space="0" w:color="auto"/>
            <w:bottom w:val="none" w:sz="0" w:space="0" w:color="auto"/>
            <w:right w:val="none" w:sz="0" w:space="0" w:color="auto"/>
          </w:divBdr>
        </w:div>
        <w:div w:id="1918633159">
          <w:marLeft w:val="0"/>
          <w:marRight w:val="0"/>
          <w:marTop w:val="0"/>
          <w:marBottom w:val="0"/>
          <w:divBdr>
            <w:top w:val="none" w:sz="0" w:space="0" w:color="auto"/>
            <w:left w:val="none" w:sz="0" w:space="0" w:color="auto"/>
            <w:bottom w:val="none" w:sz="0" w:space="0" w:color="auto"/>
            <w:right w:val="none" w:sz="0" w:space="0" w:color="auto"/>
          </w:divBdr>
        </w:div>
        <w:div w:id="136782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ridgeadvisor.com/kt/NoEmail.aspx?ad=v3SmeMEjgWXq%2fo%2fIHWpH2rAed%2bCUJhuSFQE4BXpGKAiw36tB5%2fvnxg%3d%3d&amp;req=XvPoT4cQKvHlyURmdu1AUd7xEL9EHEg1" TargetMode="External"/><Relationship Id="rId3" Type="http://schemas.openxmlformats.org/officeDocument/2006/relationships/webSettings" Target="webSettings.xml"/><Relationship Id="rId7" Type="http://schemas.openxmlformats.org/officeDocument/2006/relationships/hyperlink" Target="mailto:lynne.henning@raymondjames.com?subject=Tell%20me%20more%20about%20Five%20Keys%20to%20Investing%20For%20Retirement&amp;body=Hi%20Lynne.%20Please%20tell%20me%20more%20about%20Five%20Keys%20to%20Investing%20For%20Ret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e.henning@raymondjames.com?subject=Sign%20up%20my%20friends%20and%20colleagues&amp;body=Hi%20Lynne.%20Here%20are%20the%20names%20and%20email%20addresses%20of%20some%20people%20who%20I%20think%20would%20like%20to%20receive%20information%20from%20yo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2</cp:revision>
  <dcterms:created xsi:type="dcterms:W3CDTF">2021-06-29T19:21:00Z</dcterms:created>
  <dcterms:modified xsi:type="dcterms:W3CDTF">2021-06-29T19:24:00Z</dcterms:modified>
</cp:coreProperties>
</file>