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71F5D4EB" w14:textId="588DA3C1" w:rsidR="003804CE" w:rsidRDefault="008C1022" w:rsidP="008C1022">
      <w:pPr>
        <w:spacing w:after="0"/>
        <w:rPr>
          <w:rFonts w:ascii="Amasis MT Pro Black" w:hAnsi="Amasis MT Pro Black"/>
          <w:b/>
          <w:bCs/>
          <w:color w:val="A5A5A5" w:themeColor="accent3"/>
          <w:sz w:val="44"/>
          <w:szCs w:val="44"/>
        </w:rPr>
      </w:pPr>
      <w:r>
        <w:rPr>
          <w:noProof/>
        </w:rPr>
        <w:drawing>
          <wp:anchor distT="0" distB="0" distL="114300" distR="114300" simplePos="0" relativeHeight="251655165" behindDoc="0" locked="0" layoutInCell="1" allowOverlap="1" wp14:anchorId="06FE2994" wp14:editId="45592D7B">
            <wp:simplePos x="0" y="0"/>
            <wp:positionH relativeFrom="column">
              <wp:posOffset>57150</wp:posOffset>
            </wp:positionH>
            <wp:positionV relativeFrom="page">
              <wp:posOffset>478790</wp:posOffset>
            </wp:positionV>
            <wp:extent cx="2000250" cy="742950"/>
            <wp:effectExtent l="0" t="0" r="0" b="0"/>
            <wp:wrapNone/>
            <wp:docPr id="5" name="Picture 5"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sign with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00250" cy="74295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6190" behindDoc="0" locked="0" layoutInCell="1" allowOverlap="1" wp14:anchorId="21B34D47" wp14:editId="33D39CE0">
            <wp:simplePos x="0" y="0"/>
            <wp:positionH relativeFrom="column">
              <wp:posOffset>0</wp:posOffset>
            </wp:positionH>
            <wp:positionV relativeFrom="page">
              <wp:posOffset>477520</wp:posOffset>
            </wp:positionV>
            <wp:extent cx="2057400" cy="742950"/>
            <wp:effectExtent l="0" t="0" r="0" b="0"/>
            <wp:wrapNone/>
            <wp:docPr id="6" name="Picture 6"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sign with white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57400" cy="742950"/>
                    </a:xfrm>
                    <a:prstGeom prst="rect">
                      <a:avLst/>
                    </a:prstGeom>
                  </pic:spPr>
                </pic:pic>
              </a:graphicData>
            </a:graphic>
          </wp:anchor>
        </w:drawing>
      </w:r>
      <w:r w:rsidRPr="003804CE">
        <w:rPr>
          <w:rFonts w:ascii="Amasis MT Pro Black" w:hAnsi="Amasis MT Pro Black"/>
          <w:b/>
          <w:bCs/>
          <w:noProof/>
          <w:sz w:val="44"/>
          <w:szCs w:val="44"/>
        </w:rPr>
        <w:drawing>
          <wp:anchor distT="0" distB="0" distL="114300" distR="114300" simplePos="0" relativeHeight="251658240" behindDoc="0" locked="0" layoutInCell="1" allowOverlap="1" wp14:anchorId="56605F71" wp14:editId="036ED9A8">
            <wp:simplePos x="0" y="0"/>
            <wp:positionH relativeFrom="column">
              <wp:posOffset>2409825</wp:posOffset>
            </wp:positionH>
            <wp:positionV relativeFrom="paragraph">
              <wp:posOffset>0</wp:posOffset>
            </wp:positionV>
            <wp:extent cx="4362450" cy="763895"/>
            <wp:effectExtent l="0" t="0" r="0" b="0"/>
            <wp:wrapThrough wrapText="bothSides">
              <wp:wrapPolygon edited="0">
                <wp:start x="0" y="0"/>
                <wp:lineTo x="0" y="21025"/>
                <wp:lineTo x="21506" y="21025"/>
                <wp:lineTo x="21506" y="0"/>
                <wp:lineTo x="0" y="0"/>
              </wp:wrapPolygon>
            </wp:wrapThrough>
            <wp:docPr id="1"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2450" cy="763895"/>
                    </a:xfrm>
                    <a:prstGeom prst="rect">
                      <a:avLst/>
                    </a:prstGeom>
                  </pic:spPr>
                </pic:pic>
              </a:graphicData>
            </a:graphic>
          </wp:anchor>
        </w:drawing>
      </w:r>
      <w:r w:rsidR="003804CE">
        <w:rPr>
          <w:rFonts w:ascii="Amasis MT Pro Black" w:hAnsi="Amasis MT Pro Black"/>
          <w:b/>
          <w:bCs/>
          <w:noProof/>
          <w:sz w:val="44"/>
          <w:szCs w:val="44"/>
        </w:rPr>
        <mc:AlternateContent>
          <mc:Choice Requires="wps">
            <w:drawing>
              <wp:anchor distT="0" distB="0" distL="114300" distR="114300" simplePos="0" relativeHeight="251657215" behindDoc="0" locked="0" layoutInCell="1" allowOverlap="1" wp14:anchorId="0B7574EF" wp14:editId="039F3332">
                <wp:simplePos x="0" y="0"/>
                <wp:positionH relativeFrom="column">
                  <wp:posOffset>-447675</wp:posOffset>
                </wp:positionH>
                <wp:positionV relativeFrom="paragraph">
                  <wp:posOffset>-57150</wp:posOffset>
                </wp:positionV>
                <wp:extent cx="7772400" cy="876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772400" cy="876300"/>
                        </a:xfrm>
                        <a:prstGeom prst="rect">
                          <a:avLst/>
                        </a:prstGeom>
                        <a:solidFill>
                          <a:srgbClr val="0046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8DDCBDD" w14:textId="0904CB70" w:rsidR="008C1022" w:rsidRDefault="008C1022" w:rsidP="008C1022">
                            <w:pPr>
                              <w:spacing w:after="0"/>
                              <w:rPr>
                                <w:rFonts w:ascii="Amasis MT Pro Black" w:hAnsi="Amasis MT Pro Black"/>
                                <w:color w:val="A5A5A5" w:themeColor="accent3"/>
                                <w:sz w:val="44"/>
                                <w:szCs w:val="44"/>
                              </w:rPr>
                            </w:pPr>
                            <w:r>
                              <w:rPr>
                                <w:rFonts w:ascii="Amasis MT Pro Black" w:hAnsi="Amasis MT Pro Black"/>
                                <w:color w:val="A5A5A5" w:themeColor="accent3"/>
                                <w:sz w:val="44"/>
                                <w:szCs w:val="44"/>
                              </w:rPr>
                              <w:t xml:space="preserve">  </w:t>
                            </w:r>
                            <w:r w:rsidR="00E1646D">
                              <w:rPr>
                                <w:rFonts w:ascii="Amasis MT Pro Black" w:hAnsi="Amasis MT Pro Black"/>
                                <w:color w:val="A5A5A5" w:themeColor="accent3"/>
                                <w:sz w:val="44"/>
                                <w:szCs w:val="44"/>
                              </w:rPr>
                              <w:t>Specialty Adult</w:t>
                            </w:r>
                          </w:p>
                          <w:p w14:paraId="25AA4982" w14:textId="17E0A4F7" w:rsidR="00E1646D" w:rsidRPr="008C1022" w:rsidRDefault="00E1646D" w:rsidP="008C1022">
                            <w:pPr>
                              <w:spacing w:after="0"/>
                              <w:rPr>
                                <w:rFonts w:ascii="Amasis MT Pro Black" w:hAnsi="Amasis MT Pro Black"/>
                                <w:color w:val="A5A5A5" w:themeColor="accent3"/>
                                <w:sz w:val="44"/>
                                <w:szCs w:val="44"/>
                              </w:rPr>
                            </w:pPr>
                            <w:r>
                              <w:rPr>
                                <w:rFonts w:ascii="Amasis MT Pro Black" w:hAnsi="Amasis MT Pro Black"/>
                                <w:color w:val="A5A5A5" w:themeColor="accent3"/>
                                <w:sz w:val="44"/>
                                <w:szCs w:val="44"/>
                              </w:rPr>
                              <w:t xml:space="preserve">  Account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574EF" id="Rectangle 3" o:spid="_x0000_s1026" style="position:absolute;margin-left:-35.25pt;margin-top:-4.5pt;width:612pt;height:6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" fillcolor="#004600" strokecolor="#09101d [484]" strokeweight="1pt">
                <v:textbox>
                  <w:txbxContent>
                    <w:p w14:paraId="08DDCBDD" w14:textId="0904CB70" w:rsidR="008C1022" w:rsidRDefault="008C1022" w:rsidP="008C1022">
                      <w:pPr>
                        <w:spacing w:after="0"/>
                        <w:rPr>
                          <w:rFonts w:ascii="Amasis MT Pro Black" w:hAnsi="Amasis MT Pro Black"/>
                          <w:color w:val="A5A5A5" w:themeColor="accent3"/>
                          <w:sz w:val="44"/>
                          <w:szCs w:val="44"/>
                        </w:rPr>
                      </w:pPr>
                      <w:r>
                        <w:rPr>
                          <w:rFonts w:ascii="Amasis MT Pro Black" w:hAnsi="Amasis MT Pro Black"/>
                          <w:color w:val="A5A5A5" w:themeColor="accent3"/>
                          <w:sz w:val="44"/>
                          <w:szCs w:val="44"/>
                        </w:rPr>
                        <w:t xml:space="preserve">  </w:t>
                      </w:r>
                      <w:r w:rsidR="00E1646D">
                        <w:rPr>
                          <w:rFonts w:ascii="Amasis MT Pro Black" w:hAnsi="Amasis MT Pro Black"/>
                          <w:color w:val="A5A5A5" w:themeColor="accent3"/>
                          <w:sz w:val="44"/>
                          <w:szCs w:val="44"/>
                        </w:rPr>
                        <w:t>Specialty Adult</w:t>
                      </w:r>
                    </w:p>
                    <w:p w14:paraId="25AA4982" w14:textId="17E0A4F7" w:rsidR="00E1646D" w:rsidRPr="008C1022" w:rsidRDefault="00E1646D" w:rsidP="008C1022">
                      <w:pPr>
                        <w:spacing w:after="0"/>
                        <w:rPr>
                          <w:rFonts w:ascii="Amasis MT Pro Black" w:hAnsi="Amasis MT Pro Black"/>
                          <w:color w:val="A5A5A5" w:themeColor="accent3"/>
                          <w:sz w:val="44"/>
                          <w:szCs w:val="44"/>
                        </w:rPr>
                      </w:pPr>
                      <w:r>
                        <w:rPr>
                          <w:rFonts w:ascii="Amasis MT Pro Black" w:hAnsi="Amasis MT Pro Black"/>
                          <w:color w:val="A5A5A5" w:themeColor="accent3"/>
                          <w:sz w:val="44"/>
                          <w:szCs w:val="44"/>
                        </w:rPr>
                        <w:t xml:space="preserve">  Account Guide</w:t>
                      </w:r>
                    </w:p>
                  </w:txbxContent>
                </v:textbox>
              </v:rect>
            </w:pict>
          </mc:Fallback>
        </mc:AlternateContent>
      </w:r>
      <w:r>
        <w:rPr>
          <w:rFonts w:ascii="Amasis MT Pro Black" w:hAnsi="Amasis MT Pro Black"/>
          <w:b/>
          <w:bCs/>
          <w:color w:val="A5A5A5" w:themeColor="accent3"/>
          <w:sz w:val="44"/>
          <w:szCs w:val="44"/>
        </w:rPr>
        <w:t>each</w:t>
      </w:r>
    </w:p>
    <w:p w14:paraId="5710F6CA" w14:textId="3A5A7BF8" w:rsidR="008C1022" w:rsidRPr="008C1022" w:rsidRDefault="008C1022" w:rsidP="008C1022">
      <w:pPr>
        <w:rPr>
          <w:rFonts w:ascii="Amasis MT Pro Black" w:hAnsi="Amasis MT Pro Black"/>
          <w:sz w:val="44"/>
          <w:szCs w:val="44"/>
        </w:rPr>
      </w:pPr>
    </w:p>
    <w:p w14:paraId="7B30334C" w14:textId="39C73ED7" w:rsidR="008C1022" w:rsidRDefault="003B0413" w:rsidP="008C1022">
      <w:pPr>
        <w:spacing w:after="0"/>
        <w:jc w:val="center"/>
        <w:rPr>
          <w:rFonts w:ascii="Amasis MT Pro Black" w:hAnsi="Amasis MT Pro Black"/>
          <w:sz w:val="60"/>
          <w:szCs w:val="60"/>
        </w:rPr>
      </w:pPr>
      <w:r w:rsidRPr="003B0413">
        <w:rPr>
          <w:rFonts w:ascii="Amasis MT Pro Black" w:hAnsi="Amasis MT Pro Black"/>
          <w:sz w:val="60"/>
          <w:szCs w:val="60"/>
        </w:rPr>
        <w:t>Admin Guide: Setting up SRC/IRB</w:t>
      </w:r>
    </w:p>
    <w:p w14:paraId="6C6203DF" w14:textId="77777777" w:rsidR="00302258" w:rsidRPr="00302258" w:rsidRDefault="00302258" w:rsidP="008C1022">
      <w:pPr>
        <w:spacing w:after="0"/>
        <w:jc w:val="center"/>
        <w:rPr>
          <w:rFonts w:ascii="Amasis MT Pro Black" w:hAnsi="Amasis MT Pro Black"/>
        </w:rPr>
      </w:pPr>
    </w:p>
    <w:p w14:paraId="3DAE3FE0" w14:textId="59AA50E5" w:rsidR="00A87C72" w:rsidRPr="00EE250C" w:rsidRDefault="00116FA8" w:rsidP="00366283">
      <w:pPr>
        <w:pStyle w:val="ListParagraph"/>
        <w:numPr>
          <w:ilvl w:val="0"/>
          <w:numId w:val="1"/>
        </w:numPr>
        <w:spacing w:after="0"/>
        <w:ind w:left="540" w:hanging="450"/>
        <w:rPr>
          <w:rFonts w:ascii="Amasis MT Pro Black" w:hAnsi="Amasis MT Pro Black"/>
          <w:sz w:val="32"/>
          <w:szCs w:val="32"/>
        </w:rPr>
      </w:pPr>
      <w:r>
        <w:rPr>
          <w:rFonts w:ascii="Amasis MT Pro Black" w:hAnsi="Amasis MT Pro Black"/>
          <w:sz w:val="32"/>
          <w:szCs w:val="32"/>
        </w:rPr>
        <w:t xml:space="preserve">Log in on the </w:t>
      </w:r>
      <w:r w:rsidR="00CA7212">
        <w:rPr>
          <w:rFonts w:ascii="Amasis MT Pro Black" w:hAnsi="Amasis MT Pro Black"/>
          <w:sz w:val="32"/>
          <w:szCs w:val="32"/>
        </w:rPr>
        <w:t>“</w:t>
      </w:r>
      <w:r>
        <w:rPr>
          <w:rFonts w:ascii="Amasis MT Pro Black" w:hAnsi="Amasis MT Pro Black"/>
          <w:sz w:val="32"/>
          <w:szCs w:val="32"/>
        </w:rPr>
        <w:t>Adult Approver App</w:t>
      </w:r>
      <w:r w:rsidR="00CA7212">
        <w:rPr>
          <w:rFonts w:ascii="Amasis MT Pro Black" w:hAnsi="Amasis MT Pro Black"/>
          <w:sz w:val="32"/>
          <w:szCs w:val="32"/>
        </w:rPr>
        <w:t>”</w:t>
      </w:r>
      <w:r>
        <w:rPr>
          <w:rFonts w:ascii="Amasis MT Pro Black" w:hAnsi="Amasis MT Pro Black"/>
          <w:sz w:val="32"/>
          <w:szCs w:val="32"/>
        </w:rPr>
        <w:t xml:space="preserve"> using your </w:t>
      </w:r>
      <w:r w:rsidR="00240E86">
        <w:rPr>
          <w:rFonts w:ascii="Amasis MT Pro Black" w:hAnsi="Amasis MT Pro Black"/>
          <w:sz w:val="32"/>
          <w:szCs w:val="32"/>
        </w:rPr>
        <w:t>admin account (starts with a ‘Z’)</w:t>
      </w:r>
      <w:r w:rsidR="008C1022" w:rsidRPr="00EE250C">
        <w:rPr>
          <w:rFonts w:ascii="Amasis MT Pro Black" w:hAnsi="Amasis MT Pro Black"/>
          <w:sz w:val="32"/>
          <w:szCs w:val="32"/>
        </w:rPr>
        <w:t xml:space="preserve">. </w:t>
      </w:r>
    </w:p>
    <w:p w14:paraId="36E25335" w14:textId="7BF330F7" w:rsidR="008C1022" w:rsidRPr="00EE250C" w:rsidRDefault="0074415A" w:rsidP="00366283">
      <w:pPr>
        <w:pStyle w:val="ListParagraph"/>
        <w:numPr>
          <w:ilvl w:val="0"/>
          <w:numId w:val="1"/>
        </w:numPr>
        <w:ind w:left="540" w:hanging="450"/>
        <w:rPr>
          <w:rFonts w:ascii="Amasis MT Pro Black" w:hAnsi="Amasis MT Pro Black"/>
          <w:sz w:val="32"/>
          <w:szCs w:val="32"/>
        </w:rPr>
      </w:pPr>
      <w:r>
        <w:rPr>
          <w:rFonts w:ascii="Amasis MT Pro Black" w:hAnsi="Amasis MT Pro Black"/>
          <w:sz w:val="32"/>
          <w:szCs w:val="32"/>
        </w:rPr>
        <w:t>Open the purple “Admin Account/Fair Director Tools”</w:t>
      </w:r>
      <w:r w:rsidR="009012F8">
        <w:rPr>
          <w:rFonts w:ascii="Amasis MT Pro Black" w:hAnsi="Amasis MT Pro Black"/>
          <w:sz w:val="32"/>
          <w:szCs w:val="32"/>
        </w:rPr>
        <w:t xml:space="preserve"> menu</w:t>
      </w:r>
      <w:r w:rsidR="00A87C72" w:rsidRPr="00EE250C">
        <w:rPr>
          <w:rFonts w:ascii="Amasis MT Pro Black" w:hAnsi="Amasis MT Pro Black"/>
          <w:sz w:val="32"/>
          <w:szCs w:val="32"/>
        </w:rPr>
        <w:t xml:space="preserve">. </w:t>
      </w:r>
      <w:r w:rsidR="0061410A">
        <w:rPr>
          <w:rFonts w:ascii="Times New Roman" w:hAnsi="Times New Roman" w:cs="Times New Roman"/>
          <w:sz w:val="32"/>
          <w:szCs w:val="32"/>
        </w:rPr>
        <w:t xml:space="preserve">It might take a few seconds to open, don’t get impatient with admin account actions, they </w:t>
      </w:r>
      <w:r w:rsidR="001B2BC3">
        <w:rPr>
          <w:rFonts w:ascii="Times New Roman" w:hAnsi="Times New Roman" w:cs="Times New Roman"/>
          <w:sz w:val="32"/>
          <w:szCs w:val="32"/>
        </w:rPr>
        <w:t>are processing a lot more data than teacher accounts.</w:t>
      </w:r>
    </w:p>
    <w:p w14:paraId="3EED4B40" w14:textId="5525787D" w:rsidR="00EA0C31" w:rsidRPr="00EA0C31" w:rsidRDefault="001F4FD1" w:rsidP="00366283">
      <w:pPr>
        <w:pStyle w:val="ListParagraph"/>
        <w:numPr>
          <w:ilvl w:val="0"/>
          <w:numId w:val="1"/>
        </w:numPr>
        <w:ind w:left="540" w:hanging="450"/>
        <w:rPr>
          <w:rFonts w:ascii="Amasis MT Pro Black" w:hAnsi="Amasis MT Pro Black"/>
          <w:sz w:val="32"/>
          <w:szCs w:val="32"/>
        </w:rPr>
      </w:pPr>
      <w:r>
        <w:rPr>
          <w:rFonts w:ascii="Amasis MT Pro Black" w:hAnsi="Amasis MT Pro Black"/>
          <w:sz w:val="32"/>
          <w:szCs w:val="32"/>
        </w:rPr>
        <w:t xml:space="preserve">Select the </w:t>
      </w:r>
      <w:r w:rsidR="00AF459A">
        <w:rPr>
          <w:rFonts w:ascii="Amasis MT Pro Black" w:hAnsi="Amasis MT Pro Black"/>
          <w:sz w:val="32"/>
          <w:szCs w:val="32"/>
        </w:rPr>
        <w:t>task you want to complete</w:t>
      </w:r>
      <w:r w:rsidR="00FF77A7">
        <w:rPr>
          <w:rFonts w:ascii="Amasis MT Pro Black" w:hAnsi="Amasis MT Pro Black"/>
          <w:sz w:val="32"/>
          <w:szCs w:val="32"/>
        </w:rPr>
        <w:t xml:space="preserve"> and open that menu</w:t>
      </w:r>
      <w:r w:rsidR="00A87C72" w:rsidRPr="00EE250C">
        <w:rPr>
          <w:rFonts w:ascii="Amasis MT Pro Black" w:hAnsi="Amasis MT Pro Black"/>
          <w:sz w:val="32"/>
          <w:szCs w:val="32"/>
        </w:rPr>
        <w:t xml:space="preserve">. </w:t>
      </w:r>
      <w:r w:rsidR="00AF459A">
        <w:rPr>
          <w:rFonts w:ascii="Times New Roman" w:hAnsi="Times New Roman" w:cs="Times New Roman"/>
          <w:sz w:val="32"/>
          <w:szCs w:val="32"/>
        </w:rPr>
        <w:t xml:space="preserve">With the admin menu open you should see </w:t>
      </w:r>
      <w:r w:rsidR="00B14BF7">
        <w:rPr>
          <w:rFonts w:ascii="Times New Roman" w:hAnsi="Times New Roman" w:cs="Times New Roman"/>
          <w:sz w:val="32"/>
          <w:szCs w:val="32"/>
        </w:rPr>
        <w:t>two gray menus, one for SRC setup and one for IRB.</w:t>
      </w:r>
      <w:r w:rsidR="00396E68">
        <w:rPr>
          <w:rFonts w:ascii="Times New Roman" w:hAnsi="Times New Roman" w:cs="Times New Roman"/>
          <w:sz w:val="32"/>
          <w:szCs w:val="32"/>
        </w:rPr>
        <w:t xml:space="preserve"> </w:t>
      </w:r>
      <w:proofErr w:type="gramStart"/>
      <w:r w:rsidR="00396E68">
        <w:rPr>
          <w:rFonts w:ascii="Times New Roman" w:hAnsi="Times New Roman" w:cs="Times New Roman"/>
          <w:sz w:val="32"/>
          <w:szCs w:val="32"/>
        </w:rPr>
        <w:t>The majority of</w:t>
      </w:r>
      <w:proofErr w:type="gramEnd"/>
      <w:r w:rsidR="00396E68">
        <w:rPr>
          <w:rFonts w:ascii="Times New Roman" w:hAnsi="Times New Roman" w:cs="Times New Roman"/>
          <w:sz w:val="32"/>
          <w:szCs w:val="32"/>
        </w:rPr>
        <w:t xml:space="preserve"> the steps of setting up each of these are the same</w:t>
      </w:r>
      <w:r w:rsidR="00A24C27">
        <w:rPr>
          <w:rFonts w:ascii="Times New Roman" w:hAnsi="Times New Roman" w:cs="Times New Roman"/>
          <w:sz w:val="32"/>
          <w:szCs w:val="32"/>
        </w:rPr>
        <w:t>, so unless SRC or IRB are specifically noted, assume the steps apply to each.</w:t>
      </w:r>
    </w:p>
    <w:p w14:paraId="00CA4110" w14:textId="609AF598" w:rsidR="00DE220C" w:rsidRPr="00072E87" w:rsidRDefault="00CA741F" w:rsidP="00366283">
      <w:pPr>
        <w:pStyle w:val="ListParagraph"/>
        <w:numPr>
          <w:ilvl w:val="0"/>
          <w:numId w:val="1"/>
        </w:numPr>
        <w:ind w:left="540" w:hanging="450"/>
        <w:rPr>
          <w:rFonts w:ascii="Amasis MT Pro Black" w:hAnsi="Amasis MT Pro Black"/>
          <w:sz w:val="32"/>
          <w:szCs w:val="32"/>
        </w:rPr>
      </w:pPr>
      <w:r>
        <w:rPr>
          <w:rFonts w:ascii="Amasis MT Pro Black" w:hAnsi="Amasis MT Pro Black"/>
          <w:sz w:val="32"/>
          <w:szCs w:val="32"/>
        </w:rPr>
        <w:t xml:space="preserve">Select your </w:t>
      </w:r>
      <w:r w:rsidR="00D03159">
        <w:rPr>
          <w:rFonts w:ascii="Amasis MT Pro Black" w:hAnsi="Amasis MT Pro Black"/>
          <w:sz w:val="32"/>
          <w:szCs w:val="32"/>
        </w:rPr>
        <w:t>set-up option.</w:t>
      </w:r>
      <w:r w:rsidR="00D03159">
        <w:rPr>
          <w:rFonts w:ascii="Amasis MT Pro Black" w:hAnsi="Amasis MT Pro Black"/>
          <w:b/>
          <w:bCs/>
          <w:sz w:val="32"/>
          <w:szCs w:val="32"/>
        </w:rPr>
        <w:t xml:space="preserve"> </w:t>
      </w:r>
      <w:r w:rsidR="00D03159">
        <w:rPr>
          <w:rFonts w:ascii="Times New Roman" w:hAnsi="Times New Roman" w:cs="Times New Roman"/>
          <w:sz w:val="32"/>
          <w:szCs w:val="32"/>
        </w:rPr>
        <w:t>You have three different options for set-up</w:t>
      </w:r>
      <w:r w:rsidR="00D110E6">
        <w:rPr>
          <w:rFonts w:ascii="Times New Roman" w:hAnsi="Times New Roman" w:cs="Times New Roman"/>
          <w:sz w:val="32"/>
          <w:szCs w:val="32"/>
        </w:rPr>
        <w:t xml:space="preserve">. Those </w:t>
      </w:r>
      <w:r w:rsidR="008B4FA2">
        <w:rPr>
          <w:rFonts w:ascii="Times New Roman" w:hAnsi="Times New Roman" w:cs="Times New Roman"/>
          <w:sz w:val="32"/>
          <w:szCs w:val="32"/>
        </w:rPr>
        <w:t>areas</w:t>
      </w:r>
      <w:r w:rsidR="00D110E6">
        <w:rPr>
          <w:rFonts w:ascii="Times New Roman" w:hAnsi="Times New Roman" w:cs="Times New Roman"/>
          <w:sz w:val="32"/>
          <w:szCs w:val="32"/>
        </w:rPr>
        <w:t xml:space="preserve"> in Lab Rat have </w:t>
      </w:r>
      <w:r w:rsidR="008B4FA2">
        <w:rPr>
          <w:rFonts w:ascii="Times New Roman" w:hAnsi="Times New Roman" w:cs="Times New Roman"/>
          <w:sz w:val="32"/>
          <w:szCs w:val="32"/>
        </w:rPr>
        <w:t xml:space="preserve">more </w:t>
      </w:r>
      <w:r w:rsidR="00B77637">
        <w:rPr>
          <w:rFonts w:ascii="Times New Roman" w:hAnsi="Times New Roman" w:cs="Times New Roman"/>
          <w:sz w:val="32"/>
          <w:szCs w:val="32"/>
        </w:rPr>
        <w:t>details</w:t>
      </w:r>
      <w:r w:rsidR="00D110E6">
        <w:rPr>
          <w:rFonts w:ascii="Times New Roman" w:hAnsi="Times New Roman" w:cs="Times New Roman"/>
          <w:sz w:val="32"/>
          <w:szCs w:val="32"/>
        </w:rPr>
        <w:t>, considerations, etc.</w:t>
      </w:r>
      <w:r w:rsidR="008B4FA2">
        <w:rPr>
          <w:rFonts w:ascii="Times New Roman" w:hAnsi="Times New Roman" w:cs="Times New Roman"/>
          <w:sz w:val="32"/>
          <w:szCs w:val="32"/>
        </w:rPr>
        <w:t xml:space="preserve"> tha</w:t>
      </w:r>
      <w:r w:rsidR="00B77637">
        <w:rPr>
          <w:rFonts w:ascii="Times New Roman" w:hAnsi="Times New Roman" w:cs="Times New Roman"/>
          <w:sz w:val="32"/>
          <w:szCs w:val="32"/>
        </w:rPr>
        <w:t xml:space="preserve">n </w:t>
      </w:r>
      <w:r w:rsidR="00DA7708">
        <w:rPr>
          <w:rFonts w:ascii="Times New Roman" w:hAnsi="Times New Roman" w:cs="Times New Roman"/>
          <w:sz w:val="32"/>
          <w:szCs w:val="32"/>
        </w:rPr>
        <w:t>below</w:t>
      </w:r>
      <w:r w:rsidR="008B4FA2">
        <w:rPr>
          <w:rFonts w:ascii="Times New Roman" w:hAnsi="Times New Roman" w:cs="Times New Roman"/>
          <w:sz w:val="32"/>
          <w:szCs w:val="32"/>
        </w:rPr>
        <w:t>.</w:t>
      </w:r>
      <w:r w:rsidR="00B13AD0">
        <w:rPr>
          <w:rFonts w:ascii="Times New Roman" w:hAnsi="Times New Roman" w:cs="Times New Roman"/>
          <w:sz w:val="32"/>
          <w:szCs w:val="32"/>
        </w:rPr>
        <w:t xml:space="preserve"> Note: th</w:t>
      </w:r>
      <w:r w:rsidR="00734449">
        <w:rPr>
          <w:rFonts w:ascii="Times New Roman" w:hAnsi="Times New Roman" w:cs="Times New Roman"/>
          <w:sz w:val="32"/>
          <w:szCs w:val="32"/>
        </w:rPr>
        <w:t>e selected option “can” change, but changing this option after students have advanced to the SRC or IRB</w:t>
      </w:r>
      <w:r w:rsidR="00897F90">
        <w:rPr>
          <w:rFonts w:ascii="Times New Roman" w:hAnsi="Times New Roman" w:cs="Times New Roman"/>
          <w:sz w:val="32"/>
          <w:szCs w:val="32"/>
        </w:rPr>
        <w:t xml:space="preserve"> </w:t>
      </w:r>
      <w:r w:rsidR="00734449">
        <w:rPr>
          <w:rFonts w:ascii="Times New Roman" w:hAnsi="Times New Roman" w:cs="Times New Roman"/>
          <w:sz w:val="32"/>
          <w:szCs w:val="32"/>
        </w:rPr>
        <w:t xml:space="preserve">there will be </w:t>
      </w:r>
      <w:r w:rsidR="00897F90">
        <w:rPr>
          <w:rFonts w:ascii="Times New Roman" w:hAnsi="Times New Roman" w:cs="Times New Roman"/>
          <w:sz w:val="32"/>
          <w:szCs w:val="32"/>
        </w:rPr>
        <w:t>complications.</w:t>
      </w:r>
      <w:r w:rsidR="00D110E6">
        <w:rPr>
          <w:rFonts w:ascii="Times New Roman" w:hAnsi="Times New Roman" w:cs="Times New Roman"/>
          <w:sz w:val="32"/>
          <w:szCs w:val="32"/>
        </w:rPr>
        <w:t xml:space="preserve"> </w:t>
      </w:r>
    </w:p>
    <w:p w14:paraId="0BA809FC" w14:textId="6E114D78" w:rsidR="00072E87" w:rsidRDefault="00072E87" w:rsidP="00C45CBF">
      <w:pPr>
        <w:ind w:left="630"/>
        <w:rPr>
          <w:rFonts w:ascii="Times New Roman" w:hAnsi="Times New Roman" w:cs="Times New Roman"/>
          <w:sz w:val="32"/>
          <w:szCs w:val="32"/>
        </w:rPr>
      </w:pPr>
      <w:r>
        <w:rPr>
          <w:rFonts w:ascii="Amasis MT Pro Black" w:hAnsi="Amasis MT Pro Black"/>
          <w:sz w:val="32"/>
          <w:szCs w:val="32"/>
        </w:rPr>
        <w:t xml:space="preserve">Option 1: </w:t>
      </w:r>
      <w:r w:rsidR="00917FDD">
        <w:rPr>
          <w:rFonts w:ascii="Amasis MT Pro Black" w:hAnsi="Amasis MT Pro Black"/>
          <w:sz w:val="32"/>
          <w:szCs w:val="32"/>
        </w:rPr>
        <w:t xml:space="preserve">In-person review </w:t>
      </w:r>
      <w:r w:rsidR="00226F06">
        <w:rPr>
          <w:rFonts w:ascii="Amasis MT Pro Black" w:hAnsi="Amasis MT Pro Black"/>
          <w:sz w:val="32"/>
          <w:szCs w:val="32"/>
        </w:rPr>
        <w:t>–</w:t>
      </w:r>
      <w:r w:rsidR="00917FDD">
        <w:rPr>
          <w:rFonts w:ascii="Amasis MT Pro Black" w:hAnsi="Amasis MT Pro Black"/>
          <w:sz w:val="32"/>
          <w:szCs w:val="32"/>
        </w:rPr>
        <w:t xml:space="preserve"> </w:t>
      </w:r>
      <w:r w:rsidR="00226F06">
        <w:rPr>
          <w:rFonts w:ascii="Times New Roman" w:hAnsi="Times New Roman" w:cs="Times New Roman"/>
          <w:sz w:val="32"/>
          <w:szCs w:val="32"/>
        </w:rPr>
        <w:t>You schedule a traditional in-person meeting fo</w:t>
      </w:r>
      <w:r w:rsidR="003D0189">
        <w:rPr>
          <w:rFonts w:ascii="Times New Roman" w:hAnsi="Times New Roman" w:cs="Times New Roman"/>
          <w:sz w:val="32"/>
          <w:szCs w:val="32"/>
        </w:rPr>
        <w:t xml:space="preserve">r the reviewers. </w:t>
      </w:r>
      <w:r w:rsidR="000305B1">
        <w:rPr>
          <w:rFonts w:ascii="Times New Roman" w:hAnsi="Times New Roman" w:cs="Times New Roman"/>
          <w:sz w:val="32"/>
          <w:szCs w:val="32"/>
        </w:rPr>
        <w:t xml:space="preserve">When you tell Lab Rat you are ready for the meeting, it will give you a setup like the IRB or the SRC chair. This will allow you </w:t>
      </w:r>
      <w:r w:rsidR="00DA7708">
        <w:rPr>
          <w:rFonts w:ascii="Times New Roman" w:hAnsi="Times New Roman" w:cs="Times New Roman"/>
          <w:sz w:val="32"/>
          <w:szCs w:val="32"/>
        </w:rPr>
        <w:t xml:space="preserve">to project the student projects on a screen </w:t>
      </w:r>
      <w:r w:rsidR="00A266E1">
        <w:rPr>
          <w:rFonts w:ascii="Times New Roman" w:hAnsi="Times New Roman" w:cs="Times New Roman"/>
          <w:sz w:val="32"/>
          <w:szCs w:val="32"/>
        </w:rPr>
        <w:t>during the meeting. They don’t receive accounts of their own and will add their signature during the meeting</w:t>
      </w:r>
      <w:r w:rsidR="00C45CBF">
        <w:rPr>
          <w:rFonts w:ascii="Times New Roman" w:hAnsi="Times New Roman" w:cs="Times New Roman"/>
          <w:sz w:val="32"/>
          <w:szCs w:val="32"/>
        </w:rPr>
        <w:t>.</w:t>
      </w:r>
    </w:p>
    <w:p w14:paraId="5960A910" w14:textId="65C7640F" w:rsidR="002B5011" w:rsidRDefault="00C45CBF" w:rsidP="00C45CBF">
      <w:pPr>
        <w:ind w:left="540"/>
        <w:rPr>
          <w:rFonts w:ascii="Amasis MT Pro Black" w:hAnsi="Amasis MT Pro Black"/>
          <w:sz w:val="32"/>
          <w:szCs w:val="32"/>
        </w:rPr>
      </w:pPr>
      <w:r>
        <w:rPr>
          <w:rFonts w:ascii="Amasis MT Pro Black" w:hAnsi="Amasis MT Pro Black"/>
          <w:sz w:val="32"/>
          <w:szCs w:val="32"/>
        </w:rPr>
        <w:t xml:space="preserve">Option </w:t>
      </w:r>
      <w:r>
        <w:rPr>
          <w:rFonts w:ascii="Amasis MT Pro Black" w:hAnsi="Amasis MT Pro Black"/>
          <w:sz w:val="32"/>
          <w:szCs w:val="32"/>
        </w:rPr>
        <w:t>2</w:t>
      </w:r>
      <w:r>
        <w:rPr>
          <w:rFonts w:ascii="Amasis MT Pro Black" w:hAnsi="Amasis MT Pro Black"/>
          <w:sz w:val="32"/>
          <w:szCs w:val="32"/>
        </w:rPr>
        <w:t xml:space="preserve">: </w:t>
      </w:r>
      <w:r>
        <w:rPr>
          <w:rFonts w:ascii="Amasis MT Pro Black" w:hAnsi="Amasis MT Pro Black"/>
          <w:sz w:val="32"/>
          <w:szCs w:val="32"/>
        </w:rPr>
        <w:t xml:space="preserve">Remote </w:t>
      </w:r>
      <w:r>
        <w:rPr>
          <w:rFonts w:ascii="Amasis MT Pro Black" w:hAnsi="Amasis MT Pro Black"/>
          <w:sz w:val="32"/>
          <w:szCs w:val="32"/>
        </w:rPr>
        <w:t xml:space="preserve">review – </w:t>
      </w:r>
      <w:r>
        <w:rPr>
          <w:rFonts w:ascii="Times New Roman" w:hAnsi="Times New Roman" w:cs="Times New Roman"/>
          <w:sz w:val="32"/>
          <w:szCs w:val="32"/>
        </w:rPr>
        <w:t xml:space="preserve">You </w:t>
      </w:r>
      <w:r w:rsidR="005E7C02">
        <w:rPr>
          <w:rFonts w:ascii="Times New Roman" w:hAnsi="Times New Roman" w:cs="Times New Roman"/>
          <w:sz w:val="32"/>
          <w:szCs w:val="32"/>
        </w:rPr>
        <w:t xml:space="preserve">set up the reviewers in Lab Rat </w:t>
      </w:r>
      <w:r w:rsidR="004D01E6">
        <w:rPr>
          <w:rFonts w:ascii="Times New Roman" w:hAnsi="Times New Roman" w:cs="Times New Roman"/>
          <w:sz w:val="32"/>
          <w:szCs w:val="32"/>
        </w:rPr>
        <w:t>by entering their name and email. They receive an email with their login information</w:t>
      </w:r>
      <w:r w:rsidR="000139D2">
        <w:rPr>
          <w:rFonts w:ascii="Times New Roman" w:hAnsi="Times New Roman" w:cs="Times New Roman"/>
          <w:sz w:val="32"/>
          <w:szCs w:val="32"/>
        </w:rPr>
        <w:t xml:space="preserve"> and contact info for their team members. Reviewers look at the projects independently and </w:t>
      </w:r>
      <w:r w:rsidR="00942282">
        <w:rPr>
          <w:rFonts w:ascii="Times New Roman" w:hAnsi="Times New Roman" w:cs="Times New Roman"/>
          <w:sz w:val="32"/>
          <w:szCs w:val="32"/>
        </w:rPr>
        <w:t xml:space="preserve">consult as needed. As always, SRC only need a signature from the chair, so the other SRC members do not have an approve option. All three IRB members </w:t>
      </w:r>
      <w:r w:rsidR="00C24BD4">
        <w:rPr>
          <w:rFonts w:ascii="Times New Roman" w:hAnsi="Times New Roman" w:cs="Times New Roman"/>
          <w:sz w:val="32"/>
          <w:szCs w:val="32"/>
        </w:rPr>
        <w:t xml:space="preserve">need to come to a consensus about </w:t>
      </w:r>
      <w:r w:rsidR="00ED2F78">
        <w:rPr>
          <w:rFonts w:ascii="Times New Roman" w:hAnsi="Times New Roman" w:cs="Times New Roman"/>
          <w:sz w:val="32"/>
          <w:szCs w:val="32"/>
        </w:rPr>
        <w:t>needed signatures, etc. They each sign separately and when they login they can see the current set of responses, which they can agree with or reach out to the other IRB members to discuss</w:t>
      </w:r>
      <w:r w:rsidR="00097663">
        <w:rPr>
          <w:rFonts w:ascii="Times New Roman" w:hAnsi="Times New Roman" w:cs="Times New Roman"/>
          <w:sz w:val="32"/>
          <w:szCs w:val="32"/>
        </w:rPr>
        <w:t>. The student isn’t “approved” until all three ISB signatures are in place.</w:t>
      </w:r>
      <w:r w:rsidR="005B2683">
        <w:rPr>
          <w:rFonts w:ascii="Times New Roman" w:hAnsi="Times New Roman" w:cs="Times New Roman"/>
          <w:sz w:val="32"/>
          <w:szCs w:val="32"/>
        </w:rPr>
        <w:t xml:space="preserve"> Reviewers get an email prompt when new projects request approval and students receive an email when their review </w:t>
      </w:r>
      <w:r w:rsidR="00D50ED5">
        <w:rPr>
          <w:rFonts w:ascii="Times New Roman" w:hAnsi="Times New Roman" w:cs="Times New Roman"/>
          <w:sz w:val="32"/>
          <w:szCs w:val="32"/>
        </w:rPr>
        <w:t>is done.</w:t>
      </w:r>
    </w:p>
    <w:p w14:paraId="15AB230F" w14:textId="46271069" w:rsidR="009E1151" w:rsidRDefault="00A32461" w:rsidP="00A32461">
      <w:pPr>
        <w:ind w:left="540"/>
        <w:rPr>
          <w:rFonts w:ascii="Times New Roman" w:hAnsi="Times New Roman" w:cs="Times New Roman"/>
          <w:sz w:val="32"/>
          <w:szCs w:val="32"/>
        </w:rPr>
      </w:pPr>
      <w:r>
        <w:rPr>
          <w:rFonts w:ascii="Amasis MT Pro Black" w:hAnsi="Amasis MT Pro Black"/>
          <w:sz w:val="32"/>
          <w:szCs w:val="32"/>
        </w:rPr>
        <w:lastRenderedPageBreak/>
        <w:t xml:space="preserve">Option </w:t>
      </w:r>
      <w:r>
        <w:rPr>
          <w:rFonts w:ascii="Amasis MT Pro Black" w:hAnsi="Amasis MT Pro Black"/>
          <w:sz w:val="32"/>
          <w:szCs w:val="32"/>
        </w:rPr>
        <w:t>3</w:t>
      </w:r>
      <w:r>
        <w:rPr>
          <w:rFonts w:ascii="Amasis MT Pro Black" w:hAnsi="Amasis MT Pro Black"/>
          <w:sz w:val="32"/>
          <w:szCs w:val="32"/>
        </w:rPr>
        <w:t xml:space="preserve">: </w:t>
      </w:r>
      <w:r w:rsidR="00283D56">
        <w:rPr>
          <w:rFonts w:ascii="Amasis MT Pro Black" w:hAnsi="Amasis MT Pro Black"/>
          <w:sz w:val="32"/>
          <w:szCs w:val="32"/>
        </w:rPr>
        <w:t>Use parent fair’s SRC/IRB</w:t>
      </w:r>
      <w:r>
        <w:rPr>
          <w:rFonts w:ascii="Amasis MT Pro Black" w:hAnsi="Amasis MT Pro Black"/>
          <w:sz w:val="32"/>
          <w:szCs w:val="32"/>
        </w:rPr>
        <w:t xml:space="preserve"> – </w:t>
      </w:r>
      <w:r w:rsidR="00CB33DD">
        <w:rPr>
          <w:rFonts w:ascii="Times New Roman" w:hAnsi="Times New Roman" w:cs="Times New Roman"/>
          <w:sz w:val="32"/>
          <w:szCs w:val="32"/>
        </w:rPr>
        <w:t xml:space="preserve">Sometimes </w:t>
      </w:r>
      <w:r w:rsidR="00B56433">
        <w:rPr>
          <w:rFonts w:ascii="Times New Roman" w:hAnsi="Times New Roman" w:cs="Times New Roman"/>
          <w:sz w:val="32"/>
          <w:szCs w:val="32"/>
        </w:rPr>
        <w:t>a</w:t>
      </w:r>
      <w:r w:rsidR="00CB33DD">
        <w:rPr>
          <w:rFonts w:ascii="Times New Roman" w:hAnsi="Times New Roman" w:cs="Times New Roman"/>
          <w:sz w:val="32"/>
          <w:szCs w:val="32"/>
        </w:rPr>
        <w:t xml:space="preserve"> district fair will set up an SRC intended to cover the fairs below it in the process.</w:t>
      </w:r>
      <w:r w:rsidR="00900106">
        <w:rPr>
          <w:rFonts w:ascii="Times New Roman" w:hAnsi="Times New Roman" w:cs="Times New Roman"/>
          <w:sz w:val="32"/>
          <w:szCs w:val="32"/>
        </w:rPr>
        <w:t xml:space="preserve"> If that is the case for you (talk to your district </w:t>
      </w:r>
      <w:r w:rsidR="00AD15F7">
        <w:rPr>
          <w:rFonts w:ascii="Times New Roman" w:hAnsi="Times New Roman" w:cs="Times New Roman"/>
          <w:sz w:val="32"/>
          <w:szCs w:val="32"/>
        </w:rPr>
        <w:t xml:space="preserve">fair director – do not sign up for this option unless you have made that call). </w:t>
      </w:r>
    </w:p>
    <w:p w14:paraId="68D2DCA9" w14:textId="2C271330" w:rsidR="007D3602" w:rsidRPr="00382CE7" w:rsidRDefault="00143F79" w:rsidP="007D3602">
      <w:pPr>
        <w:pStyle w:val="ListParagraph"/>
        <w:numPr>
          <w:ilvl w:val="0"/>
          <w:numId w:val="1"/>
        </w:numPr>
        <w:ind w:left="540" w:hanging="540"/>
        <w:rPr>
          <w:rFonts w:ascii="Amasis MT Pro Black" w:hAnsi="Amasis MT Pro Black"/>
          <w:sz w:val="32"/>
          <w:szCs w:val="32"/>
        </w:rPr>
      </w:pPr>
      <w:r>
        <w:rPr>
          <w:rFonts w:ascii="Amasis MT Pro Black" w:hAnsi="Amasis MT Pro Black"/>
          <w:sz w:val="32"/>
          <w:szCs w:val="32"/>
        </w:rPr>
        <w:t>Add members/ set up review teams</w:t>
      </w:r>
      <w:r w:rsidR="007D3602" w:rsidRPr="007D3602">
        <w:rPr>
          <w:rFonts w:ascii="Amasis MT Pro Black" w:hAnsi="Amasis MT Pro Black"/>
          <w:sz w:val="32"/>
          <w:szCs w:val="32"/>
        </w:rPr>
        <w:t>.</w:t>
      </w:r>
      <w:r w:rsidR="007D3602" w:rsidRPr="007D3602">
        <w:rPr>
          <w:rFonts w:ascii="Amasis MT Pro Black" w:hAnsi="Amasis MT Pro Black"/>
          <w:b/>
          <w:bCs/>
          <w:sz w:val="32"/>
          <w:szCs w:val="32"/>
        </w:rPr>
        <w:t xml:space="preserve"> </w:t>
      </w:r>
      <w:r w:rsidR="004C6CE7" w:rsidRPr="00C951E7">
        <w:rPr>
          <w:rFonts w:ascii="Times New Roman" w:hAnsi="Times New Roman" w:cs="Times New Roman"/>
          <w:i/>
          <w:iCs/>
          <w:sz w:val="32"/>
          <w:szCs w:val="32"/>
        </w:rPr>
        <w:t xml:space="preserve">This MUST be complete before teachers being approving projects, so take </w:t>
      </w:r>
      <w:proofErr w:type="gramStart"/>
      <w:r w:rsidR="004C6CE7" w:rsidRPr="00C951E7">
        <w:rPr>
          <w:rFonts w:ascii="Times New Roman" w:hAnsi="Times New Roman" w:cs="Times New Roman"/>
          <w:i/>
          <w:iCs/>
          <w:sz w:val="32"/>
          <w:szCs w:val="32"/>
        </w:rPr>
        <w:t>are</w:t>
      </w:r>
      <w:proofErr w:type="gramEnd"/>
      <w:r w:rsidR="004C6CE7" w:rsidRPr="00C951E7">
        <w:rPr>
          <w:rFonts w:ascii="Times New Roman" w:hAnsi="Times New Roman" w:cs="Times New Roman"/>
          <w:i/>
          <w:iCs/>
          <w:sz w:val="32"/>
          <w:szCs w:val="32"/>
        </w:rPr>
        <w:t xml:space="preserve"> of this </w:t>
      </w:r>
      <w:r w:rsidR="00C951E7" w:rsidRPr="00C951E7">
        <w:rPr>
          <w:rFonts w:ascii="Times New Roman" w:hAnsi="Times New Roman" w:cs="Times New Roman"/>
          <w:i/>
          <w:iCs/>
          <w:sz w:val="32"/>
          <w:szCs w:val="32"/>
        </w:rPr>
        <w:t>asap.</w:t>
      </w:r>
    </w:p>
    <w:p w14:paraId="2A208CF0" w14:textId="3806B4B1" w:rsidR="00382CE7" w:rsidRPr="007312E6" w:rsidRDefault="00382CE7" w:rsidP="00382CE7">
      <w:pPr>
        <w:pStyle w:val="ListParagraph"/>
        <w:numPr>
          <w:ilvl w:val="0"/>
          <w:numId w:val="3"/>
        </w:numPr>
        <w:rPr>
          <w:rFonts w:ascii="Amasis MT Pro Black" w:hAnsi="Amasis MT Pro Black"/>
          <w:sz w:val="32"/>
          <w:szCs w:val="32"/>
        </w:rPr>
      </w:pPr>
      <w:proofErr w:type="spellStart"/>
      <w:r>
        <w:rPr>
          <w:rFonts w:ascii="Times New Roman" w:hAnsi="Times New Roman" w:cs="Times New Roman"/>
          <w:sz w:val="32"/>
          <w:szCs w:val="32"/>
        </w:rPr>
        <w:t>Opt</w:t>
      </w:r>
      <w:proofErr w:type="spellEnd"/>
      <w:r>
        <w:rPr>
          <w:rFonts w:ascii="Times New Roman" w:hAnsi="Times New Roman" w:cs="Times New Roman"/>
          <w:sz w:val="32"/>
          <w:szCs w:val="32"/>
        </w:rPr>
        <w:t xml:space="preserve"> 1: In-person </w:t>
      </w:r>
      <w:proofErr w:type="gramStart"/>
      <w:r>
        <w:rPr>
          <w:rFonts w:ascii="Times New Roman" w:hAnsi="Times New Roman" w:cs="Times New Roman"/>
          <w:sz w:val="32"/>
          <w:szCs w:val="32"/>
        </w:rPr>
        <w:t>review  -</w:t>
      </w:r>
      <w:proofErr w:type="gramEnd"/>
      <w:r>
        <w:rPr>
          <w:rFonts w:ascii="Times New Roman" w:hAnsi="Times New Roman" w:cs="Times New Roman"/>
          <w:sz w:val="32"/>
          <w:szCs w:val="32"/>
        </w:rPr>
        <w:t xml:space="preserve"> </w:t>
      </w:r>
      <w:r w:rsidR="00273A6E">
        <w:rPr>
          <w:rFonts w:ascii="Times New Roman" w:hAnsi="Times New Roman" w:cs="Times New Roman"/>
          <w:sz w:val="32"/>
          <w:szCs w:val="32"/>
        </w:rPr>
        <w:t xml:space="preserve">Select the </w:t>
      </w:r>
      <w:r w:rsidR="0067749B">
        <w:rPr>
          <w:rFonts w:ascii="Times New Roman" w:hAnsi="Times New Roman" w:cs="Times New Roman"/>
          <w:sz w:val="32"/>
          <w:szCs w:val="32"/>
        </w:rPr>
        <w:t>Option 1 button.</w:t>
      </w:r>
      <w:r w:rsidR="0058314E">
        <w:rPr>
          <w:rFonts w:ascii="Times New Roman" w:hAnsi="Times New Roman" w:cs="Times New Roman"/>
          <w:sz w:val="32"/>
          <w:szCs w:val="32"/>
        </w:rPr>
        <w:t xml:space="preserve"> This queues up some of the programming for you to host the meeting and it provides a “Start SRC Meeting” button (same for IRB).  </w:t>
      </w:r>
      <w:r w:rsidR="00340ECB">
        <w:rPr>
          <w:rFonts w:ascii="Times New Roman" w:hAnsi="Times New Roman" w:cs="Times New Roman"/>
          <w:sz w:val="32"/>
          <w:szCs w:val="32"/>
        </w:rPr>
        <w:t>When you click that, it will bring up a prompt to enter the SRC chair name and let them sign on your computer. For IRB, there are fields for each member’s name, degree/license, and signature</w:t>
      </w:r>
      <w:r w:rsidR="00E35308">
        <w:rPr>
          <w:rFonts w:ascii="Times New Roman" w:hAnsi="Times New Roman" w:cs="Times New Roman"/>
          <w:sz w:val="32"/>
          <w:szCs w:val="32"/>
        </w:rPr>
        <w:t>.</w:t>
      </w:r>
    </w:p>
    <w:p w14:paraId="78EFBBC3" w14:textId="3DB80DEE" w:rsidR="007312E6" w:rsidRPr="00601C26" w:rsidRDefault="007312E6" w:rsidP="00382CE7">
      <w:pPr>
        <w:pStyle w:val="ListParagraph"/>
        <w:numPr>
          <w:ilvl w:val="0"/>
          <w:numId w:val="3"/>
        </w:numPr>
        <w:rPr>
          <w:rFonts w:ascii="Amasis MT Pro Black" w:hAnsi="Amasis MT Pro Black"/>
          <w:sz w:val="32"/>
          <w:szCs w:val="32"/>
        </w:rPr>
      </w:pPr>
      <w:proofErr w:type="spellStart"/>
      <w:r>
        <w:rPr>
          <w:rFonts w:ascii="Times New Roman" w:hAnsi="Times New Roman" w:cs="Times New Roman"/>
          <w:sz w:val="32"/>
          <w:szCs w:val="32"/>
        </w:rPr>
        <w:t>Opt</w:t>
      </w:r>
      <w:proofErr w:type="spellEnd"/>
      <w:r>
        <w:rPr>
          <w:rFonts w:ascii="Times New Roman" w:hAnsi="Times New Roman" w:cs="Times New Roman"/>
          <w:sz w:val="32"/>
          <w:szCs w:val="32"/>
        </w:rPr>
        <w:t xml:space="preserve"> 2: </w:t>
      </w:r>
      <w:r w:rsidR="00A315E8">
        <w:rPr>
          <w:rFonts w:ascii="Times New Roman" w:hAnsi="Times New Roman" w:cs="Times New Roman"/>
          <w:sz w:val="32"/>
          <w:szCs w:val="32"/>
        </w:rPr>
        <w:t xml:space="preserve">Remote review </w:t>
      </w:r>
      <w:proofErr w:type="gramStart"/>
      <w:r w:rsidR="00A315E8">
        <w:rPr>
          <w:rFonts w:ascii="Times New Roman" w:hAnsi="Times New Roman" w:cs="Times New Roman"/>
          <w:sz w:val="32"/>
          <w:szCs w:val="32"/>
        </w:rPr>
        <w:t>-  Click</w:t>
      </w:r>
      <w:proofErr w:type="gramEnd"/>
      <w:r w:rsidR="00A315E8">
        <w:rPr>
          <w:rFonts w:ascii="Times New Roman" w:hAnsi="Times New Roman" w:cs="Times New Roman"/>
          <w:sz w:val="32"/>
          <w:szCs w:val="32"/>
        </w:rPr>
        <w:t xml:space="preserve"> the Option 2 button. That will bring up a section to enter the name, email address, and degree/license for each IRB member or to enter the name and mail for the SRC </w:t>
      </w:r>
      <w:r w:rsidR="005A171C">
        <w:rPr>
          <w:rFonts w:ascii="Times New Roman" w:hAnsi="Times New Roman" w:cs="Times New Roman"/>
          <w:sz w:val="32"/>
          <w:szCs w:val="32"/>
        </w:rPr>
        <w:t>members</w:t>
      </w:r>
      <w:r w:rsidR="004D70E5">
        <w:rPr>
          <w:rFonts w:ascii="Times New Roman" w:hAnsi="Times New Roman" w:cs="Times New Roman"/>
          <w:sz w:val="32"/>
          <w:szCs w:val="32"/>
        </w:rPr>
        <w:t xml:space="preserve"> (you must distinguish a chair for the SRC and that’s who will </w:t>
      </w:r>
      <w:proofErr w:type="gramStart"/>
      <w:r w:rsidR="004D70E5">
        <w:rPr>
          <w:rFonts w:ascii="Times New Roman" w:hAnsi="Times New Roman" w:cs="Times New Roman"/>
          <w:sz w:val="32"/>
          <w:szCs w:val="32"/>
        </w:rPr>
        <w:t>actually sign</w:t>
      </w:r>
      <w:proofErr w:type="gramEnd"/>
      <w:r w:rsidR="004D70E5">
        <w:rPr>
          <w:rFonts w:ascii="Times New Roman" w:hAnsi="Times New Roman" w:cs="Times New Roman"/>
          <w:sz w:val="32"/>
          <w:szCs w:val="32"/>
        </w:rPr>
        <w:t>)</w:t>
      </w:r>
      <w:r w:rsidR="00A315E8">
        <w:rPr>
          <w:rFonts w:ascii="Times New Roman" w:hAnsi="Times New Roman" w:cs="Times New Roman"/>
          <w:sz w:val="32"/>
          <w:szCs w:val="32"/>
        </w:rPr>
        <w:t xml:space="preserve">. </w:t>
      </w:r>
      <w:r w:rsidR="005A171C">
        <w:rPr>
          <w:rFonts w:ascii="Times New Roman" w:hAnsi="Times New Roman" w:cs="Times New Roman"/>
          <w:sz w:val="32"/>
          <w:szCs w:val="32"/>
        </w:rPr>
        <w:t xml:space="preserve">Don’t fret getting titles exactly correct in the name or the degree for the IRB – those folks have the opportunity to edit when they </w:t>
      </w:r>
      <w:proofErr w:type="gramStart"/>
      <w:r w:rsidR="005A171C">
        <w:rPr>
          <w:rFonts w:ascii="Times New Roman" w:hAnsi="Times New Roman" w:cs="Times New Roman"/>
          <w:sz w:val="32"/>
          <w:szCs w:val="32"/>
        </w:rPr>
        <w:t>login, but</w:t>
      </w:r>
      <w:proofErr w:type="gramEnd"/>
      <w:r w:rsidR="005A171C">
        <w:rPr>
          <w:rFonts w:ascii="Times New Roman" w:hAnsi="Times New Roman" w:cs="Times New Roman"/>
          <w:sz w:val="32"/>
          <w:szCs w:val="32"/>
        </w:rPr>
        <w:t xml:space="preserve"> get them started as a prompt. When you click the ‘save and send’ button, it will immediately send emails to the </w:t>
      </w:r>
      <w:r w:rsidR="004D70E5">
        <w:rPr>
          <w:rFonts w:ascii="Times New Roman" w:hAnsi="Times New Roman" w:cs="Times New Roman"/>
          <w:sz w:val="32"/>
          <w:szCs w:val="32"/>
        </w:rPr>
        <w:t xml:space="preserve">reviewers, so </w:t>
      </w:r>
      <w:r w:rsidR="00C951E7">
        <w:rPr>
          <w:rFonts w:ascii="Times New Roman" w:hAnsi="Times New Roman" w:cs="Times New Roman"/>
          <w:sz w:val="32"/>
          <w:szCs w:val="32"/>
        </w:rPr>
        <w:t xml:space="preserve">please check with your people in advance so they know what the email is about and don’t ignore it. </w:t>
      </w:r>
    </w:p>
    <w:p w14:paraId="3D840730" w14:textId="476EFF3D" w:rsidR="00601C26" w:rsidRPr="00E243F3" w:rsidRDefault="00601C26" w:rsidP="00382CE7">
      <w:pPr>
        <w:pStyle w:val="ListParagraph"/>
        <w:numPr>
          <w:ilvl w:val="0"/>
          <w:numId w:val="3"/>
        </w:numPr>
        <w:rPr>
          <w:rFonts w:ascii="Amasis MT Pro Black" w:hAnsi="Amasis MT Pro Black"/>
          <w:sz w:val="32"/>
          <w:szCs w:val="32"/>
        </w:rPr>
      </w:pPr>
      <w:proofErr w:type="spellStart"/>
      <w:r>
        <w:rPr>
          <w:rFonts w:ascii="Times New Roman" w:hAnsi="Times New Roman" w:cs="Times New Roman"/>
          <w:sz w:val="32"/>
          <w:szCs w:val="32"/>
        </w:rPr>
        <w:t>Opt</w:t>
      </w:r>
      <w:proofErr w:type="spellEnd"/>
      <w:r>
        <w:rPr>
          <w:rFonts w:ascii="Times New Roman" w:hAnsi="Times New Roman" w:cs="Times New Roman"/>
          <w:sz w:val="32"/>
          <w:szCs w:val="32"/>
        </w:rPr>
        <w:t xml:space="preserve"> 3: Use Parent Fair SRC/IRB – Click the option 3 button and it will bring up some information and a button to set your district SRC or IRB as your approver. You MUST check with the district fair director to confirm if this is an option for you and to ensure they have already set up their people. If their SRC is currently blank, yours will be too if you click to copy them.</w:t>
      </w:r>
    </w:p>
    <w:p w14:paraId="7287BFF4" w14:textId="3643F87C" w:rsidR="00E243F3" w:rsidRPr="00E243F3" w:rsidRDefault="00ED5889" w:rsidP="00E243F3">
      <w:pPr>
        <w:pStyle w:val="ListParagraph"/>
        <w:numPr>
          <w:ilvl w:val="0"/>
          <w:numId w:val="1"/>
        </w:numPr>
        <w:ind w:left="540" w:hanging="450"/>
        <w:rPr>
          <w:rFonts w:ascii="Amasis MT Pro Black" w:hAnsi="Amasis MT Pro Black"/>
          <w:sz w:val="32"/>
          <w:szCs w:val="32"/>
        </w:rPr>
      </w:pPr>
      <w:r>
        <w:rPr>
          <w:rFonts w:ascii="Amasis MT Pro Black" w:hAnsi="Amasis MT Pro Black"/>
          <w:sz w:val="32"/>
          <w:szCs w:val="32"/>
        </w:rPr>
        <w:t>Collecting approvals</w:t>
      </w:r>
      <w:r w:rsidR="00E243F3" w:rsidRPr="00E243F3">
        <w:rPr>
          <w:rFonts w:ascii="Amasis MT Pro Black" w:hAnsi="Amasis MT Pro Black"/>
          <w:sz w:val="32"/>
          <w:szCs w:val="32"/>
        </w:rPr>
        <w:t>.</w:t>
      </w:r>
      <w:r w:rsidR="00E243F3" w:rsidRPr="00E243F3">
        <w:rPr>
          <w:rFonts w:ascii="Amasis MT Pro Black" w:hAnsi="Amasis MT Pro Black"/>
          <w:b/>
          <w:bCs/>
          <w:sz w:val="32"/>
          <w:szCs w:val="32"/>
        </w:rPr>
        <w:t xml:space="preserve"> </w:t>
      </w:r>
      <w:r w:rsidRPr="00ED5889">
        <w:rPr>
          <w:rFonts w:ascii="Times New Roman" w:hAnsi="Times New Roman" w:cs="Times New Roman"/>
          <w:sz w:val="32"/>
          <w:szCs w:val="32"/>
        </w:rPr>
        <w:t>Options</w:t>
      </w:r>
      <w:r>
        <w:rPr>
          <w:rFonts w:ascii="Times New Roman" w:hAnsi="Times New Roman" w:cs="Times New Roman"/>
          <w:sz w:val="32"/>
          <w:szCs w:val="32"/>
        </w:rPr>
        <w:t xml:space="preserve"> 2 and 3 </w:t>
      </w:r>
      <w:r w:rsidR="000476E3">
        <w:rPr>
          <w:rFonts w:ascii="Times New Roman" w:hAnsi="Times New Roman" w:cs="Times New Roman"/>
          <w:sz w:val="32"/>
          <w:szCs w:val="32"/>
        </w:rPr>
        <w:t xml:space="preserve">should be </w:t>
      </w:r>
      <w:proofErr w:type="gramStart"/>
      <w:r w:rsidR="000476E3">
        <w:rPr>
          <w:rFonts w:ascii="Times New Roman" w:hAnsi="Times New Roman" w:cs="Times New Roman"/>
          <w:sz w:val="32"/>
          <w:szCs w:val="32"/>
        </w:rPr>
        <w:t>fairly smooth</w:t>
      </w:r>
      <w:proofErr w:type="gramEnd"/>
      <w:r w:rsidR="000476E3">
        <w:rPr>
          <w:rFonts w:ascii="Times New Roman" w:hAnsi="Times New Roman" w:cs="Times New Roman"/>
          <w:sz w:val="32"/>
          <w:szCs w:val="32"/>
        </w:rPr>
        <w:t xml:space="preserve"> because they automatically receive instructions as well as prompts when students need their projects reviewed. Please check in with your SRC/IRB people to make sure they are on track. </w:t>
      </w:r>
    </w:p>
    <w:p w14:paraId="59398438" w14:textId="4EA55A10" w:rsidR="00E243F3" w:rsidRDefault="00E243F3" w:rsidP="000476E3">
      <w:pPr>
        <w:ind w:left="540"/>
        <w:rPr>
          <w:rFonts w:ascii="Times New Roman" w:hAnsi="Times New Roman" w:cs="Times New Roman"/>
          <w:sz w:val="32"/>
          <w:szCs w:val="32"/>
        </w:rPr>
      </w:pPr>
      <w:proofErr w:type="spellStart"/>
      <w:r w:rsidRPr="000476E3">
        <w:rPr>
          <w:rFonts w:ascii="Times New Roman" w:hAnsi="Times New Roman" w:cs="Times New Roman"/>
          <w:sz w:val="32"/>
          <w:szCs w:val="32"/>
          <w:u w:val="single"/>
        </w:rPr>
        <w:t>Opt</w:t>
      </w:r>
      <w:proofErr w:type="spellEnd"/>
      <w:r w:rsidRPr="000476E3">
        <w:rPr>
          <w:rFonts w:ascii="Times New Roman" w:hAnsi="Times New Roman" w:cs="Times New Roman"/>
          <w:sz w:val="32"/>
          <w:szCs w:val="32"/>
          <w:u w:val="single"/>
        </w:rPr>
        <w:t xml:space="preserve"> 1:</w:t>
      </w:r>
      <w:r>
        <w:rPr>
          <w:rFonts w:ascii="Times New Roman" w:hAnsi="Times New Roman" w:cs="Times New Roman"/>
          <w:sz w:val="32"/>
          <w:szCs w:val="32"/>
        </w:rPr>
        <w:t xml:space="preserve"> In-person </w:t>
      </w:r>
      <w:proofErr w:type="gramStart"/>
      <w:r>
        <w:rPr>
          <w:rFonts w:ascii="Times New Roman" w:hAnsi="Times New Roman" w:cs="Times New Roman"/>
          <w:sz w:val="32"/>
          <w:szCs w:val="32"/>
        </w:rPr>
        <w:t>review  -</w:t>
      </w:r>
      <w:proofErr w:type="gramEnd"/>
      <w:r>
        <w:rPr>
          <w:rFonts w:ascii="Times New Roman" w:hAnsi="Times New Roman" w:cs="Times New Roman"/>
          <w:sz w:val="32"/>
          <w:szCs w:val="32"/>
        </w:rPr>
        <w:t xml:space="preserve"> </w:t>
      </w:r>
      <w:r w:rsidR="000476E3">
        <w:rPr>
          <w:rFonts w:ascii="Times New Roman" w:hAnsi="Times New Roman" w:cs="Times New Roman"/>
          <w:sz w:val="32"/>
          <w:szCs w:val="32"/>
        </w:rPr>
        <w:t xml:space="preserve">Option 1 is a little different. You will click on the “Start IRB Meeting” (or same for SRC). </w:t>
      </w:r>
      <w:r w:rsidR="00FC5C03">
        <w:rPr>
          <w:rFonts w:ascii="Times New Roman" w:hAnsi="Times New Roman" w:cs="Times New Roman"/>
          <w:sz w:val="32"/>
          <w:szCs w:val="32"/>
        </w:rPr>
        <w:t xml:space="preserve">That will give you spots to enter the info for the reviewers. Make sure that is entered </w:t>
      </w:r>
      <w:r w:rsidR="009226F7">
        <w:rPr>
          <w:rFonts w:ascii="Times New Roman" w:hAnsi="Times New Roman" w:cs="Times New Roman"/>
          <w:sz w:val="32"/>
          <w:szCs w:val="32"/>
        </w:rPr>
        <w:t xml:space="preserve">and saved. Then you will be notified that the green Section 3 section is set up to function like the reviewer instead of </w:t>
      </w:r>
      <w:r w:rsidR="00EF470A">
        <w:rPr>
          <w:rFonts w:ascii="Times New Roman" w:hAnsi="Times New Roman" w:cs="Times New Roman"/>
          <w:sz w:val="32"/>
          <w:szCs w:val="32"/>
        </w:rPr>
        <w:t xml:space="preserve">your normal account. You </w:t>
      </w:r>
      <w:r w:rsidR="00A54006">
        <w:rPr>
          <w:rFonts w:ascii="Times New Roman" w:hAnsi="Times New Roman" w:cs="Times New Roman"/>
          <w:sz w:val="32"/>
          <w:szCs w:val="32"/>
        </w:rPr>
        <w:t>c</w:t>
      </w:r>
      <w:r w:rsidR="00EF470A">
        <w:rPr>
          <w:rFonts w:ascii="Times New Roman" w:hAnsi="Times New Roman" w:cs="Times New Roman"/>
          <w:sz w:val="32"/>
          <w:szCs w:val="32"/>
        </w:rPr>
        <w:t xml:space="preserve">an advance from one project to the next for them and record </w:t>
      </w:r>
      <w:r w:rsidR="00A54006">
        <w:rPr>
          <w:rFonts w:ascii="Times New Roman" w:hAnsi="Times New Roman" w:cs="Times New Roman"/>
          <w:sz w:val="32"/>
          <w:szCs w:val="32"/>
        </w:rPr>
        <w:t xml:space="preserve">their decision as you go. This works the same as the project </w:t>
      </w:r>
      <w:r w:rsidR="00A54006">
        <w:rPr>
          <w:rFonts w:ascii="Times New Roman" w:hAnsi="Times New Roman" w:cs="Times New Roman"/>
          <w:sz w:val="32"/>
          <w:szCs w:val="32"/>
        </w:rPr>
        <w:lastRenderedPageBreak/>
        <w:t xml:space="preserve">review for the teacher account except that </w:t>
      </w:r>
      <w:r w:rsidR="007D017E">
        <w:rPr>
          <w:rFonts w:ascii="Times New Roman" w:hAnsi="Times New Roman" w:cs="Times New Roman"/>
          <w:sz w:val="32"/>
          <w:szCs w:val="32"/>
        </w:rPr>
        <w:t xml:space="preserve">there are only dropdowns for pending approval projects (waiting on SRC/IRB approval) </w:t>
      </w:r>
      <w:r w:rsidR="00EB1F90">
        <w:rPr>
          <w:rFonts w:ascii="Times New Roman" w:hAnsi="Times New Roman" w:cs="Times New Roman"/>
          <w:sz w:val="32"/>
          <w:szCs w:val="32"/>
        </w:rPr>
        <w:t>and</w:t>
      </w:r>
      <w:r w:rsidR="007D017E">
        <w:rPr>
          <w:rFonts w:ascii="Times New Roman" w:hAnsi="Times New Roman" w:cs="Times New Roman"/>
          <w:sz w:val="32"/>
          <w:szCs w:val="32"/>
        </w:rPr>
        <w:t xml:space="preserve"> approved projects</w:t>
      </w:r>
      <w:r w:rsidR="00EB1F90">
        <w:rPr>
          <w:rFonts w:ascii="Times New Roman" w:hAnsi="Times New Roman" w:cs="Times New Roman"/>
          <w:sz w:val="32"/>
          <w:szCs w:val="32"/>
        </w:rPr>
        <w:t xml:space="preserve">, which the reviewers have already approved. You aren’t familiar with </w:t>
      </w:r>
      <w:r w:rsidR="007617D2">
        <w:rPr>
          <w:rFonts w:ascii="Times New Roman" w:hAnsi="Times New Roman" w:cs="Times New Roman"/>
          <w:sz w:val="32"/>
          <w:szCs w:val="32"/>
        </w:rPr>
        <w:t>the teacher project review menu, you will likely have some experience before needing to run SRC or IRB meetings</w:t>
      </w:r>
      <w:r w:rsidR="00757339">
        <w:rPr>
          <w:rFonts w:ascii="Times New Roman" w:hAnsi="Times New Roman" w:cs="Times New Roman"/>
          <w:sz w:val="32"/>
          <w:szCs w:val="32"/>
        </w:rPr>
        <w:t>, but there will also be a help guide for teacher project review so check there if needed.</w:t>
      </w:r>
    </w:p>
    <w:p w14:paraId="5956BF20" w14:textId="3ED03E65" w:rsidR="00110B5B" w:rsidRDefault="00110B5B" w:rsidP="00732E41">
      <w:pPr>
        <w:ind w:left="630" w:hanging="90"/>
        <w:rPr>
          <w:rFonts w:ascii="Times New Roman" w:hAnsi="Times New Roman" w:cs="Times New Roman"/>
          <w:sz w:val="32"/>
          <w:szCs w:val="32"/>
        </w:rPr>
      </w:pPr>
      <w:proofErr w:type="spellStart"/>
      <w:r>
        <w:rPr>
          <w:rFonts w:ascii="Times New Roman" w:hAnsi="Times New Roman" w:cs="Times New Roman"/>
          <w:sz w:val="32"/>
          <w:szCs w:val="32"/>
          <w:u w:val="single"/>
        </w:rPr>
        <w:t>Opt</w:t>
      </w:r>
      <w:proofErr w:type="spellEnd"/>
      <w:r>
        <w:rPr>
          <w:rFonts w:ascii="Times New Roman" w:hAnsi="Times New Roman" w:cs="Times New Roman"/>
          <w:sz w:val="32"/>
          <w:szCs w:val="32"/>
          <w:u w:val="single"/>
        </w:rPr>
        <w:t xml:space="preserve"> </w:t>
      </w:r>
      <w:r w:rsidR="006E786D">
        <w:rPr>
          <w:rFonts w:ascii="Times New Roman" w:hAnsi="Times New Roman" w:cs="Times New Roman"/>
          <w:sz w:val="32"/>
          <w:szCs w:val="32"/>
          <w:u w:val="single"/>
        </w:rPr>
        <w:t>2</w:t>
      </w:r>
      <w:r>
        <w:rPr>
          <w:rFonts w:ascii="Times New Roman" w:hAnsi="Times New Roman" w:cs="Times New Roman"/>
          <w:sz w:val="32"/>
          <w:szCs w:val="32"/>
          <w:u w:val="single"/>
        </w:rPr>
        <w:t xml:space="preserve"> and </w:t>
      </w:r>
      <w:r w:rsidR="006E786D">
        <w:rPr>
          <w:rFonts w:ascii="Times New Roman" w:hAnsi="Times New Roman" w:cs="Times New Roman"/>
          <w:sz w:val="32"/>
          <w:szCs w:val="32"/>
          <w:u w:val="single"/>
        </w:rPr>
        <w:t>3</w:t>
      </w:r>
      <w:r>
        <w:rPr>
          <w:rFonts w:ascii="Times New Roman" w:hAnsi="Times New Roman" w:cs="Times New Roman"/>
          <w:sz w:val="32"/>
          <w:szCs w:val="32"/>
          <w:u w:val="single"/>
        </w:rPr>
        <w:t>:</w:t>
      </w:r>
      <w:r>
        <w:rPr>
          <w:rFonts w:ascii="Times New Roman" w:hAnsi="Times New Roman" w:cs="Times New Roman"/>
          <w:sz w:val="32"/>
          <w:szCs w:val="32"/>
        </w:rPr>
        <w:t xml:space="preserve"> You don’t have a direct rol</w:t>
      </w:r>
      <w:r w:rsidR="006E786D">
        <w:rPr>
          <w:rFonts w:ascii="Times New Roman" w:hAnsi="Times New Roman" w:cs="Times New Roman"/>
          <w:sz w:val="32"/>
          <w:szCs w:val="32"/>
        </w:rPr>
        <w:t xml:space="preserve">e after entering their names or importing from the district fair, but do please check in on your people to make sure they have received the email, still plan to participate, etc. </w:t>
      </w:r>
    </w:p>
    <w:p w14:paraId="2EA013C4" w14:textId="77777777" w:rsidR="00732E41" w:rsidRDefault="00732E41" w:rsidP="00732E41">
      <w:pPr>
        <w:ind w:left="630" w:hanging="90"/>
        <w:rPr>
          <w:rFonts w:ascii="Amasis MT Pro Black" w:hAnsi="Amasis MT Pro Black"/>
          <w:sz w:val="32"/>
          <w:szCs w:val="32"/>
        </w:rPr>
      </w:pPr>
    </w:p>
    <w:p w14:paraId="31104005" w14:textId="77777777" w:rsidR="00732E41" w:rsidRDefault="00732E41" w:rsidP="00732E41">
      <w:pPr>
        <w:ind w:left="630" w:hanging="90"/>
        <w:rPr>
          <w:rFonts w:ascii="Amasis MT Pro Black" w:hAnsi="Amasis MT Pro Black"/>
          <w:sz w:val="32"/>
          <w:szCs w:val="32"/>
        </w:rPr>
      </w:pPr>
    </w:p>
    <w:p w14:paraId="35F4B48E" w14:textId="33820812" w:rsidR="00732E41" w:rsidRPr="00110B5B" w:rsidRDefault="00732E41" w:rsidP="00732E41">
      <w:pPr>
        <w:ind w:left="630" w:hanging="90"/>
        <w:rPr>
          <w:rFonts w:ascii="Amasis MT Pro Black" w:hAnsi="Amasis MT Pro Black"/>
          <w:sz w:val="32"/>
          <w:szCs w:val="32"/>
        </w:rPr>
      </w:pPr>
      <w:r>
        <w:rPr>
          <w:rFonts w:ascii="Amasis MT Pro Black" w:hAnsi="Amasis MT Pro Black"/>
          <w:sz w:val="32"/>
          <w:szCs w:val="32"/>
        </w:rPr>
        <w:t>Admin accounts have other features, but this guide is specifically focused on SRC and IRB setup. Check out future guides and videos for more info.</w:t>
      </w:r>
    </w:p>
    <w:sectPr w:rsidR="00732E41" w:rsidRPr="00110B5B" w:rsidSect="00380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23D"/>
    <w:multiLevelType w:val="hybridMultilevel"/>
    <w:tmpl w:val="6B18066A"/>
    <w:lvl w:ilvl="0" w:tplc="14BE3D84">
      <w:start w:val="5"/>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67A7829"/>
    <w:multiLevelType w:val="hybridMultilevel"/>
    <w:tmpl w:val="EE20DDC2"/>
    <w:lvl w:ilvl="0" w:tplc="A71C56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C0F26"/>
    <w:multiLevelType w:val="hybridMultilevel"/>
    <w:tmpl w:val="5B3804E0"/>
    <w:lvl w:ilvl="0" w:tplc="77AA59D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179786">
    <w:abstractNumId w:val="2"/>
  </w:num>
  <w:num w:numId="2" w16cid:durableId="971668640">
    <w:abstractNumId w:val="1"/>
  </w:num>
  <w:num w:numId="3" w16cid:durableId="64713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CE"/>
    <w:rsid w:val="000139D2"/>
    <w:rsid w:val="000305B1"/>
    <w:rsid w:val="000476E3"/>
    <w:rsid w:val="00064811"/>
    <w:rsid w:val="00072E87"/>
    <w:rsid w:val="00076FEC"/>
    <w:rsid w:val="00097663"/>
    <w:rsid w:val="00110B5B"/>
    <w:rsid w:val="00116FA8"/>
    <w:rsid w:val="00120DCD"/>
    <w:rsid w:val="001218B6"/>
    <w:rsid w:val="0013192A"/>
    <w:rsid w:val="0013401B"/>
    <w:rsid w:val="00134916"/>
    <w:rsid w:val="0014249B"/>
    <w:rsid w:val="00143F79"/>
    <w:rsid w:val="001A7B81"/>
    <w:rsid w:val="001B2BC3"/>
    <w:rsid w:val="001B301B"/>
    <w:rsid w:val="001E3CCB"/>
    <w:rsid w:val="001F4FD1"/>
    <w:rsid w:val="00206088"/>
    <w:rsid w:val="00226F06"/>
    <w:rsid w:val="002276EE"/>
    <w:rsid w:val="00240E86"/>
    <w:rsid w:val="00246328"/>
    <w:rsid w:val="00273A6E"/>
    <w:rsid w:val="00283D56"/>
    <w:rsid w:val="002B5011"/>
    <w:rsid w:val="002C4866"/>
    <w:rsid w:val="002D7191"/>
    <w:rsid w:val="00302258"/>
    <w:rsid w:val="00340ECB"/>
    <w:rsid w:val="00366283"/>
    <w:rsid w:val="00375AF7"/>
    <w:rsid w:val="003804CE"/>
    <w:rsid w:val="00382CE7"/>
    <w:rsid w:val="00396E68"/>
    <w:rsid w:val="003A293D"/>
    <w:rsid w:val="003B0413"/>
    <w:rsid w:val="003D0189"/>
    <w:rsid w:val="004236C6"/>
    <w:rsid w:val="004274E4"/>
    <w:rsid w:val="00431D4D"/>
    <w:rsid w:val="00456221"/>
    <w:rsid w:val="00497889"/>
    <w:rsid w:val="004B13A2"/>
    <w:rsid w:val="004B4437"/>
    <w:rsid w:val="004C19EC"/>
    <w:rsid w:val="004C6CE7"/>
    <w:rsid w:val="004D01E6"/>
    <w:rsid w:val="004D70E5"/>
    <w:rsid w:val="004F7DB9"/>
    <w:rsid w:val="005216A6"/>
    <w:rsid w:val="005532AF"/>
    <w:rsid w:val="00560ECE"/>
    <w:rsid w:val="0058314E"/>
    <w:rsid w:val="005A171C"/>
    <w:rsid w:val="005B1BAF"/>
    <w:rsid w:val="005B2683"/>
    <w:rsid w:val="005C441B"/>
    <w:rsid w:val="005D498D"/>
    <w:rsid w:val="005E052E"/>
    <w:rsid w:val="005E7C02"/>
    <w:rsid w:val="00601C26"/>
    <w:rsid w:val="0061410A"/>
    <w:rsid w:val="0065291E"/>
    <w:rsid w:val="0067749B"/>
    <w:rsid w:val="0069579D"/>
    <w:rsid w:val="006B63A8"/>
    <w:rsid w:val="006E786D"/>
    <w:rsid w:val="007312E6"/>
    <w:rsid w:val="007315CC"/>
    <w:rsid w:val="00732E41"/>
    <w:rsid w:val="00733220"/>
    <w:rsid w:val="00734449"/>
    <w:rsid w:val="0074415A"/>
    <w:rsid w:val="00750936"/>
    <w:rsid w:val="00755F98"/>
    <w:rsid w:val="00757339"/>
    <w:rsid w:val="007617D2"/>
    <w:rsid w:val="00782483"/>
    <w:rsid w:val="00785F7C"/>
    <w:rsid w:val="007A4746"/>
    <w:rsid w:val="007D017E"/>
    <w:rsid w:val="007D19F3"/>
    <w:rsid w:val="007D353A"/>
    <w:rsid w:val="007D3602"/>
    <w:rsid w:val="007D570B"/>
    <w:rsid w:val="007E69C7"/>
    <w:rsid w:val="00822419"/>
    <w:rsid w:val="00831B2A"/>
    <w:rsid w:val="008808ED"/>
    <w:rsid w:val="00890CAD"/>
    <w:rsid w:val="00897F90"/>
    <w:rsid w:val="008B4FA2"/>
    <w:rsid w:val="008C1022"/>
    <w:rsid w:val="008E2E02"/>
    <w:rsid w:val="00900106"/>
    <w:rsid w:val="009012F8"/>
    <w:rsid w:val="00917FDD"/>
    <w:rsid w:val="009226F7"/>
    <w:rsid w:val="00942282"/>
    <w:rsid w:val="0094439D"/>
    <w:rsid w:val="00971529"/>
    <w:rsid w:val="009B1190"/>
    <w:rsid w:val="009B6B47"/>
    <w:rsid w:val="009C35E9"/>
    <w:rsid w:val="009D48F4"/>
    <w:rsid w:val="009D5189"/>
    <w:rsid w:val="009E1151"/>
    <w:rsid w:val="00A24C27"/>
    <w:rsid w:val="00A266E1"/>
    <w:rsid w:val="00A315E8"/>
    <w:rsid w:val="00A32461"/>
    <w:rsid w:val="00A54006"/>
    <w:rsid w:val="00A87C72"/>
    <w:rsid w:val="00AA32EE"/>
    <w:rsid w:val="00AA62CB"/>
    <w:rsid w:val="00AC5D60"/>
    <w:rsid w:val="00AD15F7"/>
    <w:rsid w:val="00AF459A"/>
    <w:rsid w:val="00B007E1"/>
    <w:rsid w:val="00B11B18"/>
    <w:rsid w:val="00B12971"/>
    <w:rsid w:val="00B13AD0"/>
    <w:rsid w:val="00B14BF7"/>
    <w:rsid w:val="00B2367E"/>
    <w:rsid w:val="00B409FC"/>
    <w:rsid w:val="00B56433"/>
    <w:rsid w:val="00B77637"/>
    <w:rsid w:val="00B97486"/>
    <w:rsid w:val="00BC357C"/>
    <w:rsid w:val="00BC3F8B"/>
    <w:rsid w:val="00C12422"/>
    <w:rsid w:val="00C24BD4"/>
    <w:rsid w:val="00C45CBF"/>
    <w:rsid w:val="00C50C4A"/>
    <w:rsid w:val="00C951E7"/>
    <w:rsid w:val="00CA4F91"/>
    <w:rsid w:val="00CA7212"/>
    <w:rsid w:val="00CA741F"/>
    <w:rsid w:val="00CB2CA4"/>
    <w:rsid w:val="00CB33DD"/>
    <w:rsid w:val="00D03159"/>
    <w:rsid w:val="00D110E6"/>
    <w:rsid w:val="00D22A4C"/>
    <w:rsid w:val="00D50ED5"/>
    <w:rsid w:val="00D540FE"/>
    <w:rsid w:val="00DA7708"/>
    <w:rsid w:val="00DD1493"/>
    <w:rsid w:val="00DE220C"/>
    <w:rsid w:val="00E1646D"/>
    <w:rsid w:val="00E243F3"/>
    <w:rsid w:val="00E32505"/>
    <w:rsid w:val="00E35308"/>
    <w:rsid w:val="00EA08A5"/>
    <w:rsid w:val="00EA0C31"/>
    <w:rsid w:val="00EB1F90"/>
    <w:rsid w:val="00ED2F78"/>
    <w:rsid w:val="00ED5889"/>
    <w:rsid w:val="00EE250C"/>
    <w:rsid w:val="00EF0540"/>
    <w:rsid w:val="00EF470A"/>
    <w:rsid w:val="00EF4B52"/>
    <w:rsid w:val="00F13E4B"/>
    <w:rsid w:val="00F2028F"/>
    <w:rsid w:val="00F2501F"/>
    <w:rsid w:val="00F5221B"/>
    <w:rsid w:val="00F93068"/>
    <w:rsid w:val="00FC5C03"/>
    <w:rsid w:val="00FD1406"/>
    <w:rsid w:val="00FE49BE"/>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3526"/>
  <w15:chartTrackingRefBased/>
  <w15:docId w15:val="{34834309-61A3-4DAA-A34F-F764F344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022"/>
    <w:pPr>
      <w:ind w:left="720"/>
      <w:contextualSpacing/>
    </w:pPr>
  </w:style>
  <w:style w:type="character" w:styleId="Hyperlink">
    <w:name w:val="Hyperlink"/>
    <w:basedOn w:val="DefaultParagraphFont"/>
    <w:uiPriority w:val="99"/>
    <w:unhideWhenUsed/>
    <w:rsid w:val="00A87C72"/>
    <w:rPr>
      <w:color w:val="0563C1" w:themeColor="hyperlink"/>
      <w:u w:val="single"/>
    </w:rPr>
  </w:style>
  <w:style w:type="character" w:styleId="UnresolvedMention">
    <w:name w:val="Unresolved Mention"/>
    <w:basedOn w:val="DefaultParagraphFont"/>
    <w:uiPriority w:val="99"/>
    <w:semiHidden/>
    <w:unhideWhenUsed/>
    <w:rsid w:val="00A87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Levy</dc:creator>
  <cp:keywords/>
  <dc:description/>
  <cp:lastModifiedBy>Mark A. Levy</cp:lastModifiedBy>
  <cp:revision>77</cp:revision>
  <cp:lastPrinted>2023-09-12T00:49:00Z</cp:lastPrinted>
  <dcterms:created xsi:type="dcterms:W3CDTF">2023-10-10T02:13:00Z</dcterms:created>
  <dcterms:modified xsi:type="dcterms:W3CDTF">2023-10-10T04:08:00Z</dcterms:modified>
</cp:coreProperties>
</file>