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ATTENDANCE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learners of compulsory school age, Local Authority commissioned learners, school-referred learners and learners attending full-time, part-time, phased or blended programmes.</w:t>
      </w:r>
    </w:p>
    <w:p>
      <w:r>
        <w:t>Site</w:t>
      </w:r>
    </w:p>
    <w:p>
      <w:r>
        <w:t>Birmingham</w:t>
      </w:r>
    </w:p>
    <w:p>
      <w:r>
        <w:t>1.0</w:t>
      </w:r>
    </w:p>
    <w:p>
      <w:r>
        <w:t>Director / DSL</w:t>
      </w:r>
    </w:p>
    <w:p>
      <w:r>
        <w:rPr>
          <w:b/>
        </w:rPr>
        <w:t>18 January 2026</w:t>
      </w:r>
    </w:p>
    <w:p>
      <w:r>
        <w:t>January 2027</w:t>
      </w:r>
    </w:p>
    <w:p>
      <w:r>
        <w:rPr>
          <w:b/>
        </w:rPr>
        <w:t>1. Policy Statement</w:t>
      </w:r>
    </w:p>
    <w:p>
      <w:r>
        <w:t>levels of attendance, engagement, and safeguarding across all Alternative Provision</w:t>
      </w:r>
    </w:p>
    <w:p>
      <w:r>
        <w:t>programmes. We recognise that learners accessing alternative provision often face complex</w:t>
      </w:r>
    </w:p>
    <w:p>
      <w:r>
        <w:t>barriers to attendance, including SEND, SEMH needs, trauma, anxiety, medical conditions,</w:t>
      </w:r>
    </w:p>
    <w:p>
      <w:r>
        <w:t>school refusal, and previous disengagement from education.</w:t>
      </w:r>
    </w:p>
    <w:p>
      <w:r>
        <w:t>Attendance at Empowering Futures is managed through a supportive, trauma-informed,</w:t>
      </w:r>
    </w:p>
    <w:p>
      <w:r>
        <w:t>and safeguarding-led approach, ensuring compliance with statutory guidance and Local</w:t>
      </w:r>
    </w:p>
    <w:p>
      <w:r>
        <w:t>Authority commissioning requirements. Regular attendance is essential to safeguard</w:t>
      </w:r>
    </w:p>
    <w:p>
      <w:r>
        <w:t>learners, support progress, and enable positive outcomes.</w:t>
      </w:r>
    </w:p>
    <w:p>
      <w:r>
        <w:rPr>
          <w:b/>
        </w:rPr>
        <w:t>2. Scope of the Policy</w:t>
      </w:r>
    </w:p>
    <w:p>
      <w:r>
        <w:t>This policy applies to:</w:t>
      </w:r>
    </w:p>
    <w:p>
      <w:pPr>
        <w:pStyle w:val="ListBullet"/>
      </w:pPr>
      <w:r>
        <w:t>All learners of compulsory school age</w:t>
      </w:r>
    </w:p>
    <w:p>
      <w:pPr>
        <w:pStyle w:val="ListBullet"/>
      </w:pPr>
      <w:r>
        <w:t>Learners commissioned by Local Authorities</w:t>
      </w:r>
    </w:p>
    <w:p>
      <w:pPr>
        <w:pStyle w:val="ListBullet"/>
      </w:pPr>
      <w:r>
        <w:t>Learners referred by schools under Alternative Provision arrangements ●</w:t>
      </w:r>
    </w:p>
    <w:p>
      <w:r>
        <w:br w:type="page"/>
      </w:r>
    </w:p>
    <w:p>
      <w:r>
        <w:t>Learners attending full-time, part-time, phased, or blended programmes</w:t>
      </w:r>
    </w:p>
    <w:p>
      <w:r>
        <w:t>This policy applies across all Empowering Futures delivery sites, including:</w:t>
      </w:r>
    </w:p>
    <w:p>
      <w:pPr>
        <w:pStyle w:val="ListBullet"/>
      </w:pPr>
      <w:r>
        <w:t>WEETC – Coventry</w:t>
      </w:r>
    </w:p>
    <w:p>
      <w:pPr>
        <w:pStyle w:val="ListBullet"/>
      </w:pPr>
      <w:r>
        <w:t>Evolve Centre – Birmingham</w:t>
      </w:r>
    </w:p>
    <w:p>
      <w:pPr>
        <w:pStyle w:val="ListBullet"/>
      </w:pPr>
      <w:r>
        <w:t>Argyle House – Coventry</w:t>
      </w:r>
    </w:p>
    <w:p>
      <w:r>
        <w:rPr>
          <w:b/>
        </w:rPr>
        <w:t>3. Legal and Statutory Framework</w:t>
      </w:r>
    </w:p>
    <w:p>
      <w:r>
        <w:t>This policy aligns with and is informed by the following legislation and statutory guidance:</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Department for Education School Attendance Guidance</w:t>
      </w:r>
    </w:p>
    <w:p>
      <w:pPr>
        <w:pStyle w:val="ListBullet"/>
      </w:pPr>
      <w:r>
        <w:t>Local Authority Alternative Provision commissioning and safeguarding</w:t>
      </w:r>
    </w:p>
    <w:p>
      <w:r>
        <w:t>requirements</w:t>
      </w:r>
    </w:p>
    <w:p>
      <w:pPr>
        <w:pStyle w:val="ListBullet"/>
      </w:pPr>
      <w:r>
        <w:t>Equality Act 2010</w:t>
      </w:r>
    </w:p>
    <w:p>
      <w:r>
        <w:t>Attendance is recognised as a key safeguarding indicator. Patterns of persistent absence,</w:t>
      </w:r>
    </w:p>
    <w:p>
      <w:r>
        <w:t>irregular attendance, or unexplained non-attendance are treated as potential safeguarding</w:t>
      </w:r>
    </w:p>
    <w:p>
      <w:r>
        <w:t>concerns and managed in line with KCSIE 2025 and local safeguarding procedures.</w:t>
      </w:r>
    </w:p>
    <w:p>
      <w:r>
        <w:rPr>
          <w:b/>
        </w:rPr>
        <w:t>4. Attendance Expectations</w:t>
      </w:r>
    </w:p>
    <w:p>
      <w:r>
        <w:rPr>
          <w:b/>
        </w:rPr>
        <w:t>4.1 Learners</w:t>
      </w:r>
    </w:p>
    <w:p>
      <w:pPr>
        <w:pStyle w:val="ListBullet"/>
      </w:pPr>
      <w:r>
        <w:t>Learners are expected to attend all sessions agreed within their placement plan or</w:t>
      </w:r>
    </w:p>
    <w:p>
      <w:r>
        <w:t>personalised timetable.</w:t>
      </w:r>
    </w:p>
    <w:p>
      <w:pPr>
        <w:pStyle w:val="ListBullet"/>
      </w:pPr>
      <w:r>
        <w:t>Attendance expectations are individualised, proportionate, and reflective of each</w:t>
      </w:r>
    </w:p>
    <w:p>
      <w:r>
        <w:t>learner’s needs, risks, and readiness to engage.</w:t>
      </w:r>
    </w:p>
    <w:p>
      <w:r>
        <w:rPr>
          <w:b/>
        </w:rPr>
        <w:t>4.2 Parents and Carers</w:t>
      </w:r>
    </w:p>
    <w:p>
      <w:r>
        <w:br w:type="page"/>
      </w:r>
    </w:p>
    <w:p>
      <w:pPr>
        <w:pStyle w:val="ListBullet"/>
      </w:pPr>
      <w:r>
        <w:t>Parents/carers are responsible for supporting attendance and punctuality. ●</w:t>
      </w:r>
    </w:p>
    <w:p>
      <w:r>
        <w:t>Any absence must be reported before the start of the session or day. ● Clear</w:t>
      </w:r>
    </w:p>
    <w:p>
      <w:r>
        <w:t>communication is required to enable safeguarding checks to take place.</w:t>
      </w:r>
    </w:p>
    <w:p>
      <w:r>
        <w:rPr>
          <w:b/>
        </w:rPr>
        <w:t>4.3 Referring Schools and Local Authorities</w:t>
      </w:r>
    </w:p>
    <w:p>
      <w:pPr>
        <w:pStyle w:val="ListBullet"/>
      </w:pPr>
      <w:r>
        <w:t>The referring school or Local Authority retains statutory responsibility for attendance</w:t>
      </w:r>
    </w:p>
    <w:p>
      <w:r>
        <w:t>where applicable.</w:t>
      </w:r>
    </w:p>
    <w:p>
      <w:pPr>
        <w:pStyle w:val="ListBullet"/>
      </w:pPr>
      <w:r>
        <w:t>Empowering Futures provides accurate attendance data, monitoring, and timely</w:t>
      </w:r>
    </w:p>
    <w:p>
      <w:r>
        <w:t>communication.</w:t>
      </w:r>
    </w:p>
    <w:p>
      <w:r>
        <w:rPr>
          <w:b/>
        </w:rPr>
        <w:t>5. Recording and Monitoring Attendance</w:t>
      </w:r>
    </w:p>
    <w:p>
      <w:pPr>
        <w:pStyle w:val="ListBullet"/>
      </w:pPr>
      <w:r>
        <w:t>Attendance is recorded daily for every learner and session.</w:t>
      </w:r>
    </w:p>
    <w:p>
      <w:pPr>
        <w:pStyle w:val="ListBullet"/>
      </w:pPr>
      <w:r>
        <w:t>Registers are completed promptly and accurately by staff.</w:t>
      </w:r>
    </w:p>
    <w:p>
      <w:pPr>
        <w:pStyle w:val="ListBullet"/>
      </w:pPr>
      <w:r>
        <w:t>Attendance records clearly identify:</w:t>
      </w:r>
    </w:p>
    <w:p>
      <w:r>
        <w:t>○ Present</w:t>
      </w:r>
    </w:p>
    <w:p>
      <w:r>
        <w:t>○ Authorised absence</w:t>
      </w:r>
    </w:p>
    <w:p>
      <w:r>
        <w:t>○ Unauthorised absence</w:t>
      </w:r>
    </w:p>
    <w:p>
      <w:r>
        <w:t>○ Late arrival</w:t>
      </w:r>
    </w:p>
    <w:p>
      <w:r>
        <w:t>○ Medical or wellbeing-related absence</w:t>
      </w:r>
    </w:p>
    <w:p>
      <w:r>
        <w:t>○ Approved off-site activity</w:t>
      </w:r>
    </w:p>
    <w:p>
      <w:r>
        <w:t>Attendance records are securely stored and shared with commissioning bodies in line with</w:t>
      </w:r>
    </w:p>
    <w:p>
      <w:r>
        <w:t>data-sharing agreements and GDPR requirements.</w:t>
      </w:r>
    </w:p>
    <w:p>
      <w:r>
        <w:rPr>
          <w:b/>
        </w:rPr>
        <w:t>6. Reporting Absence</w:t>
      </w:r>
    </w:p>
    <w:p>
      <w:r>
        <w:br w:type="page"/>
      </w:r>
    </w:p>
    <w:p>
      <w:r>
        <w:rPr>
          <w:b/>
        </w:rPr>
        <w:t>6.1 Authorised Absence</w:t>
      </w:r>
    </w:p>
    <w:p>
      <w:r>
        <w:t>Authorised absence may include:</w:t>
      </w:r>
    </w:p>
    <w:p>
      <w:pPr>
        <w:pStyle w:val="ListBullet"/>
      </w:pPr>
      <w:r>
        <w:t>Illness or medical appointments</w:t>
      </w:r>
    </w:p>
    <w:p>
      <w:pPr>
        <w:pStyle w:val="ListBullet"/>
      </w:pPr>
      <w:r>
        <w:t>Mental health or emotional wellbeing needs</w:t>
      </w:r>
    </w:p>
    <w:p>
      <w:pPr>
        <w:pStyle w:val="ListBullet"/>
      </w:pPr>
      <w:r>
        <w:t>Approved therapeutic or external provision</w:t>
      </w:r>
    </w:p>
    <w:p>
      <w:pPr>
        <w:pStyle w:val="ListBullet"/>
      </w:pPr>
      <w:r>
        <w:t>Exceptional circumstances agreed in advance</w:t>
      </w:r>
    </w:p>
    <w:p>
      <w:r>
        <w:t>Where appropriate, supporting evidence may be requested.</w:t>
      </w:r>
    </w:p>
    <w:p>
      <w:r>
        <w:rPr>
          <w:b/>
        </w:rPr>
        <w:t>6.2 Unauthorised Absence</w:t>
      </w:r>
    </w:p>
    <w:p>
      <w:r>
        <w:t>Unauthorised absence includes:</w:t>
      </w:r>
    </w:p>
    <w:p>
      <w:pPr>
        <w:pStyle w:val="ListBullet"/>
      </w:pPr>
      <w:r>
        <w:t>No explanation provided</w:t>
      </w:r>
    </w:p>
    <w:p>
      <w:pPr>
        <w:pStyle w:val="ListBullet"/>
      </w:pPr>
      <w:r>
        <w:t>Absence without valid reason</w:t>
      </w:r>
    </w:p>
    <w:p>
      <w:pPr>
        <w:pStyle w:val="ListBullet"/>
      </w:pPr>
      <w:r>
        <w:t>Failure to attend agreed provision</w:t>
      </w:r>
    </w:p>
    <w:p>
      <w:r>
        <w:t>Unauthorised absence is escalated in line with safeguarding procedures.</w:t>
      </w:r>
    </w:p>
    <w:p>
      <w:r>
        <w:rPr>
          <w:b/>
        </w:rPr>
        <w:t>7. First-Day Absence and Safeguarding Response</w:t>
      </w:r>
    </w:p>
    <w:p>
      <w:r>
        <w:t>Where a learner does not attend and no explanation has been received: 1.</w:t>
      </w:r>
    </w:p>
    <w:p>
      <w:r>
        <w:t>Parents/carers are contacted on the same day</w:t>
      </w:r>
    </w:p>
    <w:p>
      <w:r>
        <w:rPr>
          <w:b/>
        </w:rPr>
        <w:t>2. The absence is logged and monitored</w:t>
      </w:r>
    </w:p>
    <w:p>
      <w:r>
        <w:rPr>
          <w:b/>
        </w:rPr>
        <w:t>3. The referring school or Local Authority is notified where required</w:t>
      </w:r>
    </w:p>
    <w:p>
      <w:r>
        <w:t>If contact cannot be made, or there are safeguarding concerns, the matter is escalated</w:t>
      </w:r>
    </w:p>
    <w:p>
      <w:r>
        <w:t>immediately to the Designated Safeguarding Lead (DSL) in line with KCSIE 2025.</w:t>
      </w:r>
    </w:p>
    <w:p>
      <w:r>
        <w:br w:type="page"/>
      </w:r>
    </w:p>
    <w:p>
      <w:r>
        <w:rPr>
          <w:b/>
        </w:rPr>
        <w:t>8. Local Authority Escalation Procedures</w:t>
      </w:r>
    </w:p>
    <w:p>
      <w:r>
        <w:rPr>
          <w:b/>
        </w:rPr>
        <w:t>8.1 Coventry (CAP Framework and Other Referrals)</w:t>
      </w:r>
    </w:p>
    <w:p>
      <w:r>
        <w:t>For learners commissioned via Coventry:</w:t>
      </w:r>
    </w:p>
    <w:p>
      <w:pPr>
        <w:pStyle w:val="ListBullet"/>
      </w:pPr>
      <w:r>
        <w:t>Attendance concerns are shared with the referring school and/or CAP team ●</w:t>
      </w:r>
    </w:p>
    <w:p>
      <w:r>
        <w:t>Persistent or unexplained absence is recorded as a safeguarding concern</w:t>
      </w:r>
    </w:p>
    <w:p>
      <w:pPr>
        <w:pStyle w:val="ListBullet"/>
      </w:pPr>
      <w:r>
        <w:t>Escalation follows Coventry safeguarding procedures, including Early Help or MASH</w:t>
      </w:r>
    </w:p>
    <w:p>
      <w:r>
        <w:t>referrals where appropriate</w:t>
      </w:r>
    </w:p>
    <w:p>
      <w:pPr>
        <w:pStyle w:val="ListBullet"/>
      </w:pPr>
      <w:r>
        <w:t>Attendance concerns are reviewed within placement reviews and progress reports</w:t>
      </w:r>
    </w:p>
    <w:p>
      <w:r>
        <w:rPr>
          <w:b/>
        </w:rPr>
        <w:t>8.2 Birmingham Referrals</w:t>
      </w:r>
    </w:p>
    <w:p>
      <w:r>
        <w:t>For learners commissioned via Birmingham:</w:t>
      </w:r>
    </w:p>
    <w:p>
      <w:pPr>
        <w:pStyle w:val="ListBullet"/>
      </w:pPr>
      <w:r>
        <w:t>Attendance data and concerns are shared promptly with the referring school or</w:t>
      </w:r>
    </w:p>
    <w:p>
      <w:r>
        <w:t>commissioning officer</w:t>
      </w:r>
    </w:p>
    <w:p>
      <w:pPr>
        <w:pStyle w:val="ListBullet"/>
      </w:pPr>
      <w:r>
        <w:t>Persistent absence is escalated through Birmingham safeguarding pathways</w:t>
      </w:r>
    </w:p>
    <w:p>
      <w:pPr>
        <w:pStyle w:val="ListBullet"/>
      </w:pPr>
      <w:r>
        <w:t>Referrals are made to Birmingham Children’s Services or MASH where</w:t>
      </w:r>
    </w:p>
    <w:p>
      <w:r>
        <w:t>non-attendance presents a safeguarding risk</w:t>
      </w:r>
    </w:p>
    <w:p>
      <w:r>
        <w:rPr>
          <w:b/>
        </w:rPr>
        <w:t>8.3 Walsall Referrals</w:t>
      </w:r>
    </w:p>
    <w:p>
      <w:r>
        <w:t>For learners commissioned via Walsall:</w:t>
      </w:r>
    </w:p>
    <w:p>
      <w:pPr>
        <w:pStyle w:val="ListBullet"/>
      </w:pPr>
      <w:r>
        <w:t>Attendance concerns are shared with the referring school or Local Authority officer</w:t>
      </w:r>
    </w:p>
    <w:p>
      <w:pPr>
        <w:pStyle w:val="ListBullet"/>
      </w:pPr>
      <w:r>
        <w:t>Escalation follows Walsall safeguarding and Early Help pathways</w:t>
      </w:r>
    </w:p>
    <w:p>
      <w:pPr>
        <w:pStyle w:val="ListBullet"/>
      </w:pPr>
      <w:r>
        <w:t>Safeguarding referrals are made where attendance patterns indicate potential risk</w:t>
      </w:r>
    </w:p>
    <w:p>
      <w:r>
        <w:br w:type="page"/>
      </w:r>
    </w:p>
    <w:p>
      <w:r>
        <w:rPr>
          <w:b/>
        </w:rPr>
        <w:t>9. Persistent Absence and Support Planning</w:t>
      </w:r>
    </w:p>
    <w:p>
      <w:r>
        <w:t>Where attendance falls below agreed expectations:</w:t>
      </w:r>
    </w:p>
    <w:p>
      <w:pPr>
        <w:pStyle w:val="ListBullet"/>
      </w:pPr>
      <w:r>
        <w:t>Barriers to attendance are explored with the learner and family</w:t>
      </w:r>
    </w:p>
    <w:p>
      <w:pPr>
        <w:pStyle w:val="ListBullet"/>
      </w:pPr>
      <w:r>
        <w:t>Support strategies are implemented (e.g. phased timetables, mentoring, wellbeing</w:t>
      </w:r>
    </w:p>
    <w:p>
      <w:r>
        <w:t>support, alternative delivery models)</w:t>
      </w:r>
    </w:p>
    <w:p>
      <w:pPr>
        <w:pStyle w:val="ListBullet"/>
      </w:pPr>
      <w:r>
        <w:t>Attendance review meetings are held with schools and/or Local Authorities</w:t>
      </w:r>
    </w:p>
    <w:p>
      <w:pPr>
        <w:pStyle w:val="ListBullet"/>
      </w:pPr>
      <w:r>
        <w:t>Actions and outcomes are documented and reviewed</w:t>
      </w:r>
    </w:p>
    <w:p>
      <w:r>
        <w:t>Empowering Futures does not issue fines or pursue legal enforcement but supports statutory</w:t>
      </w:r>
    </w:p>
    <w:p>
      <w:r>
        <w:t>partners in fulfilling their legal responsibilities.</w:t>
      </w:r>
    </w:p>
    <w:p>
      <w:r>
        <w:rPr>
          <w:b/>
        </w:rPr>
        <w:t>10. Part-Time and Phased Timetables</w:t>
      </w:r>
    </w:p>
    <w:p>
      <w:pPr>
        <w:pStyle w:val="ListBullet"/>
      </w:pPr>
      <w:r>
        <w:t>Reduced or part-time timetables are used only where necessary and in the</w:t>
      </w:r>
    </w:p>
    <w:p>
      <w:r>
        <w:t>learner’s best interests.</w:t>
      </w:r>
    </w:p>
    <w:p>
      <w:pPr>
        <w:pStyle w:val="ListBullet"/>
      </w:pPr>
      <w:r>
        <w:t>All arrangements are:</w:t>
      </w:r>
    </w:p>
    <w:p>
      <w:r>
        <w:t>○ Agreed with the referring school or Local Authority</w:t>
      </w:r>
    </w:p>
    <w:p>
      <w:r>
        <w:t>○ Clearly documented</w:t>
      </w:r>
    </w:p>
    <w:p>
      <w:r>
        <w:t>○ Time-limited and regularly reviewed</w:t>
      </w:r>
    </w:p>
    <w:p>
      <w:r>
        <w:t>The aim is always to support increased engagement where appropriate.</w:t>
      </w:r>
    </w:p>
    <w:p>
      <w:r>
        <w:rPr>
          <w:b/>
        </w:rPr>
        <w:t>11. SEND, Medical Needs, and Reasonable Adjustments</w:t>
      </w:r>
    </w:p>
    <w:p>
      <w:pPr>
        <w:pStyle w:val="ListBullet"/>
      </w:pPr>
      <w:r>
        <w:t>Attendance expectations are adapted for learners with SEND, EHCPs, or medical</w:t>
      </w:r>
    </w:p>
    <w:p>
      <w:r>
        <w:t>needs.</w:t>
      </w:r>
    </w:p>
    <w:p>
      <w:r>
        <w:br w:type="page"/>
      </w:r>
    </w:p>
    <w:p>
      <w:pPr>
        <w:pStyle w:val="ListBullet"/>
      </w:pPr>
      <w:r>
        <w:t>Reasonable adjustments are made in line with the Equality Act 2010. ●</w:t>
      </w:r>
    </w:p>
    <w:p>
      <w:r>
        <w:t>Attendance is considered alongside emotional regulation, wellbeing, and safety.</w:t>
      </w:r>
    </w:p>
    <w:p>
      <w:r>
        <w:rPr>
          <w:b/>
        </w:rPr>
        <w:t>12. Roles and Responsibilities</w:t>
      </w:r>
    </w:p>
    <w:p>
      <w:r>
        <w:t>Designated Safeguarding Lead (DSL)</w:t>
      </w:r>
    </w:p>
    <w:p>
      <w:r>
        <w:t>Rhean White – Director</w:t>
      </w:r>
    </w:p>
    <w:p>
      <w:pPr>
        <w:pStyle w:val="ListBullet"/>
      </w:pPr>
      <w:r>
        <w:t>Oversees attendance as a safeguarding indicator</w:t>
      </w:r>
    </w:p>
    <w:p>
      <w:pPr>
        <w:pStyle w:val="ListBullet"/>
      </w:pPr>
      <w:r>
        <w:t>Leads escalation, safeguarding referrals, and liaison with Local Authorities</w:t>
      </w:r>
    </w:p>
    <w:p>
      <w:pPr>
        <w:pStyle w:val="ListBullet"/>
      </w:pPr>
      <w:r>
        <w:t>Ensures compliance with KCSIE 2025 and safeguarding legislation</w:t>
      </w:r>
    </w:p>
    <w:p>
      <w:r>
        <w:t>Deputy Designated Safeguarding Lead (DDSL)</w:t>
      </w:r>
    </w:p>
    <w:p>
      <w:r>
        <w:t>Rena Sparks</w:t>
      </w:r>
    </w:p>
    <w:p>
      <w:pPr>
        <w:pStyle w:val="ListBullet"/>
      </w:pPr>
      <w:r>
        <w:t>Supports the DSL in monitoring attendance</w:t>
      </w:r>
    </w:p>
    <w:p>
      <w:pPr>
        <w:pStyle w:val="ListBullet"/>
      </w:pPr>
      <w:r>
        <w:t>Acts in the DSL’s absence</w:t>
      </w:r>
    </w:p>
    <w:p>
      <w:pPr>
        <w:pStyle w:val="ListBullet"/>
      </w:pPr>
      <w:r>
        <w:t>Assists with safeguarding and attendance escalation</w:t>
      </w:r>
    </w:p>
    <w:p>
      <w:r>
        <w:t>Provision Leadership</w:t>
      </w:r>
    </w:p>
    <w:p>
      <w:pPr>
        <w:pStyle w:val="ListBullet"/>
      </w:pPr>
      <w:r>
        <w:t>Monitor attendance data and trends</w:t>
      </w:r>
    </w:p>
    <w:p>
      <w:pPr>
        <w:pStyle w:val="ListBullet"/>
      </w:pPr>
      <w:r>
        <w:t>Ensure systems are robust and compliant</w:t>
      </w:r>
    </w:p>
    <w:p>
      <w:pPr>
        <w:pStyle w:val="ListBullet"/>
      </w:pPr>
      <w:r>
        <w:t>Liaise with schools and Local Authorities</w:t>
      </w:r>
    </w:p>
    <w:p>
      <w:r>
        <w:t>Staff and Tutors</w:t>
      </w:r>
    </w:p>
    <w:p>
      <w:pPr>
        <w:pStyle w:val="ListBullet"/>
      </w:pPr>
      <w:r>
        <w:t>Complete registers accurately and promptly</w:t>
      </w:r>
    </w:p>
    <w:p>
      <w:pPr>
        <w:pStyle w:val="ListBullet"/>
      </w:pPr>
      <w:r>
        <w:t>Report attendance concerns immediately</w:t>
      </w:r>
    </w:p>
    <w:p>
      <w:r>
        <w:br w:type="page"/>
      </w:r>
    </w:p>
    <w:p>
      <w:pPr>
        <w:pStyle w:val="ListBullet"/>
      </w:pPr>
      <w:r>
        <w:t>Support engagement through positive relationships</w:t>
      </w:r>
    </w:p>
    <w:p>
      <w:r>
        <w:rPr>
          <w:b/>
        </w:rPr>
        <w:t>13. Information Sharing</w:t>
      </w:r>
    </w:p>
    <w:p>
      <w:r>
        <w:t>Attendance information is shared with:</w:t>
      </w:r>
    </w:p>
    <w:p>
      <w:pPr>
        <w:pStyle w:val="ListBullet"/>
      </w:pPr>
      <w:r>
        <w:t>Referring schools</w:t>
      </w:r>
    </w:p>
    <w:p>
      <w:pPr>
        <w:pStyle w:val="ListBullet"/>
      </w:pPr>
      <w:r>
        <w:t>Local Authorities (Coventry, Birmingham, Walsall and Dudley)</w:t>
      </w:r>
    </w:p>
    <w:p>
      <w:pPr>
        <w:pStyle w:val="ListBullet"/>
      </w:pPr>
      <w:r>
        <w:t>Safeguarding partners where required</w:t>
      </w:r>
    </w:p>
    <w:p>
      <w:r>
        <w:t>All information sharing complies with GDPR and data protection legislation.</w:t>
      </w:r>
    </w:p>
    <w:p>
      <w:r>
        <w:rPr>
          <w:b/>
        </w:rPr>
        <w:t>14. Monitoring and Review</w:t>
      </w:r>
    </w:p>
    <w:p>
      <w:r>
        <w:t>This policy is reviewed annually or sooner if:</w:t>
      </w:r>
    </w:p>
    <w:p>
      <w:pPr>
        <w:pStyle w:val="ListBullet"/>
      </w:pPr>
      <w:r>
        <w:t>Statutory guidance changes</w:t>
      </w:r>
    </w:p>
    <w:p>
      <w:pPr>
        <w:pStyle w:val="ListBullet"/>
      </w:pPr>
      <w:r>
        <w:t>Local Authority commissioning requirements are updated ●</w:t>
      </w:r>
    </w:p>
    <w:p>
      <w:r>
        <w:t>Attendance or safeguarding incidents highlight the need for review</w:t>
      </w:r>
    </w:p>
    <w:p>
      <w:r>
        <w:rPr>
          <w:b/>
        </w:rPr>
        <w:t>15. Related Policies</w:t>
      </w:r>
    </w:p>
    <w:p>
      <w:pPr>
        <w:pStyle w:val="ListBullet"/>
      </w:pPr>
      <w:r>
        <w:t>Safeguarding and Child Protection Policy</w:t>
      </w:r>
    </w:p>
    <w:p>
      <w:pPr>
        <w:pStyle w:val="ListBullet"/>
      </w:pPr>
      <w:r>
        <w:t>Behaviour Policy</w:t>
      </w:r>
    </w:p>
    <w:p>
      <w:pPr>
        <w:pStyle w:val="ListBullet"/>
      </w:pPr>
      <w:r>
        <w:t>SEND Policy</w:t>
      </w:r>
    </w:p>
    <w:p>
      <w:pPr>
        <w:pStyle w:val="ListBullet"/>
      </w:pPr>
      <w:r>
        <w:t>Health and Safety Policy</w:t>
      </w:r>
    </w:p>
    <w:p>
      <w:pPr>
        <w:pStyle w:val="ListBullet"/>
      </w:pPr>
      <w:r>
        <w:t>Data Protection Policy</w:t>
      </w:r>
    </w:p>
    <w:p>
      <w:r>
        <w:br w:type="page"/>
      </w:r>
    </w:p>
    <w:p>
      <w:r>
        <w:rPr>
          <w:b/>
        </w:rPr>
        <w:t>2026–27 POLICY ALIGNMENT</w:t>
      </w:r>
    </w:p>
    <w:p>
      <w:r>
        <w:t>This policy applies consistently across Empowering Futures sites in Coventry, Birmingham, Walsall and Dudley, including full-time, part-time, phased, blended, vocational and community provision.</w:t>
      </w:r>
    </w:p>
    <w:p>
      <w:r>
        <w:t>The policy is aligned with the Education Act 1996, Keeping Children Safe in Education (KCSIE) 2026, Working Together to Safeguard Children 2026, current Department for Education attendance guidance, Equality Act 2010 and applicable Local Authority Alternative Provision commissioning and safeguarding requirements.</w:t>
      </w:r>
    </w:p>
    <w:p>
      <w:r>
        <w:t>Attendance is treated as both an educational and safeguarding matter. Persistent absence, irregular attendance, unexplained non-attendance and sudden changes in attendance may indicate safeguarding, wellbeing or unmet support needs and must be considered alongside the learner's individual circumstances.</w:t>
      </w:r>
    </w:p>
    <w:p>
      <w:r>
        <w:t>For compulsory school-age learners, the referring school and/or Local Authority retains statutory attendance duties where applicable. Empowering Futures will provide accurate, timely attendance information and work with statutory partners to support appropriate action.</w:t>
      </w:r>
    </w:p>
    <w:p>
      <w:r>
        <w:t>Where a learner does not attend and no explanation has been received, staff will follow the first-day response: contact the parent/carer or appropriate contact, record the absence, monitor the situation and notify the referring school/Local Authority where required. Unexplained or concerning absence will be escalated promptly to the DSL.</w:t>
      </w:r>
    </w:p>
    <w:p>
      <w:r>
        <w:t>Persistent absence will trigger a supportive assessment of barriers, including SEND, EHCP needs, SEMH, anxiety, medical needs, trauma, transport, family circumstances, school refusal and previous disengagement. Support may include phased timetables, mentoring, wellbeing support, reasonable adjustments and alternative delivery models.</w:t>
      </w:r>
    </w:p>
    <w:p>
      <w:r>
        <w:t>Part-time or phased timetables will only be used where necessary and in the learner's best interests. They must be agreed with the referring school or Local Authority where applicable, clearly documented, time-limited and regularly reviewed.</w:t>
      </w:r>
    </w:p>
    <w:p>
      <w:r>
        <w:t>EFAP does not issue attendance fines or pursue statutory legal enforcement. The organisation will support schools and Local Authorities in fulfilling their statutory responsibilities and will escalate safeguarding concerns where attendance patterns indicate potential risk.</w:t>
      </w:r>
    </w:p>
    <w:p>
      <w:r>
        <w:t>Attendance expectations will be appropriately adapted for learners with SEND, EHCPs or medical needs. Reasonable adjustments will be made where required, while maintaining appropriate safeguarding and educational expectations.</w:t>
      </w:r>
    </w:p>
    <w:p>
      <w:r>
        <w:t>Attendance records will be accurate, timely and securely stored. Staff must record attendance for every learner and session using the organisation's approved systems. Information will be shared with referring schools, Local Authorities and safeguarding partners where there is an appropriate lawful basis.</w:t>
      </w:r>
    </w:p>
    <w:p>
      <w:r>
        <w:t>Attendance patterns and outcomes will be monitored through placement reviews, progress reports, safeguarding review, quality assurance and Local Authority reporting. The policy will be reviewed annually, or sooner where statutory guidance, commissioning requirements or attendance/safeguarding incidents indicate that changes are necessary.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