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EMPOWERING FUTURES ALTERNATIVE PROVISION</w:t>
      </w:r>
    </w:p>
    <w:p>
      <w:r>
        <w:rPr>
          <w:b/>
        </w:rPr>
        <w:t>ADMISSIONS POLICY (CHILDREN, YOUNG PEOPLE &amp; ADULT LEARNERS)</w:t>
      </w:r>
    </w:p>
    <w:p>
      <w:r>
        <w:t>Version 2.0</w:t>
      </w:r>
    </w:p>
    <w:p>
      <w:r>
        <w:t>Issue Date: August 2026</w:t>
      </w:r>
    </w:p>
    <w:p>
      <w:r>
        <w:t>Effective Date: 1 September 2026</w:t>
      </w:r>
    </w:p>
    <w:p>
      <w:r>
        <w:t>Policy Cycle: September 2026 – August 2027</w:t>
      </w:r>
    </w:p>
    <w:p>
      <w:r>
        <w:t>Next Review: August 2027</w:t>
      </w:r>
    </w:p>
    <w:p>
      <w:r>
        <w:t>Approved by: Director, Empowering Futures Alternative Provision</w:t>
      </w:r>
    </w:p>
    <w:p>
      <w:r>
        <w:t>Site Coverage: Coventry, Birmingham, Walsall and Dudley</w:t>
      </w:r>
    </w:p>
    <w:p>
      <w:r>
        <w:rPr>
          <w:b/>
        </w:rPr>
        <w:t>PROVISION</w:t>
      </w:r>
    </w:p>
    <w:p>
      <w:r>
        <w:rPr>
          <w:b/>
        </w:rPr>
        <w:t>ADULT LEARNERS)</w:t>
      </w:r>
    </w:p>
    <w:p>
      <w:r>
        <w:rPr>
          <w:b/>
        </w:rPr>
        <w:t>1. POLICY STATEMENT</w:t>
      </w:r>
    </w:p>
    <w:p>
      <w:r>
        <w:t>Empowering Futures Alternative Provision (EFAP) provides:</w:t>
      </w:r>
    </w:p>
    <w:p>
      <w:pPr>
        <w:pStyle w:val="ListBullet"/>
      </w:pPr>
      <w:r>
        <w:t>Alternative Provision for learners aged 11–18​</w:t>
      </w:r>
    </w:p>
    <w:p>
      <w:pPr>
        <w:pStyle w:val="ListBullet"/>
      </w:pPr>
      <w:r>
        <w:t>Adult education programmes delivered outside school hours</w:t>
      </w:r>
    </w:p>
    <w:p>
      <w:r>
        <w:t>This Admissions Policy ensures that:</w:t>
      </w:r>
    </w:p>
    <w:p>
      <w:pPr>
        <w:pStyle w:val="ListBullet"/>
      </w:pPr>
      <w:r>
        <w:t>The admissions process is transparent, consistent and safeguarding-led​</w:t>
      </w:r>
    </w:p>
    <w:p>
      <w:pPr>
        <w:pStyle w:val="ListBullet"/>
      </w:pPr>
      <w:r>
        <w:t>Placement decisions are safe and appropriate​</w:t>
      </w:r>
    </w:p>
    <w:p>
      <w:pPr>
        <w:pStyle w:val="ListBullet"/>
      </w:pPr>
      <w:r>
        <w:t>EFAP complies with Local Authority commissioning frameworks​</w:t>
      </w:r>
    </w:p>
    <w:p>
      <w:pPr>
        <w:pStyle w:val="ListBullet"/>
      </w:pPr>
      <w:r>
        <w:t>All decisions align with statutory responsibilities including KCSIE 2026, Working Together to Safeguard Children 2026, Care</w:t>
      </w:r>
    </w:p>
    <w:p>
      <w:r>
        <w:t>Act, Prevent Duty, and UK GDPR​</w:t>
      </w:r>
    </w:p>
    <w:p>
      <w:pPr>
        <w:pStyle w:val="ListBullet"/>
      </w:pPr>
      <w:r>
        <w:t>Policies across EFAP (Safeguarding, Data Protection, SEND, Prevent, Complaints,</w:t>
      </w:r>
    </w:p>
    <w:p>
      <w:r>
        <w:t>Appeals) remain fully aligned</w:t>
      </w:r>
    </w:p>
    <w:p>
      <w:r>
        <w:t>EFAP delivers provision from:</w:t>
      </w:r>
    </w:p>
    <w:p>
      <w:pPr>
        <w:pStyle w:val="ListBullet"/>
      </w:pPr>
      <w:r>
        <w:t>Coventry site​</w:t>
      </w:r>
    </w:p>
    <w:p>
      <w:pPr>
        <w:pStyle w:val="ListBullet"/>
      </w:pPr>
      <w:r>
        <w:t>Birmingham and Walsall sites​</w:t>
      </w:r>
    </w:p>
    <w:p>
      <w:pPr>
        <w:pStyle w:val="ListBullet"/>
      </w:pPr>
      <w:r>
        <w:t>Community venues​</w:t>
      </w:r>
    </w:p>
    <w:p>
      <w:pPr>
        <w:pStyle w:val="ListBullet"/>
      </w:pPr>
      <w:r>
        <w:t>Online learning platforms</w:t>
      </w:r>
    </w:p>
    <w:p>
      <w:r>
        <w:rPr>
          <w:b/>
        </w:rPr>
        <w:t>2. WHO WE PROVIDE FOR</w:t>
      </w:r>
    </w:p>
    <w:p>
      <w:r>
        <w:br w:type="page"/>
      </w:r>
    </w:p>
    <w:p>
      <w:r>
        <w:rPr>
          <w:b/>
        </w:rPr>
        <w:t>2.1 Children &amp; Young People (11–18)</w:t>
      </w:r>
    </w:p>
    <w:p>
      <w:r>
        <w:t>EFAP accepts learners who:</w:t>
      </w:r>
    </w:p>
    <w:p>
      <w:pPr>
        <w:pStyle w:val="ListBullet"/>
      </w:pPr>
      <w:r>
        <w:t>Are permanently excluded or at risk of exclusion​</w:t>
      </w:r>
    </w:p>
    <w:p>
      <w:pPr>
        <w:pStyle w:val="ListBullet"/>
      </w:pPr>
      <w:r>
        <w:t>Require an alternative, smaller or vocational environment​</w:t>
      </w:r>
    </w:p>
    <w:p>
      <w:pPr>
        <w:pStyle w:val="ListBullet"/>
      </w:pPr>
      <w:r>
        <w:t>Have SEND needs, including EHCPs​</w:t>
      </w:r>
    </w:p>
    <w:p>
      <w:pPr>
        <w:pStyle w:val="ListBullet"/>
      </w:pPr>
      <w:r>
        <w:t>Experience SEMH difficulties, anxiety, low attendance or disengagement from school​</w:t>
      </w:r>
    </w:p>
    <w:p>
      <w:pPr>
        <w:pStyle w:val="ListBullet"/>
      </w:pPr>
      <w:r>
        <w:t>Are LAC, previously LAC, or known to Social Care​</w:t>
      </w:r>
    </w:p>
    <w:p>
      <w:pPr>
        <w:pStyle w:val="ListBullet"/>
      </w:pPr>
      <w:r>
        <w:t>Require structured re-engagement or blended learning​</w:t>
      </w:r>
    </w:p>
    <w:p>
      <w:pPr>
        <w:pStyle w:val="ListBullet"/>
      </w:pPr>
      <w:r>
        <w:t>Would benefit from vocational pathways</w:t>
      </w:r>
    </w:p>
    <w:p>
      <w:r>
        <w:t>Programmes include:</w:t>
      </w:r>
    </w:p>
    <w:p>
      <w:pPr>
        <w:pStyle w:val="ListBullet"/>
      </w:pPr>
      <w:r>
        <w:t>Hair​</w:t>
      </w:r>
    </w:p>
    <w:p>
      <w:pPr>
        <w:pStyle w:val="ListBullet"/>
      </w:pPr>
      <w:r>
        <w:t>Beauty​</w:t>
      </w:r>
    </w:p>
    <w:p>
      <w:pPr>
        <w:pStyle w:val="ListBullet"/>
      </w:pPr>
      <w:r>
        <w:t>Nails​</w:t>
      </w:r>
    </w:p>
    <w:p>
      <w:pPr>
        <w:pStyle w:val="ListBullet"/>
      </w:pPr>
      <w:r>
        <w:t>Sports​</w:t>
      </w:r>
    </w:p>
    <w:p>
      <w:pPr>
        <w:pStyle w:val="ListBullet"/>
      </w:pPr>
      <w:r>
        <w:t>Fitness​</w:t>
      </w:r>
    </w:p>
    <w:p>
      <w:pPr>
        <w:pStyle w:val="ListBullet"/>
      </w:pPr>
      <w:r>
        <w:t>Customer Service​</w:t>
      </w:r>
    </w:p>
    <w:p>
      <w:pPr>
        <w:pStyle w:val="ListBullet"/>
      </w:pPr>
      <w:r>
        <w:t>Business Skills​</w:t>
      </w:r>
    </w:p>
    <w:p>
      <w:pPr>
        <w:pStyle w:val="ListBullet"/>
      </w:pPr>
      <w:r>
        <w:t>Academic Catch-Up &amp; Life Skills​</w:t>
      </w:r>
    </w:p>
    <w:p>
      <w:pPr>
        <w:pStyle w:val="ListBullet"/>
      </w:pPr>
      <w:r>
        <w:t>Online Alternative Provision</w:t>
      </w:r>
    </w:p>
    <w:p>
      <w:r>
        <w:rPr>
          <w:b/>
        </w:rPr>
        <w:t>2.2 Adult Learners (18+)</w:t>
      </w:r>
    </w:p>
    <w:p>
      <w:r>
        <w:t>EFAP provides adult training programmes including:</w:t>
      </w:r>
    </w:p>
    <w:p>
      <w:pPr>
        <w:pStyle w:val="ListBullet"/>
      </w:pPr>
      <w:r>
        <w:t>Teacher Training​</w:t>
      </w:r>
    </w:p>
    <w:p>
      <w:pPr>
        <w:pStyle w:val="ListBullet"/>
      </w:pPr>
      <w:r>
        <w:t>Fitness Instructing &amp; Personal Training​</w:t>
      </w:r>
    </w:p>
    <w:p>
      <w:pPr>
        <w:pStyle w:val="ListBullet"/>
      </w:pPr>
      <w:r>
        <w:t>Beauty &amp; Nails CPD​</w:t>
      </w:r>
    </w:p>
    <w:p>
      <w:pPr>
        <w:pStyle w:val="ListBullet"/>
      </w:pPr>
      <w:r>
        <w:t>Customer Service &amp; Employability​</w:t>
      </w:r>
    </w:p>
    <w:p>
      <w:pPr>
        <w:pStyle w:val="ListBullet"/>
      </w:pPr>
      <w:r>
        <w:t>Online and blended vocational learning</w:t>
      </w:r>
    </w:p>
    <w:p>
      <w:r>
        <w:t>Adults may enrol via:</w:t>
      </w:r>
    </w:p>
    <w:p>
      <w:pPr>
        <w:pStyle w:val="ListBullet"/>
      </w:pPr>
      <w:r>
        <w:t>Self-enrolment​</w:t>
      </w:r>
    </w:p>
    <w:p>
      <w:pPr>
        <w:pStyle w:val="ListBullet"/>
      </w:pPr>
      <w:r>
        <w:t>Employer or partner referrals​</w:t>
      </w:r>
    </w:p>
    <w:p>
      <w:pPr>
        <w:pStyle w:val="ListBullet"/>
      </w:pPr>
      <w:r>
        <w:t>Funded programmes​</w:t>
      </w:r>
    </w:p>
    <w:p>
      <w:pPr>
        <w:pStyle w:val="ListBullet"/>
      </w:pPr>
      <w:r>
        <w:t>Community-based referrals</w:t>
      </w:r>
    </w:p>
    <w:p>
      <w:r>
        <w:t>Adult admissions follow:</w:t>
      </w:r>
    </w:p>
    <w:p>
      <w:pPr>
        <w:pStyle w:val="ListBullet"/>
      </w:pPr>
      <w:r>
        <w:t>Care Act 2014 safeguarding framework​</w:t>
      </w:r>
    </w:p>
    <w:p>
      <w:pPr>
        <w:pStyle w:val="ListBullet"/>
      </w:pPr>
      <w:r>
        <w:t>Prevent Duty​</w:t>
      </w:r>
    </w:p>
    <w:p>
      <w:r>
        <w:br w:type="page"/>
      </w:r>
    </w:p>
    <w:p>
      <w:pPr>
        <w:pStyle w:val="ListBullet"/>
      </w:pPr>
      <w:r>
        <w:t>EFAP Data Protection Policy​</w:t>
      </w:r>
    </w:p>
    <w:p>
      <w:pPr>
        <w:pStyle w:val="ListBullet"/>
      </w:pPr>
      <w:r>
        <w:t>EFAP Safeguarding Policy (Adult section)</w:t>
      </w:r>
    </w:p>
    <w:p>
      <w:r>
        <w:rPr>
          <w:b/>
        </w:rPr>
        <w:t>3. REFERRAL, INFORMATION</w:t>
      </w:r>
    </w:p>
    <w:p>
      <w:r>
        <w:rPr>
          <w:b/>
        </w:rPr>
        <w:t>REQUIREMENTS &amp; ADMISSIONS</w:t>
      </w:r>
    </w:p>
    <w:p>
      <w:r>
        <w:rPr>
          <w:b/>
        </w:rPr>
        <w:t>PROCESS</w:t>
      </w:r>
    </w:p>
    <w:p>
      <w:r>
        <w:t>This process applies to children and young people (11–18).​</w:t>
      </w:r>
    </w:p>
    <w:p>
      <w:r>
        <w:t>Adult admissions follow a separate process (Section 3.10).</w:t>
      </w:r>
    </w:p>
    <w:p>
      <w:r>
        <w:rPr>
          <w:b/>
        </w:rPr>
        <w:t>3.1 REFERRAL SUBMISSION (STEP 1)</w:t>
      </w:r>
    </w:p>
    <w:p>
      <w:r>
        <w:t>Referrals must come from:</w:t>
      </w:r>
    </w:p>
    <w:p>
      <w:pPr>
        <w:pStyle w:val="ListBullet"/>
      </w:pPr>
      <w:r>
        <w:t>Local Authorities (Coventry, Walsall, Birmingham and Dudley commissioning routes)​</w:t>
      </w:r>
    </w:p>
    <w:p>
      <w:pPr>
        <w:pStyle w:val="ListBullet"/>
      </w:pPr>
      <w:r>
        <w:t>Mainstream or special schools​</w:t>
      </w:r>
    </w:p>
    <w:p>
      <w:pPr>
        <w:pStyle w:val="ListBullet"/>
      </w:pPr>
      <w:r>
        <w:t>Virtual Schools​</w:t>
      </w:r>
    </w:p>
    <w:p>
      <w:pPr>
        <w:pStyle w:val="ListBullet"/>
      </w:pPr>
      <w:r>
        <w:t>Social Workers via commissioning routes</w:t>
      </w:r>
    </w:p>
    <w:p>
      <w:r>
        <w:t>Parents/carers cannot refer directly.</w:t>
      </w:r>
    </w:p>
    <w:p>
      <w:r>
        <w:t>Mandatory documentation required at point of referral:</w:t>
      </w:r>
    </w:p>
    <w:p>
      <w:r>
        <w:t>1.​ EFAP Referral Form (completed fully)​</w:t>
      </w:r>
    </w:p>
    <w:p>
      <w:r>
        <w:t>2.​ Current Risk Assessment covering:​</w:t>
      </w:r>
    </w:p>
    <w:p>
      <w:pPr>
        <w:pStyle w:val="ListBullet"/>
      </w:pPr>
      <w:r>
        <w:t>Behaviour​</w:t>
      </w:r>
    </w:p>
    <w:p>
      <w:pPr>
        <w:pStyle w:val="ListBullet"/>
      </w:pPr>
      <w:r>
        <w:t>SEMH profile​</w:t>
      </w:r>
    </w:p>
    <w:p>
      <w:pPr>
        <w:pStyle w:val="ListBullet"/>
      </w:pPr>
      <w:r>
        <w:t>Triggers​</w:t>
      </w:r>
    </w:p>
    <w:p>
      <w:pPr>
        <w:pStyle w:val="ListBullet"/>
      </w:pPr>
      <w:r>
        <w:t>Current and historical risk​</w:t>
      </w:r>
    </w:p>
    <w:p>
      <w:pPr>
        <w:pStyle w:val="ListBullet"/>
      </w:pPr>
      <w:r>
        <w:t>Absconding​</w:t>
      </w:r>
    </w:p>
    <w:p>
      <w:pPr>
        <w:pStyle w:val="ListBullet"/>
      </w:pPr>
      <w:r>
        <w:t>Weapons/drugs concerns (if any)​</w:t>
      </w:r>
    </w:p>
    <w:p>
      <w:r>
        <w:t>3.​ Safeguarding Summary, including:​</w:t>
      </w:r>
    </w:p>
    <w:p>
      <w:pPr>
        <w:pStyle w:val="ListBullet"/>
      </w:pPr>
      <w:r>
        <w:t>Social Worker details​</w:t>
      </w:r>
    </w:p>
    <w:p>
      <w:pPr>
        <w:pStyle w:val="ListBullet"/>
      </w:pPr>
      <w:r>
        <w:t>Current status (CP, CIN, LAC, PCLA, Early Help)​</w:t>
      </w:r>
    </w:p>
    <w:p>
      <w:pPr>
        <w:pStyle w:val="ListBullet"/>
      </w:pPr>
      <w:r>
        <w:t>Chronology of concerns​</w:t>
      </w:r>
    </w:p>
    <w:p>
      <w:r>
        <w:br w:type="page"/>
      </w:r>
    </w:p>
    <w:p>
      <w:r>
        <w:t>4.​ SEND Documentation:​</w:t>
      </w:r>
    </w:p>
    <w:p>
      <w:pPr>
        <w:pStyle w:val="ListBullet"/>
      </w:pPr>
      <w:r>
        <w:t>EHCP (if applicable)​</w:t>
      </w:r>
    </w:p>
    <w:p>
      <w:pPr>
        <w:pStyle w:val="ListBullet"/>
      </w:pPr>
      <w:r>
        <w:t>SEN reports​</w:t>
      </w:r>
    </w:p>
    <w:p>
      <w:pPr>
        <w:pStyle w:val="ListBullet"/>
      </w:pPr>
      <w:r>
        <w:t>One-page profiles​</w:t>
      </w:r>
    </w:p>
    <w:p>
      <w:pPr>
        <w:pStyle w:val="ListBullet"/>
      </w:pPr>
      <w:r>
        <w:t>External assessment reports​</w:t>
      </w:r>
    </w:p>
    <w:p>
      <w:r>
        <w:t>5.​ Attendance history (minimum 12 weeks)​</w:t>
      </w:r>
    </w:p>
    <w:p>
      <w:r>
        <w:t>6.​ Behaviour logs and exclusion history​</w:t>
      </w:r>
    </w:p>
    <w:p>
      <w:r>
        <w:t>7.​ Medical details and care plans​</w:t>
      </w:r>
    </w:p>
    <w:p>
      <w:r>
        <w:t>8.​ Requested timetable (days/hours)​</w:t>
      </w:r>
    </w:p>
    <w:p>
      <w:r>
        <w:t>9.​ Parent/carer details​</w:t>
      </w:r>
    </w:p>
    <w:p>
      <w:r>
        <w:t>10.​Transport arrangements​</w:t>
      </w:r>
    </w:p>
    <w:p>
      <w:r>
        <w:t>Referrals missing core safeguarding documentation will not progress until information is</w:t>
      </w:r>
    </w:p>
    <w:p>
      <w:r>
        <w:t>provided.</w:t>
      </w:r>
    </w:p>
    <w:p>
      <w:r>
        <w:t>Commissioners are notified within 48 hours of missing information.</w:t>
      </w:r>
    </w:p>
    <w:p>
      <w:r>
        <w:rPr>
          <w:b/>
        </w:rPr>
        <w:t>3.2 REFERRAL SCREENING (STEP 2)</w:t>
      </w:r>
    </w:p>
    <w:p>
      <w:r>
        <w:t>Screening is conducted by:</w:t>
      </w:r>
    </w:p>
    <w:p>
      <w:pPr>
        <w:pStyle w:val="ListBullet"/>
      </w:pPr>
      <w:r>
        <w:t>Director (Lead DSL)​</w:t>
      </w:r>
    </w:p>
    <w:p>
      <w:pPr>
        <w:pStyle w:val="ListBullet"/>
      </w:pPr>
      <w:r>
        <w:t>DSL/Manager​</w:t>
      </w:r>
    </w:p>
    <w:p>
      <w:pPr>
        <w:pStyle w:val="ListBullet"/>
      </w:pPr>
      <w:r>
        <w:t>Relevant pathway tutors (if appropriate)</w:t>
      </w:r>
    </w:p>
    <w:p>
      <w:r>
        <w:t>Screening includes:</w:t>
      </w:r>
    </w:p>
    <w:p>
      <w:r>
        <w:t>Safeguarding Risk Review</w:t>
      </w:r>
    </w:p>
    <w:p>
      <w:pPr>
        <w:pStyle w:val="ListBullet"/>
      </w:pPr>
      <w:r>
        <w:t>Current open cases​</w:t>
      </w:r>
    </w:p>
    <w:p>
      <w:pPr>
        <w:pStyle w:val="ListBullet"/>
      </w:pPr>
      <w:r>
        <w:t>Mental health vulnerabilities​</w:t>
      </w:r>
    </w:p>
    <w:p>
      <w:pPr>
        <w:pStyle w:val="ListBullet"/>
      </w:pPr>
      <w:r>
        <w:t>CSE/CCE indicators​</w:t>
      </w:r>
    </w:p>
    <w:p>
      <w:pPr>
        <w:pStyle w:val="ListBullet"/>
      </w:pPr>
      <w:r>
        <w:t>Domestic abuse exposure​</w:t>
      </w:r>
    </w:p>
    <w:p>
      <w:pPr>
        <w:pStyle w:val="ListBullet"/>
      </w:pPr>
      <w:r>
        <w:t>Violence/aggression​</w:t>
      </w:r>
    </w:p>
    <w:p>
      <w:pPr>
        <w:pStyle w:val="ListBullet"/>
      </w:pPr>
      <w:r>
        <w:t>Absconding history​</w:t>
      </w:r>
    </w:p>
    <w:p>
      <w:pPr>
        <w:pStyle w:val="ListBullet"/>
      </w:pPr>
      <w:r>
        <w:t>Peer safety considerations</w:t>
      </w:r>
    </w:p>
    <w:p>
      <w:r>
        <w:t>SEND Review</w:t>
      </w:r>
    </w:p>
    <w:p>
      <w:r>
        <w:br w:type="page"/>
      </w:r>
    </w:p>
    <w:p>
      <w:pPr>
        <w:pStyle w:val="ListBullet"/>
      </w:pPr>
      <w:r>
        <w:t>Needs as outlined in referral​</w:t>
      </w:r>
    </w:p>
    <w:p>
      <w:pPr>
        <w:pStyle w:val="ListBullet"/>
      </w:pPr>
      <w:r>
        <w:t>EHCP provisions​</w:t>
      </w:r>
    </w:p>
    <w:p>
      <w:pPr>
        <w:pStyle w:val="ListBullet"/>
      </w:pPr>
      <w:r>
        <w:t>Reasonable adjustments​</w:t>
      </w:r>
    </w:p>
    <w:p>
      <w:pPr>
        <w:pStyle w:val="ListBullet"/>
      </w:pPr>
      <w:r>
        <w:t>Therapeutic needs beyond EFAP scope</w:t>
      </w:r>
    </w:p>
    <w:p>
      <w:r>
        <w:t>Programme Suitability Check</w:t>
      </w:r>
    </w:p>
    <w:p>
      <w:pPr>
        <w:pStyle w:val="ListBullet"/>
      </w:pPr>
      <w:r>
        <w:t>Alignment with vocational pathways​</w:t>
      </w:r>
    </w:p>
    <w:p>
      <w:pPr>
        <w:pStyle w:val="ListBullet"/>
      </w:pPr>
      <w:r>
        <w:t>Practical suitability​</w:t>
      </w:r>
    </w:p>
    <w:p>
      <w:pPr>
        <w:pStyle w:val="ListBullet"/>
      </w:pPr>
      <w:r>
        <w:t>Group dynamics​</w:t>
      </w:r>
    </w:p>
    <w:p>
      <w:pPr>
        <w:pStyle w:val="ListBullet"/>
      </w:pPr>
      <w:r>
        <w:t>Online vs face-to-face appropriateness</w:t>
      </w:r>
    </w:p>
    <w:p>
      <w:r>
        <w:t>Capacity Review</w:t>
      </w:r>
    </w:p>
    <w:p>
      <w:pPr>
        <w:pStyle w:val="ListBullet"/>
      </w:pPr>
      <w:r>
        <w:t>Staff ratios​</w:t>
      </w:r>
    </w:p>
    <w:p>
      <w:pPr>
        <w:pStyle w:val="ListBullet"/>
      </w:pPr>
      <w:r>
        <w:t>Space availability​</w:t>
      </w:r>
    </w:p>
    <w:p>
      <w:pPr>
        <w:pStyle w:val="ListBullet"/>
      </w:pPr>
      <w:r>
        <w:t>Safety and environmental considerations</w:t>
      </w:r>
    </w:p>
    <w:p>
      <w:r>
        <w:t>Outcome provided within 3–5 working days.</w:t>
      </w:r>
    </w:p>
    <w:p>
      <w:r>
        <w:rPr>
          <w:b/>
        </w:rPr>
        <w:t>3.3 PRELIMINARY DECISION (STEP 3)</w:t>
      </w:r>
    </w:p>
    <w:p>
      <w:r>
        <w:t>EFAP may issue:</w:t>
      </w:r>
    </w:p>
    <w:p>
      <w:r>
        <w:t>A. Approved to proceed to Admissions Meeting</w:t>
      </w:r>
    </w:p>
    <w:p>
      <w:r>
        <w:t>Documentation complete; needs manageable.</w:t>
      </w:r>
    </w:p>
    <w:p>
      <w:r>
        <w:t>B. Approved with Conditions</w:t>
      </w:r>
    </w:p>
    <w:p>
      <w:r>
        <w:t>Referral accepted subject to:​</w:t>
      </w:r>
    </w:p>
    <w:p>
      <w:pPr>
        <w:pStyle w:val="ListBullet"/>
      </w:pPr>
      <w:r>
        <w:t>Clarification from Social Care​</w:t>
      </w:r>
    </w:p>
    <w:p>
      <w:pPr>
        <w:pStyle w:val="ListBullet"/>
      </w:pPr>
      <w:r>
        <w:t>Additional risk information​</w:t>
      </w:r>
    </w:p>
    <w:p>
      <w:pPr>
        <w:pStyle w:val="ListBullet"/>
      </w:pPr>
      <w:r>
        <w:t>Additional staffing or support</w:t>
      </w:r>
    </w:p>
    <w:p>
      <w:r>
        <w:t>C. On Hold – Insufficient Documentation</w:t>
      </w:r>
    </w:p>
    <w:p>
      <w:r>
        <w:t>Referral paused.</w:t>
      </w:r>
    </w:p>
    <w:p>
      <w:r>
        <w:t>D. Declined – Provision Not Suitable</w:t>
      </w:r>
    </w:p>
    <w:p>
      <w:r>
        <w:t>Reasons issued clearly in writing.</w:t>
      </w:r>
    </w:p>
    <w:p>
      <w:r>
        <w:br w:type="page"/>
      </w:r>
    </w:p>
    <w:p>
      <w:r>
        <w:rPr>
          <w:b/>
        </w:rPr>
        <w:t>3.4 ADMISSIONS MEETING (STEP 4)</w:t>
      </w:r>
    </w:p>
    <w:p>
      <w:r>
        <w:t>Attendees:</w:t>
      </w:r>
    </w:p>
    <w:p>
      <w:pPr>
        <w:pStyle w:val="ListBullet"/>
      </w:pPr>
      <w:r>
        <w:t>Learner​</w:t>
      </w:r>
    </w:p>
    <w:p>
      <w:pPr>
        <w:pStyle w:val="ListBullet"/>
      </w:pPr>
      <w:r>
        <w:t>Parent/Carer​</w:t>
      </w:r>
    </w:p>
    <w:p>
      <w:pPr>
        <w:pStyle w:val="ListBullet"/>
      </w:pPr>
      <w:r>
        <w:t>Commissioner/School​</w:t>
      </w:r>
    </w:p>
    <w:p>
      <w:pPr>
        <w:pStyle w:val="ListBullet"/>
      </w:pPr>
      <w:r>
        <w:t>DSL/Manager​</w:t>
      </w:r>
    </w:p>
    <w:p>
      <w:pPr>
        <w:pStyle w:val="ListBullet"/>
      </w:pPr>
      <w:r>
        <w:t>Social Worker (if relevant)</w:t>
      </w:r>
    </w:p>
    <w:p>
      <w:r>
        <w:t>Meeting includes:</w:t>
      </w:r>
    </w:p>
    <w:p>
      <w:r>
        <w:t>1.​ Site tour or online induction​</w:t>
      </w:r>
    </w:p>
    <w:p>
      <w:r>
        <w:t>2.​ Review of learner’s presentation​</w:t>
      </w:r>
    </w:p>
    <w:p>
      <w:r>
        <w:t>3.​ Discussion of risks and triggers​</w:t>
      </w:r>
    </w:p>
    <w:p>
      <w:r>
        <w:t>4.​ SEND needs and communication strategies​</w:t>
      </w:r>
    </w:p>
    <w:p>
      <w:r>
        <w:t>5.​ Behaviour and safeguarding expectations​</w:t>
      </w:r>
    </w:p>
    <w:p>
      <w:r>
        <w:t>6.​ Attendance expectations​</w:t>
      </w:r>
    </w:p>
    <w:p>
      <w:r>
        <w:t>7.​ Reintegration and progress goals​</w:t>
      </w:r>
    </w:p>
    <w:p>
      <w:r>
        <w:t>8.​ Proposed timetable​</w:t>
      </w:r>
    </w:p>
    <w:p>
      <w:r>
        <w:t>9.​ Information sharing consent​</w:t>
      </w:r>
    </w:p>
    <w:p>
      <w:r>
        <w:t>A written admissions report is produced within 24 hours.</w:t>
      </w:r>
    </w:p>
    <w:p>
      <w:r>
        <w:rPr>
          <w:b/>
        </w:rPr>
        <w:t>3.5 FINAL ADMISSIONS DECISION (STEP</w:t>
      </w:r>
    </w:p>
    <w:p>
      <w:r>
        <w:t>5)</w:t>
      </w:r>
    </w:p>
    <w:p>
      <w:r>
        <w:t>Issued within 24–72 hours after the admissions meeting.</w:t>
      </w:r>
    </w:p>
    <w:p>
      <w:r>
        <w:t>Possible outcomes:</w:t>
      </w:r>
    </w:p>
    <w:p>
      <w:r>
        <w:t>A. Placement Accepted</w:t>
      </w:r>
    </w:p>
    <w:p>
      <w:r>
        <w:br w:type="page"/>
      </w:r>
    </w:p>
    <w:p>
      <w:pPr>
        <w:pStyle w:val="ListBullet"/>
      </w:pPr>
      <w:r>
        <w:t>SLA issued​</w:t>
      </w:r>
    </w:p>
    <w:p>
      <w:pPr>
        <w:pStyle w:val="ListBullet"/>
      </w:pPr>
      <w:r>
        <w:t>Start date confirmed​</w:t>
      </w:r>
    </w:p>
    <w:p>
      <w:pPr>
        <w:pStyle w:val="ListBullet"/>
      </w:pPr>
      <w:r>
        <w:t>Individual risk mitigation plan created</w:t>
      </w:r>
    </w:p>
    <w:p>
      <w:r>
        <w:t>B. Deferred – Further Information Required</w:t>
      </w:r>
    </w:p>
    <w:p>
      <w:r>
        <w:t>Referral pending until missing documents or clarification is received.</w:t>
      </w:r>
    </w:p>
    <w:p>
      <w:r>
        <w:t>C. Declined</w:t>
      </w:r>
    </w:p>
    <w:p>
      <w:r>
        <w:t>Clear rationale provided.</w:t>
      </w:r>
    </w:p>
    <w:p>
      <w:r>
        <w:rPr>
          <w:b/>
        </w:rPr>
        <w:t>3.6 PRE-START REQUIREMENTS (STEP</w:t>
      </w:r>
    </w:p>
    <w:p>
      <w:r>
        <w:t>6)</w:t>
      </w:r>
    </w:p>
    <w:p>
      <w:r>
        <w:t>Before start, EFAP must have:</w:t>
      </w:r>
    </w:p>
    <w:p>
      <w:pPr>
        <w:pStyle w:val="ListBullet"/>
      </w:pPr>
      <w:r>
        <w:t>Signed SLA​</w:t>
      </w:r>
    </w:p>
    <w:p>
      <w:pPr>
        <w:pStyle w:val="ListBullet"/>
      </w:pPr>
      <w:r>
        <w:t>Completed Admissions Pack​</w:t>
      </w:r>
    </w:p>
    <w:p>
      <w:pPr>
        <w:pStyle w:val="ListBullet"/>
      </w:pPr>
      <w:r>
        <w:t>Emergency contact details​</w:t>
      </w:r>
    </w:p>
    <w:p>
      <w:pPr>
        <w:pStyle w:val="ListBullet"/>
      </w:pPr>
      <w:r>
        <w:t>Updated internal EFAP risk assessment​</w:t>
      </w:r>
    </w:p>
    <w:p>
      <w:pPr>
        <w:pStyle w:val="ListBullet"/>
      </w:pPr>
      <w:r>
        <w:t>Medical and welfare information​</w:t>
      </w:r>
    </w:p>
    <w:p>
      <w:pPr>
        <w:pStyle w:val="ListBullet"/>
      </w:pPr>
      <w:r>
        <w:t>Online learning agreement (if relevant)</w:t>
      </w:r>
    </w:p>
    <w:p>
      <w:r>
        <w:rPr>
          <w:b/>
        </w:rPr>
        <w:t>3.7 INDUCTION &amp; FIRST WEEK (STEP 7)</w:t>
      </w:r>
    </w:p>
    <w:p>
      <w:r>
        <w:t>Learners complete:</w:t>
      </w:r>
    </w:p>
    <w:p>
      <w:pPr>
        <w:pStyle w:val="ListBullet"/>
      </w:pPr>
      <w:r>
        <w:t>Baseline English and Maths assessment​</w:t>
      </w:r>
    </w:p>
    <w:p>
      <w:pPr>
        <w:pStyle w:val="ListBullet"/>
      </w:pPr>
      <w:r>
        <w:t>SEMH screening​</w:t>
      </w:r>
    </w:p>
    <w:p>
      <w:pPr>
        <w:pStyle w:val="ListBullet"/>
      </w:pPr>
      <w:r>
        <w:t>SEND adjustments​</w:t>
      </w:r>
    </w:p>
    <w:p>
      <w:pPr>
        <w:pStyle w:val="ListBullet"/>
      </w:pPr>
      <w:r>
        <w:t>Introduction to safeguarding staff​</w:t>
      </w:r>
    </w:p>
    <w:p>
      <w:pPr>
        <w:pStyle w:val="ListBullet"/>
      </w:pPr>
      <w:r>
        <w:t>Attendance expectations​</w:t>
      </w:r>
    </w:p>
    <w:p>
      <w:pPr>
        <w:pStyle w:val="ListBullet"/>
      </w:pPr>
      <w:r>
        <w:t>Behaviour framework​</w:t>
      </w:r>
    </w:p>
    <w:p>
      <w:pPr>
        <w:pStyle w:val="ListBullet"/>
      </w:pPr>
      <w:r>
        <w:t>Online expectations (if applicable)</w:t>
      </w:r>
    </w:p>
    <w:p>
      <w:r>
        <w:rPr>
          <w:b/>
        </w:rPr>
        <w:t>3.8 MID-PLACEMENT REVIEW (STEP 8)</w:t>
      </w:r>
    </w:p>
    <w:p>
      <w:r>
        <w:br w:type="page"/>
      </w:r>
    </w:p>
    <w:p>
      <w:r>
        <w:t>Held:</w:t>
      </w:r>
    </w:p>
    <w:p>
      <w:pPr>
        <w:pStyle w:val="ListBullet"/>
      </w:pPr>
      <w:r>
        <w:t>At 6 weeks​</w:t>
      </w:r>
    </w:p>
    <w:p>
      <w:pPr>
        <w:pStyle w:val="ListBullet"/>
      </w:pPr>
      <w:r>
        <w:t>Termly​</w:t>
      </w:r>
    </w:p>
    <w:p>
      <w:pPr>
        <w:pStyle w:val="ListBullet"/>
      </w:pPr>
      <w:r>
        <w:t>During EHCP reviews​</w:t>
      </w:r>
    </w:p>
    <w:p>
      <w:pPr>
        <w:pStyle w:val="ListBullet"/>
      </w:pPr>
      <w:r>
        <w:t>If risk changes​</w:t>
      </w:r>
    </w:p>
    <w:p>
      <w:pPr>
        <w:pStyle w:val="ListBullet"/>
      </w:pPr>
      <w:r>
        <w:t>At commissioner request</w:t>
      </w:r>
    </w:p>
    <w:p>
      <w:r>
        <w:t>Reviews cover:</w:t>
      </w:r>
    </w:p>
    <w:p>
      <w:pPr>
        <w:pStyle w:val="ListBullet"/>
      </w:pPr>
      <w:r>
        <w:t>Attendance​</w:t>
      </w:r>
    </w:p>
    <w:p>
      <w:pPr>
        <w:pStyle w:val="ListBullet"/>
      </w:pPr>
      <w:r>
        <w:t>Academic progress​</w:t>
      </w:r>
    </w:p>
    <w:p>
      <w:pPr>
        <w:pStyle w:val="ListBullet"/>
      </w:pPr>
      <w:r>
        <w:t>Engagement​</w:t>
      </w:r>
    </w:p>
    <w:p>
      <w:pPr>
        <w:pStyle w:val="ListBullet"/>
      </w:pPr>
      <w:r>
        <w:t>Safeguarding updates​</w:t>
      </w:r>
    </w:p>
    <w:p>
      <w:pPr>
        <w:pStyle w:val="ListBullet"/>
      </w:pPr>
      <w:r>
        <w:t>SEND support​</w:t>
      </w:r>
    </w:p>
    <w:p>
      <w:pPr>
        <w:pStyle w:val="ListBullet"/>
      </w:pPr>
      <w:r>
        <w:t>Multi-agency involvement​</w:t>
      </w:r>
    </w:p>
    <w:p>
      <w:pPr>
        <w:pStyle w:val="ListBullet"/>
      </w:pPr>
      <w:r>
        <w:t>Suitability of provision</w:t>
      </w:r>
    </w:p>
    <w:p>
      <w:r>
        <w:rPr>
          <w:b/>
        </w:rPr>
        <w:t>3.9 PLACEMENT CHANGE, EXTENSION</w:t>
      </w:r>
    </w:p>
    <w:p>
      <w:r>
        <w:rPr>
          <w:b/>
        </w:rPr>
        <w:t>OR EXIT (STEP 9)</w:t>
      </w:r>
    </w:p>
    <w:p>
      <w:r>
        <w:t>May include:</w:t>
      </w:r>
    </w:p>
    <w:p>
      <w:pPr>
        <w:pStyle w:val="ListBullet"/>
      </w:pPr>
      <w:r>
        <w:t>Reintegration to school​</w:t>
      </w:r>
    </w:p>
    <w:p>
      <w:pPr>
        <w:pStyle w:val="ListBullet"/>
      </w:pPr>
      <w:r>
        <w:t>Extension of placement​</w:t>
      </w:r>
    </w:p>
    <w:p>
      <w:pPr>
        <w:pStyle w:val="ListBullet"/>
      </w:pPr>
      <w:r>
        <w:t>Change of vocational pathway​</w:t>
      </w:r>
    </w:p>
    <w:p>
      <w:pPr>
        <w:pStyle w:val="ListBullet"/>
      </w:pPr>
      <w:r>
        <w:t>Timetable increase or reduction​</w:t>
      </w:r>
    </w:p>
    <w:p>
      <w:pPr>
        <w:pStyle w:val="ListBullet"/>
      </w:pPr>
      <w:r>
        <w:t>Managed move to alternative services​</w:t>
      </w:r>
    </w:p>
    <w:p>
      <w:pPr>
        <w:pStyle w:val="ListBullet"/>
      </w:pPr>
      <w:r>
        <w:t>Exit due to safety or risk reasons</w:t>
      </w:r>
    </w:p>
    <w:p>
      <w:r>
        <w:t>Exit reports are provided to commissioners.</w:t>
      </w:r>
    </w:p>
    <w:p>
      <w:r>
        <w:rPr>
          <w:b/>
        </w:rPr>
        <w:t>3.10 ADULT LEARNER ADMISSIONS</w:t>
      </w:r>
    </w:p>
    <w:p>
      <w:r>
        <w:rPr>
          <w:b/>
        </w:rPr>
        <w:t>(SEPARATE ROUTE)</w:t>
      </w:r>
    </w:p>
    <w:p>
      <w:r>
        <w:t>Adult admissions include:</w:t>
      </w:r>
    </w:p>
    <w:p>
      <w:pPr>
        <w:pStyle w:val="ListBullet"/>
      </w:pPr>
      <w:r>
        <w:t>Adult Enrolment Form​</w:t>
      </w:r>
    </w:p>
    <w:p>
      <w:pPr>
        <w:pStyle w:val="ListBullet"/>
      </w:pPr>
      <w:r>
        <w:t>ID verification​</w:t>
      </w:r>
    </w:p>
    <w:p>
      <w:pPr>
        <w:pStyle w:val="ListBullet"/>
      </w:pPr>
      <w:r>
        <w:t>Learning needs assessment​</w:t>
      </w:r>
    </w:p>
    <w:p>
      <w:r>
        <w:br w:type="page"/>
      </w:r>
    </w:p>
    <w:p>
      <w:pPr>
        <w:pStyle w:val="ListBullet"/>
      </w:pPr>
      <w:r>
        <w:t>Safeguarding disclosure screening​</w:t>
      </w:r>
    </w:p>
    <w:p>
      <w:pPr>
        <w:pStyle w:val="ListBullet"/>
      </w:pPr>
      <w:r>
        <w:t>Payment/funding confirmation​</w:t>
      </w:r>
    </w:p>
    <w:p>
      <w:pPr>
        <w:pStyle w:val="ListBullet"/>
      </w:pPr>
      <w:r>
        <w:t>Programme suitability check​</w:t>
      </w:r>
    </w:p>
    <w:p>
      <w:pPr>
        <w:pStyle w:val="ListBullet"/>
      </w:pPr>
      <w:r>
        <w:t>Online learning induction</w:t>
      </w:r>
    </w:p>
    <w:p>
      <w:r>
        <w:t>Adult safeguarding is governed by Care Act 2014 and EFAP’s adult safeguarding</w:t>
      </w:r>
    </w:p>
    <w:p>
      <w:r>
        <w:t>framework.</w:t>
      </w:r>
    </w:p>
    <w:p>
      <w:r>
        <w:rPr>
          <w:b/>
        </w:rPr>
        <w:t>4. ADMISSION CRITERIA</w:t>
      </w:r>
    </w:p>
    <w:p>
      <w:r>
        <w:t>Learners (all ages) may be admitted where EFAP can:</w:t>
      </w:r>
    </w:p>
    <w:p>
      <w:pPr>
        <w:pStyle w:val="ListBullet"/>
      </w:pPr>
      <w:r>
        <w:t>Meet identified needs safely​</w:t>
      </w:r>
    </w:p>
    <w:p>
      <w:pPr>
        <w:pStyle w:val="ListBullet"/>
      </w:pPr>
      <w:r>
        <w:t>Manage risks identified in referral​</w:t>
      </w:r>
    </w:p>
    <w:p>
      <w:pPr>
        <w:pStyle w:val="ListBullet"/>
      </w:pPr>
      <w:r>
        <w:t>Offer appropriate vocational or academic provision​</w:t>
      </w:r>
    </w:p>
    <w:p>
      <w:pPr>
        <w:pStyle w:val="ListBullet"/>
      </w:pPr>
      <w:r>
        <w:t>Provide necessary SEND adjustments​</w:t>
      </w:r>
    </w:p>
    <w:p>
      <w:pPr>
        <w:pStyle w:val="ListBullet"/>
      </w:pPr>
      <w:r>
        <w:t>Maintain safe ratios and staffing</w:t>
      </w:r>
    </w:p>
    <w:p>
      <w:r>
        <w:t>EFAP may decline where:</w:t>
      </w:r>
    </w:p>
    <w:p>
      <w:pPr>
        <w:pStyle w:val="ListBullet"/>
      </w:pPr>
      <w:r>
        <w:t>Needs exceed EFAP’s scope​</w:t>
      </w:r>
    </w:p>
    <w:p>
      <w:pPr>
        <w:pStyle w:val="ListBullet"/>
      </w:pPr>
      <w:r>
        <w:t>Specialist clinical or therapeutic support is required​</w:t>
      </w:r>
    </w:p>
    <w:p>
      <w:pPr>
        <w:pStyle w:val="ListBullet"/>
      </w:pPr>
      <w:r>
        <w:t>Risk cannot be safely managed​</w:t>
      </w:r>
    </w:p>
    <w:p>
      <w:pPr>
        <w:pStyle w:val="ListBullet"/>
      </w:pPr>
      <w:r>
        <w:t>Documentation is incomplete​</w:t>
      </w:r>
    </w:p>
    <w:p>
      <w:pPr>
        <w:pStyle w:val="ListBullet"/>
      </w:pPr>
      <w:r>
        <w:t>Programme is unsuitable for the learner</w:t>
      </w:r>
    </w:p>
    <w:p>
      <w:r>
        <w:rPr>
          <w:b/>
        </w:rPr>
        <w:t>5. INDUCTION &amp; BASELINE</w:t>
      </w:r>
    </w:p>
    <w:p>
      <w:r>
        <w:rPr>
          <w:b/>
        </w:rPr>
        <w:t>ASSESSMENTS</w:t>
      </w:r>
    </w:p>
    <w:p>
      <w:r>
        <w:t>Children &amp; Young People receive:</w:t>
      </w:r>
    </w:p>
    <w:p>
      <w:pPr>
        <w:pStyle w:val="ListBullet"/>
      </w:pPr>
      <w:r>
        <w:t>Baseline Maths/English​</w:t>
      </w:r>
    </w:p>
    <w:p>
      <w:pPr>
        <w:pStyle w:val="ListBullet"/>
      </w:pPr>
      <w:r>
        <w:t>SEMH screening​</w:t>
      </w:r>
    </w:p>
    <w:p>
      <w:pPr>
        <w:pStyle w:val="ListBullet"/>
      </w:pPr>
      <w:r>
        <w:t>SEND analysis​</w:t>
      </w:r>
    </w:p>
    <w:p>
      <w:pPr>
        <w:pStyle w:val="ListBullet"/>
      </w:pPr>
      <w:r>
        <w:t>Safeguarding briefing​</w:t>
      </w:r>
    </w:p>
    <w:p>
      <w:pPr>
        <w:pStyle w:val="ListBullet"/>
      </w:pPr>
      <w:r>
        <w:t>Online learning induction</w:t>
      </w:r>
    </w:p>
    <w:p>
      <w:r>
        <w:t>Adults receive:</w:t>
      </w:r>
    </w:p>
    <w:p>
      <w:pPr>
        <w:pStyle w:val="ListBullet"/>
      </w:pPr>
      <w:r>
        <w:t>RPL (Recognition of Prior Learning)​</w:t>
      </w:r>
    </w:p>
    <w:p>
      <w:pPr>
        <w:pStyle w:val="ListBullet"/>
      </w:pPr>
      <w:r>
        <w:t>Digital skills assessment​</w:t>
      </w:r>
    </w:p>
    <w:p>
      <w:r>
        <w:br w:type="page"/>
      </w:r>
    </w:p>
    <w:p>
      <w:pPr>
        <w:pStyle w:val="ListBullet"/>
      </w:pPr>
      <w:r>
        <w:t>Safeguarding disclosure conversation​</w:t>
      </w:r>
    </w:p>
    <w:p>
      <w:pPr>
        <w:pStyle w:val="ListBullet"/>
      </w:pPr>
      <w:r>
        <w:t>Professional conduct expectations</w:t>
      </w:r>
    </w:p>
    <w:p>
      <w:r>
        <w:rPr>
          <w:b/>
        </w:rPr>
        <w:t>6. ATTENDANCE EXPECTATIONS</w:t>
      </w:r>
    </w:p>
    <w:p>
      <w:r>
        <w:t>Children &amp; Young People</w:t>
      </w:r>
    </w:p>
    <w:p>
      <w:r>
        <w:t>Attendance is a safeguarding requirement.​</w:t>
      </w:r>
    </w:p>
    <w:p>
      <w:r>
        <w:t>EFAP will:</w:t>
      </w:r>
    </w:p>
    <w:p>
      <w:pPr>
        <w:pStyle w:val="ListBullet"/>
      </w:pPr>
      <w:r>
        <w:t>Contact parent/carer immediately for unexplained absence​</w:t>
      </w:r>
    </w:p>
    <w:p>
      <w:pPr>
        <w:pStyle w:val="ListBullet"/>
      </w:pPr>
      <w:r>
        <w:t>Notify LA commissioner​</w:t>
      </w:r>
    </w:p>
    <w:p>
      <w:pPr>
        <w:pStyle w:val="ListBullet"/>
      </w:pPr>
      <w:r>
        <w:t>Escalate CME concerns​</w:t>
      </w:r>
    </w:p>
    <w:p>
      <w:pPr>
        <w:pStyle w:val="ListBullet"/>
      </w:pPr>
      <w:r>
        <w:t>Log safeguarding concerns with DSL</w:t>
      </w:r>
    </w:p>
    <w:p>
      <w:r>
        <w:t>Adults</w:t>
      </w:r>
    </w:p>
    <w:p>
      <w:r>
        <w:t>Attendance affects:</w:t>
      </w:r>
    </w:p>
    <w:p>
      <w:pPr>
        <w:pStyle w:val="ListBullet"/>
      </w:pPr>
      <w:r>
        <w:t>Funding​</w:t>
      </w:r>
    </w:p>
    <w:p>
      <w:pPr>
        <w:pStyle w:val="ListBullet"/>
      </w:pPr>
      <w:r>
        <w:t>Certification​</w:t>
      </w:r>
    </w:p>
    <w:p>
      <w:pPr>
        <w:pStyle w:val="ListBullet"/>
      </w:pPr>
      <w:r>
        <w:t>Programme continuation</w:t>
      </w:r>
    </w:p>
    <w:p>
      <w:r>
        <w:t>Safeguarding concerns prompt welfare checks.</w:t>
      </w:r>
    </w:p>
    <w:p>
      <w:r>
        <w:rPr>
          <w:b/>
        </w:rPr>
        <w:t>7. SAFEGUARDING &amp; PREVENT</w:t>
      </w:r>
    </w:p>
    <w:p>
      <w:r>
        <w:t>EFAP has safeguarding duties for all learners.</w:t>
      </w:r>
    </w:p>
    <w:p>
      <w:r>
        <w:t>Children</w:t>
      </w:r>
    </w:p>
    <w:p>
      <w:r>
        <w:t>Follow KCSIE 2026, Working Together to Safeguard Children 2026, LA guidance.</w:t>
      </w:r>
    </w:p>
    <w:p>
      <w:r>
        <w:t>Adults</w:t>
      </w:r>
    </w:p>
    <w:p>
      <w:r>
        <w:t>Follow Care Act 2014, Prevent Duty, adult safeguarding frameworks.</w:t>
      </w:r>
    </w:p>
    <w:p>
      <w:r>
        <w:t>Concerns are escalated to DSL immediately.</w:t>
      </w:r>
    </w:p>
    <w:p>
      <w:r>
        <w:t>Online AP follows EFAP Online Safety Policy.</w:t>
      </w:r>
    </w:p>
    <w:p>
      <w:r>
        <w:br w:type="page"/>
      </w:r>
    </w:p>
    <w:p>
      <w:r>
        <w:rPr>
          <w:b/>
        </w:rPr>
        <w:t>8. SEND &amp; ADDITIONAL SUPPORT</w:t>
      </w:r>
    </w:p>
    <w:p>
      <w:r>
        <w:t>EFAP supports:</w:t>
      </w:r>
    </w:p>
    <w:p>
      <w:pPr>
        <w:pStyle w:val="ListBullet"/>
      </w:pPr>
      <w:r>
        <w:t>Mild to moderate learning difficulties​</w:t>
      </w:r>
    </w:p>
    <w:p>
      <w:pPr>
        <w:pStyle w:val="ListBullet"/>
      </w:pPr>
      <w:r>
        <w:t>Autism, ADHD​</w:t>
      </w:r>
    </w:p>
    <w:p>
      <w:pPr>
        <w:pStyle w:val="ListBullet"/>
      </w:pPr>
      <w:r>
        <w:t>SEMH needs​</w:t>
      </w:r>
    </w:p>
    <w:p>
      <w:pPr>
        <w:pStyle w:val="ListBullet"/>
      </w:pPr>
      <w:r>
        <w:t>Communication differences​</w:t>
      </w:r>
    </w:p>
    <w:p>
      <w:pPr>
        <w:pStyle w:val="ListBullet"/>
      </w:pPr>
      <w:r>
        <w:t>EHCP requirements​</w:t>
      </w:r>
    </w:p>
    <w:p>
      <w:pPr>
        <w:pStyle w:val="ListBullet"/>
      </w:pPr>
      <w:r>
        <w:t>Mental health needs​</w:t>
      </w:r>
    </w:p>
    <w:p>
      <w:pPr>
        <w:pStyle w:val="ListBullet"/>
      </w:pPr>
      <w:r>
        <w:t>Adult learners with additional support needs</w:t>
      </w:r>
    </w:p>
    <w:p>
      <w:r>
        <w:t>Reasonable adjustments are implemented as required.</w:t>
      </w:r>
    </w:p>
    <w:p>
      <w:r>
        <w:rPr>
          <w:b/>
        </w:rPr>
        <w:t>9. DATA PROTECTION &amp;</w:t>
      </w:r>
    </w:p>
    <w:p>
      <w:r>
        <w:rPr>
          <w:b/>
        </w:rPr>
        <w:t>CONFIDENTIALITY</w:t>
      </w:r>
    </w:p>
    <w:p>
      <w:r>
        <w:t>In line with UK GDPR and Data Protection Act 2018:</w:t>
      </w:r>
    </w:p>
    <w:p>
      <w:r>
        <w:t>Admissions information will also be handled in accordance with KCSIE 2026, Working Together to Safeguard Children 2026 and, where applicable, the information-sharing duty introduced by the Children’s Wellbeing and Schools Act 2026 and associated statutory guidance.</w:t>
      </w:r>
    </w:p>
    <w:p>
      <w:pPr>
        <w:pStyle w:val="ListBullet"/>
      </w:pPr>
      <w:r>
        <w:t>Only necessary data is processed​</w:t>
      </w:r>
    </w:p>
    <w:p>
      <w:pPr>
        <w:pStyle w:val="ListBullet"/>
      </w:pPr>
      <w:r>
        <w:t>Data is stored securely​</w:t>
      </w:r>
    </w:p>
    <w:p>
      <w:pPr>
        <w:pStyle w:val="ListBullet"/>
      </w:pPr>
      <w:r>
        <w:t>Safeguarding exemptions apply​</w:t>
      </w:r>
    </w:p>
    <w:p>
      <w:pPr>
        <w:pStyle w:val="ListBullet"/>
      </w:pPr>
      <w:r>
        <w:t>Information is shared lawfully and proportionately​</w:t>
      </w:r>
    </w:p>
    <w:p>
      <w:pPr>
        <w:pStyle w:val="ListBullet"/>
      </w:pPr>
      <w:r>
        <w:t>Adults have additional rights, except where overridden by safeguarding</w:t>
      </w:r>
    </w:p>
    <w:p>
      <w:r>
        <w:rPr>
          <w:b/>
        </w:rPr>
        <w:t>10. EQUALITY &amp; FAIR ACCESS</w:t>
      </w:r>
    </w:p>
    <w:p>
      <w:r>
        <w:t>EFAP does not discriminate based on:</w:t>
      </w:r>
    </w:p>
    <w:p>
      <w:pPr>
        <w:pStyle w:val="ListBullet"/>
      </w:pPr>
      <w:r>
        <w:t>Age​</w:t>
      </w:r>
    </w:p>
    <w:p>
      <w:pPr>
        <w:pStyle w:val="ListBullet"/>
      </w:pPr>
      <w:r>
        <w:t>Disability​</w:t>
      </w:r>
    </w:p>
    <w:p>
      <w:pPr>
        <w:pStyle w:val="ListBullet"/>
      </w:pPr>
      <w:r>
        <w:t>Race/ethnicity​</w:t>
      </w:r>
    </w:p>
    <w:p>
      <w:pPr>
        <w:pStyle w:val="ListBullet"/>
      </w:pPr>
      <w:r>
        <w:t>Gender/sex​</w:t>
      </w:r>
    </w:p>
    <w:p>
      <w:pPr>
        <w:pStyle w:val="ListBullet"/>
      </w:pPr>
      <w:r>
        <w:t>Sexual orientation​</w:t>
      </w:r>
    </w:p>
    <w:p>
      <w:pPr>
        <w:pStyle w:val="ListBullet"/>
      </w:pPr>
      <w:r>
        <w:t>Religion​</w:t>
      </w:r>
    </w:p>
    <w:p>
      <w:pPr>
        <w:pStyle w:val="ListBullet"/>
      </w:pPr>
      <w:r>
        <w:t>Socioeconomic background​</w:t>
      </w:r>
    </w:p>
    <w:p>
      <w:r>
        <w:rPr>
          <w:b/>
        </w:rPr>
        <w:t>• SEND​</w:t>
      </w:r>
    </w:p>
    <w:p>
      <w:pPr>
        <w:pStyle w:val="ListBullet"/>
      </w:pPr>
      <w:r>
        <w:t>Care status​</w:t>
      </w:r>
    </w:p>
    <w:p>
      <w:pPr>
        <w:pStyle w:val="ListBullet"/>
      </w:pPr>
      <w:r>
        <w:t>Adult personal circumstances</w:t>
      </w:r>
    </w:p>
    <w:p>
      <w:r>
        <w:br w:type="page"/>
      </w:r>
    </w:p>
    <w:p>
      <w:r>
        <w:t>Reasonable adjustments are provided wherever possible.</w:t>
      </w:r>
    </w:p>
    <w:p>
      <w:r>
        <w:rPr>
          <w:b/>
        </w:rPr>
        <w:t>11. POLICY ALIGNMENT</w:t>
      </w:r>
    </w:p>
    <w:p>
      <w:r>
        <w:t>This policy aligns with:</w:t>
      </w:r>
    </w:p>
    <w:p>
      <w:pPr>
        <w:pStyle w:val="ListBullet"/>
      </w:pPr>
      <w:r>
        <w:t>Safeguarding &amp; Child/Adult Protection Policy​</w:t>
      </w:r>
    </w:p>
    <w:p>
      <w:pPr>
        <w:pStyle w:val="ListBullet"/>
      </w:pPr>
      <w:r>
        <w:t>Data Protection Policy​</w:t>
      </w:r>
    </w:p>
    <w:p>
      <w:pPr>
        <w:pStyle w:val="ListBullet"/>
      </w:pPr>
      <w:r>
        <w:t>Behaviour &amp; Conduct Policy​</w:t>
      </w:r>
    </w:p>
    <w:p>
      <w:pPr>
        <w:pStyle w:val="ListBullet"/>
      </w:pPr>
      <w:r>
        <w:t>Prevent Duty Policy​</w:t>
      </w:r>
    </w:p>
    <w:p>
      <w:pPr>
        <w:pStyle w:val="ListBullet"/>
      </w:pPr>
      <w:r>
        <w:t>Online Safety Policy​</w:t>
      </w:r>
    </w:p>
    <w:p>
      <w:pPr>
        <w:pStyle w:val="ListBullet"/>
      </w:pPr>
      <w:r>
        <w:t>Complaints &amp; Appeals Policy​</w:t>
      </w:r>
    </w:p>
    <w:p>
      <w:pPr>
        <w:pStyle w:val="ListBullet"/>
      </w:pPr>
      <w:r>
        <w:t>Staff Code of Conduct</w:t>
      </w:r>
    </w:p>
    <w:p>
      <w:r>
        <w:rPr>
          <w:b/>
        </w:rPr>
        <w:t>12. POLICY REVIEW</w:t>
      </w:r>
    </w:p>
    <w:p>
      <w:r>
        <w:t>This policy is reviewed:</w:t>
      </w:r>
    </w:p>
    <w:p>
      <w:pPr>
        <w:pStyle w:val="ListBullet"/>
      </w:pPr>
      <w:r>
        <w:t>Annually​</w:t>
      </w:r>
    </w:p>
    <w:p>
      <w:pPr>
        <w:pStyle w:val="ListBullet"/>
      </w:pPr>
      <w:r>
        <w:t>After legislative changes​</w:t>
      </w:r>
    </w:p>
    <w:p>
      <w:pPr>
        <w:pStyle w:val="ListBullet"/>
      </w:pPr>
      <w:r>
        <w:t>After operational expansion​</w:t>
      </w:r>
    </w:p>
    <w:p>
      <w:pPr>
        <w:pStyle w:val="ListBullet"/>
      </w:pPr>
      <w:r>
        <w:t>After LA/Ofsted feedback​</w:t>
      </w:r>
    </w:p>
    <w:p>
      <w:pPr>
        <w:pStyle w:val="ListBullet"/>
      </w:pPr>
      <w:r>
        <w:t>Following safeguarding learning</w:t>
      </w:r>
    </w:p>
    <w:p>
      <w:r>
        <w:t>Approved by:​</w:t>
      </w:r>
    </w:p>
    <w:p>
      <w:r>
        <w:t>Rhean White, Director &amp; Lead DSL​</w:t>
      </w:r>
    </w:p>
    <w:p>
      <w:r>
        <w:t>Empowering Futures Alternative Provision</w:t>
      </w:r>
    </w:p>
    <w:p>
      <w:r>
        <w:br w:type="page"/>
      </w:r>
    </w:p>
    <w:p>
      <w:r>
        <w:rPr>
          <w:b/>
        </w:rPr>
        <w:t>2026–27 POLICY ALIGNMENT</w:t>
      </w:r>
    </w:p>
    <w:p>
      <w:r>
        <w:t>This Admissions Policy applies consistently across Empowering Futures sites in Coventry, Birmingham, Walsall and Dudley. It must be read alongside the organisation's updated Safeguarding &amp; Child Protection, Health &amp; Safety, SEND, Prevent, Online Safety, Data Protection, Behaviour &amp; Conduct and Complaints &amp; Appeals Policies. Local commissioning, safeguarding and referral arrangements apply according to the learner's location and referral route.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