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rPr>
        <w:t>EMPOWERING FUTURES ALTERNATIVE PROVISION</w:t>
      </w:r>
    </w:p>
    <w:p>
      <w:r>
        <w:rPr>
          <w:b/>
        </w:rPr>
        <w:t>ASSESSMENT POLICY, PROCEDURES &amp; OUTCOMES</w:t>
      </w:r>
    </w:p>
    <w:p>
      <w:r>
        <w:t>Version 2.0</w:t>
      </w:r>
    </w:p>
    <w:p>
      <w:r>
        <w:t>Issue Date: August 2026</w:t>
      </w:r>
    </w:p>
    <w:p>
      <w:r>
        <w:t>Effective Date: 1 September 2026</w:t>
      </w:r>
    </w:p>
    <w:p>
      <w:r>
        <w:t>Policy Cycle: September 2026 – August 2027</w:t>
      </w:r>
    </w:p>
    <w:p>
      <w:r>
        <w:t>Next Review: August 2027</w:t>
      </w:r>
    </w:p>
    <w:p>
      <w:r>
        <w:t>Approved By: Director / DSL</w:t>
      </w:r>
    </w:p>
    <w:p>
      <w:r>
        <w:t>Site Coverage: Coventry, Birmingham, Walsall and Dudley</w:t>
      </w:r>
    </w:p>
    <w:p>
      <w:r>
        <w:t>Applies to: All EFAP learners, tutors, assessors, support staff and managers across on-site, off-site, vocational, blended and adult provision.</w:t>
      </w:r>
    </w:p>
    <w:p>
      <w:r>
        <w:t>Assessment Policy</w:t>
      </w:r>
    </w:p>
    <w:p>
      <w:r>
        <w:t>Site</w:t>
      </w:r>
    </w:p>
    <w:p>
      <w:r>
        <w:t>Birmingham</w:t>
      </w:r>
    </w:p>
    <w:p>
      <w:r>
        <w:t>1.0</w:t>
      </w:r>
    </w:p>
    <w:p>
      <w:r>
        <w:t>Director / DSL</w:t>
      </w:r>
    </w:p>
    <w:p>
      <w:r>
        <w:t>January 2027</w:t>
      </w:r>
    </w:p>
    <w:p>
      <w:r>
        <w:rPr>
          <w:b/>
        </w:rPr>
        <w:t>1. POLICY STATEMENT</w:t>
      </w:r>
    </w:p>
    <w:p>
      <w:r>
        <w:t>Empowering Futures Alternative Provision (EFAP) is committed to delivering fair,</w:t>
      </w:r>
    </w:p>
    <w:p>
      <w:r>
        <w:t>inclusive, robust, and meaningful assessment practices that support learners to</w:t>
      </w:r>
    </w:p>
    <w:p>
      <w:r>
        <w:t>demonstrate progress, achievement, and personal development.</w:t>
      </w:r>
    </w:p>
    <w:p>
      <w:r>
        <w:t>Assessment at EFAP is:</w:t>
      </w:r>
    </w:p>
    <w:p>
      <w:pPr>
        <w:pStyle w:val="ListBullet"/>
      </w:pPr>
      <w:r>
        <w:t>Learner-centred</w:t>
      </w:r>
    </w:p>
    <w:p>
      <w:pPr>
        <w:pStyle w:val="ListBullet"/>
      </w:pPr>
      <w:r>
        <w:t>Trauma-informed</w:t>
      </w:r>
    </w:p>
    <w:p>
      <w:pPr>
        <w:pStyle w:val="ListBullet"/>
      </w:pPr>
      <w:r>
        <w:t>Accessible and differentiated</w:t>
      </w:r>
    </w:p>
    <w:p>
      <w:pPr>
        <w:pStyle w:val="ListBullet"/>
      </w:pPr>
      <w:r>
        <w:t>Aligned with ASDAN requirements</w:t>
      </w:r>
    </w:p>
    <w:p>
      <w:pPr>
        <w:pStyle w:val="ListBullet"/>
      </w:pPr>
      <w:r>
        <w:t>Suitable for Alternative Provision and SEND contexts</w:t>
      </w:r>
    </w:p>
    <w:p>
      <w:pPr>
        <w:pStyle w:val="ListBullet"/>
      </w:pPr>
      <w:r>
        <w:t>Transparent to learners, parents/carers, and commissioning Local Authorities</w:t>
      </w:r>
    </w:p>
    <w:p>
      <w:r>
        <w:t>Assessment is used not only to measure outcomes, but to support engagement,</w:t>
      </w:r>
    </w:p>
    <w:p>
      <w:r>
        <w:br w:type="page"/>
      </w:r>
    </w:p>
    <w:p>
      <w:r>
        <w:t>confidence, and progression.</w:t>
      </w:r>
    </w:p>
    <w:p>
      <w:r>
        <w:rPr>
          <w:b/>
        </w:rPr>
        <w:t>2. AIMS OF ASSESSMENT</w:t>
      </w:r>
    </w:p>
    <w:p>
      <w:r>
        <w:t>EFAP’s assessment approach aims to:</w:t>
      </w:r>
    </w:p>
    <w:p>
      <w:pPr>
        <w:pStyle w:val="ListBullet"/>
      </w:pPr>
      <w:r>
        <w:t>Measure learner progress against starting points</w:t>
      </w:r>
    </w:p>
    <w:p>
      <w:pPr>
        <w:pStyle w:val="ListBullet"/>
      </w:pPr>
      <w:r>
        <w:t>Evidence achievement in ASDAN units and challenges</w:t>
      </w:r>
    </w:p>
    <w:p>
      <w:pPr>
        <w:pStyle w:val="ListBullet"/>
      </w:pPr>
      <w:r>
        <w:t>Support personalised learning pathways</w:t>
      </w:r>
    </w:p>
    <w:p>
      <w:pPr>
        <w:pStyle w:val="ListBullet"/>
      </w:pPr>
      <w:r>
        <w:t>Inform planning and intervention</w:t>
      </w:r>
    </w:p>
    <w:p>
      <w:pPr>
        <w:pStyle w:val="ListBullet"/>
      </w:pPr>
      <w:r>
        <w:t>Provide credible evidence for Local Authorities and external moderation</w:t>
      </w:r>
    </w:p>
    <w:p>
      <w:pPr>
        <w:pStyle w:val="ListBullet"/>
      </w:pPr>
      <w:r>
        <w:t>Celebrate learner success and progression</w:t>
      </w:r>
    </w:p>
    <w:p>
      <w:r>
        <w:t>Assessment is continuous, formative, and summative, and is embedded throughout</w:t>
      </w:r>
    </w:p>
    <w:p>
      <w:r>
        <w:t>delivery.</w:t>
      </w:r>
    </w:p>
    <w:p>
      <w:r>
        <w:rPr>
          <w:b/>
        </w:rPr>
        <w:t>3. LEGAL AND STATUTORY FRAMEWORK</w:t>
      </w:r>
    </w:p>
    <w:p>
      <w:r>
        <w:t>This policy aligns with:</w:t>
      </w:r>
    </w:p>
    <w:p>
      <w:pPr>
        <w:pStyle w:val="ListBullet"/>
      </w:pPr>
      <w:r>
        <w:t>Education Act 1996</w:t>
      </w:r>
    </w:p>
    <w:p>
      <w:pPr>
        <w:pStyle w:val="ListBullet"/>
      </w:pPr>
      <w:r>
        <w:t>Children and Families Act 2014</w:t>
      </w:r>
    </w:p>
    <w:p>
      <w:pPr>
        <w:pStyle w:val="ListBullet"/>
      </w:pPr>
      <w:r>
        <w:t>Equality Act 2010</w:t>
      </w:r>
    </w:p>
    <w:p>
      <w:pPr>
        <w:pStyle w:val="ListBullet"/>
      </w:pPr>
      <w:r>
        <w:t>Keeping Children Safe in Education (KCSIE) 2026</w:t>
      </w:r>
    </w:p>
    <w:p>
      <w:pPr>
        <w:pStyle w:val="ListBullet"/>
      </w:pPr>
      <w:r>
        <w:t>SEND Code of Practice (2015)</w:t>
      </w:r>
    </w:p>
    <w:p>
      <w:pPr>
        <w:pStyle w:val="ListBullet"/>
      </w:pPr>
      <w:r>
        <w:t>Local Authority Alternative Provision frameworks</w:t>
      </w:r>
    </w:p>
    <w:p>
      <w:pPr>
        <w:pStyle w:val="ListBullet"/>
      </w:pPr>
      <w:r>
        <w:t>ASDAN Assessment, Moderation and Quality Assurance guidance</w:t>
      </w:r>
    </w:p>
    <w:p>
      <w:r>
        <w:br w:type="page"/>
      </w:r>
    </w:p>
    <w:p>
      <w:r>
        <w:rPr>
          <w:b/>
        </w:rPr>
        <w:t>4. SCOPE</w:t>
      </w:r>
    </w:p>
    <w:p>
      <w:r>
        <w:t>This policy applies to:</w:t>
      </w:r>
    </w:p>
    <w:p>
      <w:pPr>
        <w:pStyle w:val="ListBullet"/>
      </w:pPr>
      <w:r>
        <w:t>All EFAP learners (11–18 and adults where applicable)</w:t>
      </w:r>
    </w:p>
    <w:p>
      <w:pPr>
        <w:pStyle w:val="ListBullet"/>
      </w:pPr>
      <w:r>
        <w:t>All ASDAN-based programmes delivered by EFAP</w:t>
      </w:r>
    </w:p>
    <w:p>
      <w:pPr>
        <w:pStyle w:val="ListBullet"/>
      </w:pPr>
      <w:r>
        <w:t>All tutors, assessors, support staff, and managers</w:t>
      </w:r>
    </w:p>
    <w:p>
      <w:pPr>
        <w:pStyle w:val="ListBullet"/>
      </w:pPr>
      <w:r>
        <w:t>On-site, off-site, and blended provision</w:t>
      </w:r>
    </w:p>
    <w:p>
      <w:r>
        <w:rPr>
          <w:b/>
        </w:rPr>
        <w:t>5. ASSESSMENT PRINCIPLES (ASDAN-ALIGNED)</w:t>
      </w:r>
    </w:p>
    <w:p>
      <w:r>
        <w:t>Assessment at EFAP follows ASDAN principles and ensures:</w:t>
      </w:r>
    </w:p>
    <w:p>
      <w:pPr>
        <w:pStyle w:val="ListBullet"/>
      </w:pPr>
      <w:r>
        <w:t>Evidence is authentic and learner-generated</w:t>
      </w:r>
    </w:p>
    <w:p>
      <w:pPr>
        <w:pStyle w:val="ListBullet"/>
      </w:pPr>
      <w:r>
        <w:t>Assessment is appropriate to ability and need</w:t>
      </w:r>
    </w:p>
    <w:p>
      <w:pPr>
        <w:pStyle w:val="ListBullet"/>
      </w:pPr>
      <w:r>
        <w:t>Learners understand what they are working towards</w:t>
      </w:r>
    </w:p>
    <w:p>
      <w:pPr>
        <w:pStyle w:val="ListBullet"/>
      </w:pPr>
      <w:r>
        <w:t>Evidence shows participation, progress, and reflection</w:t>
      </w:r>
    </w:p>
    <w:p>
      <w:pPr>
        <w:pStyle w:val="ListBullet"/>
      </w:pPr>
      <w:r>
        <w:t>Assessment is supportive, not punitive</w:t>
      </w:r>
    </w:p>
    <w:p>
      <w:r>
        <w:t>Learners are assessed against ASDAN unit criteria, not against each other.</w:t>
      </w:r>
    </w:p>
    <w:p>
      <w:r>
        <w:rPr>
          <w:b/>
        </w:rPr>
        <w:t>6. TYPES OF ASSESSMENT</w:t>
      </w:r>
    </w:p>
    <w:p>
      <w:r>
        <w:rPr>
          <w:b/>
        </w:rPr>
        <w:t>6.1 Initial and Baseline Assessment</w:t>
      </w:r>
    </w:p>
    <w:p>
      <w:r>
        <w:t>On entry, learners complete baseline assessments to</w:t>
      </w:r>
    </w:p>
    <w:p>
      <w:r>
        <w:t>establish: ● Starting points</w:t>
      </w:r>
    </w:p>
    <w:p>
      <w:pPr>
        <w:pStyle w:val="ListBullet"/>
      </w:pPr>
      <w:r>
        <w:t>Engagement levels</w:t>
      </w:r>
    </w:p>
    <w:p>
      <w:r>
        <w:br w:type="page"/>
      </w:r>
    </w:p>
    <w:p>
      <w:pPr>
        <w:pStyle w:val="ListBullet"/>
      </w:pPr>
      <w:r>
        <w:t>Literacy, numeracy, and communication needs</w:t>
      </w:r>
    </w:p>
    <w:p>
      <w:pPr>
        <w:pStyle w:val="ListBullet"/>
      </w:pPr>
      <w:r>
        <w:t>SEND and SEMH considerations</w:t>
      </w:r>
    </w:p>
    <w:p>
      <w:pPr>
        <w:pStyle w:val="ListBullet"/>
      </w:pPr>
      <w:r>
        <w:t>Interests, strengths, and barriers</w:t>
      </w:r>
    </w:p>
    <w:p>
      <w:r>
        <w:t>Baseline assessment informs:</w:t>
      </w:r>
    </w:p>
    <w:p>
      <w:pPr>
        <w:pStyle w:val="ListBullet"/>
      </w:pPr>
      <w:r>
        <w:t>Individual Learning Plans (ILPs)</w:t>
      </w:r>
    </w:p>
    <w:p>
      <w:pPr>
        <w:pStyle w:val="ListBullet"/>
      </w:pPr>
      <w:r>
        <w:t>Choice of ASDAN units or challenges</w:t>
      </w:r>
    </w:p>
    <w:p>
      <w:pPr>
        <w:pStyle w:val="ListBullet"/>
      </w:pPr>
      <w:r>
        <w:t>Level of support required</w:t>
      </w:r>
    </w:p>
    <w:p>
      <w:r>
        <w:rPr>
          <w:b/>
        </w:rPr>
        <w:t>6.2 Formative Assessment (Ongoing)</w:t>
      </w:r>
    </w:p>
    <w:p>
      <w:r>
        <w:t>Formative assessment takes place throughout delivery and</w:t>
      </w:r>
    </w:p>
    <w:p>
      <w:r>
        <w:t>includes: ● Observation of practical activities</w:t>
      </w:r>
    </w:p>
    <w:p>
      <w:pPr>
        <w:pStyle w:val="ListBullet"/>
      </w:pPr>
      <w:r>
        <w:t>Questioning and discussion</w:t>
      </w:r>
    </w:p>
    <w:p>
      <w:pPr>
        <w:pStyle w:val="ListBullet"/>
      </w:pPr>
      <w:r>
        <w:t>Learner reflection (verbal, written, visual)</w:t>
      </w:r>
    </w:p>
    <w:p>
      <w:pPr>
        <w:pStyle w:val="ListBullet"/>
      </w:pPr>
      <w:r>
        <w:t>Tutor feedback</w:t>
      </w:r>
    </w:p>
    <w:p>
      <w:pPr>
        <w:pStyle w:val="ListBullet"/>
      </w:pPr>
      <w:r>
        <w:t>Work samples and portfolios</w:t>
      </w:r>
    </w:p>
    <w:p>
      <w:pPr>
        <w:pStyle w:val="ListBullet"/>
      </w:pPr>
      <w:r>
        <w:t>Photographic and video evidence (where consented)</w:t>
      </w:r>
    </w:p>
    <w:p>
      <w:r>
        <w:t>Feedback is:</w:t>
      </w:r>
    </w:p>
    <w:p>
      <w:pPr>
        <w:pStyle w:val="ListBullet"/>
      </w:pPr>
      <w:r>
        <w:t>Constructive</w:t>
      </w:r>
    </w:p>
    <w:p>
      <w:pPr>
        <w:pStyle w:val="ListBullet"/>
      </w:pPr>
      <w:r>
        <w:t>Strength-based</w:t>
      </w:r>
    </w:p>
    <w:p>
      <w:pPr>
        <w:pStyle w:val="ListBullet"/>
      </w:pPr>
      <w:r>
        <w:t>Developmental</w:t>
      </w:r>
    </w:p>
    <w:p>
      <w:r>
        <w:rPr>
          <w:b/>
        </w:rPr>
        <w:t>6.3 Summative Assessment (ASDAN</w:t>
      </w:r>
    </w:p>
    <w:p>
      <w:r>
        <w:br w:type="page"/>
      </w:r>
    </w:p>
    <w:p>
      <w:r>
        <w:t>Evidence) Summative assessment occurs when:</w:t>
      </w:r>
    </w:p>
    <w:p>
      <w:pPr>
        <w:pStyle w:val="ListBullet"/>
      </w:pPr>
      <w:r>
        <w:t>ASDAN units or challenges are completed</w:t>
      </w:r>
    </w:p>
    <w:p>
      <w:pPr>
        <w:pStyle w:val="ListBullet"/>
      </w:pPr>
      <w:r>
        <w:t>Evidence is collated into learner portfolios</w:t>
      </w:r>
    </w:p>
    <w:p>
      <w:pPr>
        <w:pStyle w:val="ListBullet"/>
      </w:pPr>
      <w:r>
        <w:t>Tutor confirms criteria have been met</w:t>
      </w:r>
    </w:p>
    <w:p>
      <w:r>
        <w:t>Evidence may include:</w:t>
      </w:r>
    </w:p>
    <w:p>
      <w:pPr>
        <w:pStyle w:val="ListBullet"/>
      </w:pPr>
      <w:r>
        <w:t>Completed ASDAN activity sheets</w:t>
      </w:r>
    </w:p>
    <w:p>
      <w:pPr>
        <w:pStyle w:val="ListBullet"/>
      </w:pPr>
      <w:r>
        <w:t>Written or dictated reflections</w:t>
      </w:r>
    </w:p>
    <w:p>
      <w:pPr>
        <w:pStyle w:val="ListBullet"/>
      </w:pPr>
      <w:r>
        <w:t>Annotated photographs</w:t>
      </w:r>
    </w:p>
    <w:p>
      <w:pPr>
        <w:pStyle w:val="ListBullet"/>
      </w:pPr>
      <w:r>
        <w:t>Witness statements</w:t>
      </w:r>
    </w:p>
    <w:p>
      <w:pPr>
        <w:pStyle w:val="ListBullet"/>
      </w:pPr>
      <w:r>
        <w:t>Observation records</w:t>
      </w:r>
    </w:p>
    <w:p>
      <w:r>
        <w:t>All summative assessment is:</w:t>
      </w:r>
    </w:p>
    <w:p>
      <w:pPr>
        <w:pStyle w:val="ListBullet"/>
      </w:pPr>
      <w:r>
        <w:t>Internally quality-assured</w:t>
      </w:r>
    </w:p>
    <w:p>
      <w:pPr>
        <w:pStyle w:val="ListBullet"/>
      </w:pPr>
      <w:r>
        <w:t>Retained for moderation and audit</w:t>
      </w:r>
    </w:p>
    <w:p>
      <w:r>
        <w:rPr>
          <w:b/>
        </w:rPr>
        <w:t>7. ASSESSMENT METHODS</w:t>
      </w:r>
    </w:p>
    <w:p>
      <w:r>
        <w:t>Assessment methods are adapted to learner need and may include:</w:t>
      </w:r>
    </w:p>
    <w:p>
      <w:pPr>
        <w:pStyle w:val="ListBullet"/>
      </w:pPr>
      <w:r>
        <w:t>Practical demonstration</w:t>
      </w:r>
    </w:p>
    <w:p>
      <w:pPr>
        <w:pStyle w:val="ListBullet"/>
      </w:pPr>
      <w:r>
        <w:t>One-to-one discussion</w:t>
      </w:r>
    </w:p>
    <w:p>
      <w:pPr>
        <w:pStyle w:val="ListBullet"/>
      </w:pPr>
      <w:r>
        <w:t>Visual evidence</w:t>
      </w:r>
    </w:p>
    <w:p>
      <w:pPr>
        <w:pStyle w:val="ListBullet"/>
      </w:pPr>
      <w:r>
        <w:t>Supported writing or scribing</w:t>
      </w:r>
    </w:p>
    <w:p>
      <w:pPr>
        <w:pStyle w:val="ListBullet"/>
      </w:pPr>
      <w:r>
        <w:t>Assistive technology</w:t>
      </w:r>
    </w:p>
    <w:p>
      <w:pPr>
        <w:pStyle w:val="ListBullet"/>
      </w:pPr>
      <w:r>
        <w:t>Peer discussion</w:t>
      </w:r>
    </w:p>
    <w:p>
      <w:pPr>
        <w:pStyle w:val="ListBullet"/>
      </w:pPr>
      <w:r>
        <w:t>Tutor observation</w:t>
      </w:r>
    </w:p>
    <w:p>
      <w:r>
        <w:br w:type="page"/>
      </w:r>
    </w:p>
    <w:p>
      <w:r>
        <w:t>Reasonable adjustments are made to ensure equal access to assessment.</w:t>
      </w:r>
    </w:p>
    <w:p>
      <w:r>
        <w:rPr>
          <w:b/>
        </w:rPr>
        <w:t>8. ROLES AND RESPONSIBILITIES</w:t>
      </w:r>
    </w:p>
    <w:p>
      <w:r>
        <w:t>Director / Quality Lead</w:t>
      </w:r>
    </w:p>
    <w:p>
      <w:pPr>
        <w:pStyle w:val="ListBullet"/>
      </w:pPr>
      <w:r>
        <w:t>Holds overall responsibility for assessment integrity</w:t>
      </w:r>
    </w:p>
    <w:p>
      <w:pPr>
        <w:pStyle w:val="ListBullet"/>
      </w:pPr>
      <w:r>
        <w:t>Ensures compliance with ASDAN and LA expectations</w:t>
      </w:r>
    </w:p>
    <w:p>
      <w:pPr>
        <w:pStyle w:val="ListBullet"/>
      </w:pPr>
      <w:r>
        <w:t>Oversees internal quality assurance</w:t>
      </w:r>
    </w:p>
    <w:p>
      <w:pPr>
        <w:pStyle w:val="ListBullet"/>
      </w:pPr>
      <w:r>
        <w:t>Responds to moderation feedback</w:t>
      </w:r>
    </w:p>
    <w:p>
      <w:r>
        <w:t>Tutors / Assessors</w:t>
      </w:r>
    </w:p>
    <w:p>
      <w:pPr>
        <w:pStyle w:val="ListBullet"/>
      </w:pPr>
      <w:r>
        <w:t>Plan and deliver assessable activities</w:t>
      </w:r>
    </w:p>
    <w:p>
      <w:pPr>
        <w:pStyle w:val="ListBullet"/>
      </w:pPr>
      <w:r>
        <w:t>Gather and record evidence</w:t>
      </w:r>
    </w:p>
    <w:p>
      <w:pPr>
        <w:pStyle w:val="ListBullet"/>
      </w:pPr>
      <w:r>
        <w:t>Provide clear feedback</w:t>
      </w:r>
    </w:p>
    <w:p>
      <w:pPr>
        <w:pStyle w:val="ListBullet"/>
      </w:pPr>
      <w:r>
        <w:t>Ensure evidence meets ASDAN standards</w:t>
      </w:r>
    </w:p>
    <w:p>
      <w:pPr>
        <w:pStyle w:val="ListBullet"/>
      </w:pPr>
      <w:r>
        <w:t>Maintain accurate learner records</w:t>
      </w:r>
    </w:p>
    <w:p>
      <w:r>
        <w:t>Centre Manager</w:t>
      </w:r>
    </w:p>
    <w:p>
      <w:pPr>
        <w:pStyle w:val="ListBullet"/>
      </w:pPr>
      <w:r>
        <w:t>Supports consistency across programmes</w:t>
      </w:r>
    </w:p>
    <w:p>
      <w:pPr>
        <w:pStyle w:val="ListBullet"/>
      </w:pPr>
      <w:r>
        <w:t>Monitors assessment practice</w:t>
      </w:r>
    </w:p>
    <w:p>
      <w:pPr>
        <w:pStyle w:val="ListBullet"/>
      </w:pPr>
      <w:r>
        <w:t>Ensures evidence is stored securely</w:t>
      </w:r>
    </w:p>
    <w:p>
      <w:pPr>
        <w:pStyle w:val="ListBullet"/>
      </w:pPr>
      <w:r>
        <w:t>Supports staff with assessment requirements</w:t>
      </w:r>
    </w:p>
    <w:p>
      <w:r>
        <w:br w:type="page"/>
      </w:r>
    </w:p>
    <w:p>
      <w:r>
        <w:t>Learners</w:t>
      </w:r>
    </w:p>
    <w:p>
      <w:pPr>
        <w:pStyle w:val="ListBullet"/>
      </w:pPr>
      <w:r>
        <w:t>Participate actively in assessment activities</w:t>
      </w:r>
    </w:p>
    <w:p>
      <w:pPr>
        <w:pStyle w:val="ListBullet"/>
      </w:pPr>
      <w:r>
        <w:t>Contribute evidence where possible</w:t>
      </w:r>
    </w:p>
    <w:p>
      <w:pPr>
        <w:pStyle w:val="ListBullet"/>
      </w:pPr>
      <w:r>
        <w:t>Reflect on progress with support</w:t>
      </w:r>
    </w:p>
    <w:p>
      <w:r>
        <w:rPr>
          <w:b/>
        </w:rPr>
        <w:t>9. INTERNAL QUALITY ASSURANCE (IQA)</w:t>
      </w:r>
    </w:p>
    <w:p>
      <w:r>
        <w:t>EFAP maintains robust IQA processes to ensure:</w:t>
      </w:r>
    </w:p>
    <w:p>
      <w:pPr>
        <w:pStyle w:val="ListBullet"/>
      </w:pPr>
      <w:r>
        <w:t>Assessment decisions are valid and consistent</w:t>
      </w:r>
    </w:p>
    <w:p>
      <w:pPr>
        <w:pStyle w:val="ListBullet"/>
      </w:pPr>
      <w:r>
        <w:t>Evidence meets ASDAN requirements</w:t>
      </w:r>
    </w:p>
    <w:p>
      <w:pPr>
        <w:pStyle w:val="ListBullet"/>
      </w:pPr>
      <w:r>
        <w:t>Learners are treated fairly</w:t>
      </w:r>
    </w:p>
    <w:p>
      <w:r>
        <w:t>IQA activities include:</w:t>
      </w:r>
    </w:p>
    <w:p>
      <w:pPr>
        <w:pStyle w:val="ListBullet"/>
      </w:pPr>
      <w:r>
        <w:t>Sampling of learner portfolios</w:t>
      </w:r>
    </w:p>
    <w:p>
      <w:pPr>
        <w:pStyle w:val="ListBullet"/>
      </w:pPr>
      <w:r>
        <w:t>Observation of assessment practice</w:t>
      </w:r>
    </w:p>
    <w:p>
      <w:pPr>
        <w:pStyle w:val="ListBullet"/>
      </w:pPr>
      <w:r>
        <w:t>Standardisation meetings</w:t>
      </w:r>
    </w:p>
    <w:p>
      <w:pPr>
        <w:pStyle w:val="ListBullet"/>
      </w:pPr>
      <w:r>
        <w:t>Action planning following moderation</w:t>
      </w:r>
    </w:p>
    <w:p>
      <w:r>
        <w:rPr>
          <w:b/>
        </w:rPr>
        <w:t>10. EXTERNAL MODERATION &amp; VERIFICATION</w:t>
      </w:r>
    </w:p>
    <w:p>
      <w:r>
        <w:t>EFAP cooperates fully with:</w:t>
      </w:r>
    </w:p>
    <w:p>
      <w:pPr>
        <w:pStyle w:val="ListBullet"/>
      </w:pPr>
      <w:r>
        <w:t>ASDAN moderation requirements</w:t>
      </w:r>
    </w:p>
    <w:p>
      <w:pPr>
        <w:pStyle w:val="ListBullet"/>
      </w:pPr>
      <w:r>
        <w:t>Local Authority quality assurance visits</w:t>
      </w:r>
    </w:p>
    <w:p>
      <w:pPr>
        <w:pStyle w:val="ListBullet"/>
      </w:pPr>
      <w:r>
        <w:t>Ofsted inspection processes</w:t>
      </w:r>
    </w:p>
    <w:p>
      <w:r>
        <w:t>Evidence is made available for:</w:t>
      </w:r>
    </w:p>
    <w:p>
      <w:r>
        <w:br w:type="page"/>
      </w:r>
    </w:p>
    <w:p>
      <w:pPr>
        <w:pStyle w:val="ListBullet"/>
      </w:pPr>
      <w:r>
        <w:t>Portfolio sampling</w:t>
      </w:r>
    </w:p>
    <w:p>
      <w:pPr>
        <w:pStyle w:val="ListBullet"/>
      </w:pPr>
      <w:r>
        <w:t>Assessment decision review</w:t>
      </w:r>
    </w:p>
    <w:p>
      <w:pPr>
        <w:pStyle w:val="ListBullet"/>
      </w:pPr>
      <w:r>
        <w:t>Learner progress tracking</w:t>
      </w:r>
    </w:p>
    <w:p>
      <w:r>
        <w:rPr>
          <w:b/>
        </w:rPr>
        <w:t>11. RECORD KEEPING &amp; DATA PROTECTION</w:t>
      </w:r>
    </w:p>
    <w:p>
      <w:r>
        <w:t>Assessment records include:</w:t>
      </w:r>
    </w:p>
    <w:p>
      <w:pPr>
        <w:pStyle w:val="ListBullet"/>
      </w:pPr>
      <w:r>
        <w:t>Baseline assessments</w:t>
      </w:r>
    </w:p>
    <w:p>
      <w:pPr>
        <w:pStyle w:val="ListBullet"/>
      </w:pPr>
      <w:r>
        <w:t>ILPs</w:t>
      </w:r>
    </w:p>
    <w:p>
      <w:pPr>
        <w:pStyle w:val="ListBullet"/>
      </w:pPr>
      <w:r>
        <w:t>Ongoing assessment notes</w:t>
      </w:r>
    </w:p>
    <w:p>
      <w:pPr>
        <w:pStyle w:val="ListBullet"/>
      </w:pPr>
      <w:r>
        <w:t>ASDAN portfolios</w:t>
      </w:r>
    </w:p>
    <w:p>
      <w:pPr>
        <w:pStyle w:val="ListBullet"/>
      </w:pPr>
      <w:r>
        <w:t>Feedback and reviews</w:t>
      </w:r>
    </w:p>
    <w:p>
      <w:r>
        <w:t>All records are:</w:t>
      </w:r>
    </w:p>
    <w:p>
      <w:pPr>
        <w:pStyle w:val="ListBullet"/>
      </w:pPr>
      <w:r>
        <w:t>Stored securely</w:t>
      </w:r>
    </w:p>
    <w:p>
      <w:pPr>
        <w:pStyle w:val="ListBullet"/>
      </w:pPr>
      <w:r>
        <w:t>GDPR compliant</w:t>
      </w:r>
    </w:p>
    <w:p>
      <w:pPr>
        <w:pStyle w:val="ListBullet"/>
      </w:pPr>
      <w:r>
        <w:t>Retained in line with awarding-body and LA guidance</w:t>
      </w:r>
    </w:p>
    <w:p>
      <w:r>
        <w:rPr>
          <w:b/>
        </w:rPr>
        <w:t>12. ASSESSMENT OUTCOMES</w:t>
      </w:r>
    </w:p>
    <w:p>
      <w:r>
        <w:t>Assessment outcomes at EFAP include:</w:t>
      </w:r>
    </w:p>
    <w:p>
      <w:pPr>
        <w:pStyle w:val="ListBullet"/>
      </w:pPr>
      <w:r>
        <w:t>Achievement of ASDAN units and certificates</w:t>
      </w:r>
    </w:p>
    <w:p>
      <w:pPr>
        <w:pStyle w:val="ListBullet"/>
      </w:pPr>
      <w:r>
        <w:t>Improved engagement and attendance</w:t>
      </w:r>
    </w:p>
    <w:p>
      <w:pPr>
        <w:pStyle w:val="ListBullet"/>
      </w:pPr>
      <w:r>
        <w:t>Increased confidence and self-esteem</w:t>
      </w:r>
    </w:p>
    <w:p>
      <w:r>
        <w:br w:type="page"/>
      </w:r>
    </w:p>
    <w:p>
      <w:pPr>
        <w:pStyle w:val="ListBullet"/>
      </w:pPr>
      <w:r>
        <w:t>Development of practical, life, and employability skills</w:t>
      </w:r>
    </w:p>
    <w:p>
      <w:pPr>
        <w:pStyle w:val="ListBullet"/>
      </w:pPr>
      <w:r>
        <w:t>Progression into education, training, or employment</w:t>
      </w:r>
    </w:p>
    <w:p>
      <w:r>
        <w:t>Outcomes are shared with:</w:t>
      </w:r>
    </w:p>
    <w:p>
      <w:pPr>
        <w:pStyle w:val="ListBullet"/>
      </w:pPr>
      <w:r>
        <w:t>Learners</w:t>
      </w:r>
    </w:p>
    <w:p>
      <w:pPr>
        <w:pStyle w:val="ListBullet"/>
      </w:pPr>
      <w:r>
        <w:t>Parents/carers (where appropriate)</w:t>
      </w:r>
    </w:p>
    <w:p>
      <w:pPr>
        <w:pStyle w:val="ListBullet"/>
      </w:pPr>
      <w:r>
        <w:t>Referring schools</w:t>
      </w:r>
    </w:p>
    <w:p>
      <w:pPr>
        <w:pStyle w:val="ListBullet"/>
      </w:pPr>
      <w:r>
        <w:t>Local Authorities</w:t>
      </w:r>
    </w:p>
    <w:p>
      <w:r>
        <w:rPr>
          <w:b/>
        </w:rPr>
        <w:t>13. PROGRESSION &amp; REVIEW</w:t>
      </w:r>
    </w:p>
    <w:p>
      <w:r>
        <w:t>Assessment outcomes inform:</w:t>
      </w:r>
    </w:p>
    <w:p>
      <w:pPr>
        <w:pStyle w:val="ListBullet"/>
      </w:pPr>
      <w:r>
        <w:t>Next steps and progression planning</w:t>
      </w:r>
    </w:p>
    <w:p>
      <w:pPr>
        <w:pStyle w:val="ListBullet"/>
      </w:pPr>
      <w:r>
        <w:t>Review of learning pathways</w:t>
      </w:r>
    </w:p>
    <w:p>
      <w:pPr>
        <w:pStyle w:val="ListBullet"/>
      </w:pPr>
      <w:r>
        <w:t>Multi-agency meetings</w:t>
      </w:r>
    </w:p>
    <w:p>
      <w:pPr>
        <w:pStyle w:val="ListBullet"/>
      </w:pPr>
      <w:r>
        <w:t>EHCP reviews (where applicable)</w:t>
      </w:r>
    </w:p>
    <w:p>
      <w:r>
        <w:t>Learner progress is reviewed regularly and plans adjusted accordingly.</w:t>
      </w:r>
    </w:p>
    <w:p>
      <w:r>
        <w:rPr>
          <w:b/>
        </w:rPr>
        <w:t>14. EQUALITY, INCLUSION &amp; SEND</w:t>
      </w:r>
    </w:p>
    <w:p>
      <w:r>
        <w:t>Assessment practice at EFAP:</w:t>
      </w:r>
    </w:p>
    <w:p>
      <w:pPr>
        <w:pStyle w:val="ListBullet"/>
      </w:pPr>
      <w:r>
        <w:t>Is inclusive and non-discriminatory</w:t>
      </w:r>
    </w:p>
    <w:p>
      <w:pPr>
        <w:pStyle w:val="ListBullet"/>
      </w:pPr>
      <w:r>
        <w:t>Reflects SEND Code of Practice principles</w:t>
      </w:r>
    </w:p>
    <w:p>
      <w:pPr>
        <w:pStyle w:val="ListBullet"/>
      </w:pPr>
      <w:r>
        <w:t>Allows for reasonable adjustments</w:t>
      </w:r>
    </w:p>
    <w:p>
      <w:pPr>
        <w:pStyle w:val="ListBullet"/>
      </w:pPr>
      <w:r>
        <w:t>Recognises progress at all levels</w:t>
      </w:r>
    </w:p>
    <w:p>
      <w:r>
        <w:br w:type="page"/>
      </w:r>
    </w:p>
    <w:p>
      <w:r>
        <w:t>No learner is disadvantaged due to disability, background, or need.</w:t>
      </w:r>
    </w:p>
    <w:p>
      <w:r>
        <w:rPr>
          <w:b/>
        </w:rPr>
        <w:t>15. SAFEGUARDING LINK</w:t>
      </w:r>
    </w:p>
    <w:p>
      <w:r>
        <w:t>Assessment processes are linked to safeguarding where:</w:t>
      </w:r>
    </w:p>
    <w:p>
      <w:pPr>
        <w:pStyle w:val="ListBullet"/>
      </w:pPr>
      <w:r>
        <w:t>Engagement drops suddenly</w:t>
      </w:r>
    </w:p>
    <w:p>
      <w:pPr>
        <w:pStyle w:val="ListBullet"/>
      </w:pPr>
      <w:r>
        <w:t>Learner wellbeing declines</w:t>
      </w:r>
    </w:p>
    <w:p>
      <w:pPr>
        <w:pStyle w:val="ListBullet"/>
      </w:pPr>
      <w:r>
        <w:t>Concerns arise during assessment interactions</w:t>
      </w:r>
    </w:p>
    <w:p>
      <w:r>
        <w:t>Safeguarding procedures are followed where required.</w:t>
      </w:r>
    </w:p>
    <w:p>
      <w:r>
        <w:rPr>
          <w:b/>
        </w:rPr>
        <w:t>16. POLICY REVIEW</w:t>
      </w:r>
    </w:p>
    <w:p>
      <w:r>
        <w:t>This policy will be reviewed:</w:t>
      </w:r>
    </w:p>
    <w:p>
      <w:pPr>
        <w:pStyle w:val="ListBullet"/>
      </w:pPr>
      <w:r>
        <w:t>Annually</w:t>
      </w:r>
    </w:p>
    <w:p>
      <w:pPr>
        <w:pStyle w:val="ListBullet"/>
      </w:pPr>
      <w:r>
        <w:t>Following ASDAN updates</w:t>
      </w:r>
    </w:p>
    <w:p>
      <w:pPr>
        <w:pStyle w:val="ListBullet"/>
      </w:pPr>
      <w:r>
        <w:t>After LA or Ofsted feedback</w:t>
      </w:r>
    </w:p>
    <w:p>
      <w:pPr>
        <w:pStyle w:val="ListBullet"/>
      </w:pPr>
      <w:r>
        <w:t>After moderation outcomes</w:t>
      </w:r>
    </w:p>
    <w:p>
      <w:r>
        <w:rPr>
          <w:b/>
        </w:rPr>
        <w:t>17. MAPPING ASSESSMENT OUTCOMES TO EHCP</w:t>
      </w:r>
    </w:p>
    <w:p>
      <w:r>
        <w:rPr>
          <w:b/>
        </w:rPr>
        <w:t>OUTCOMES</w:t>
      </w:r>
    </w:p>
    <w:p>
      <w:r>
        <w:t>Empowering Futures Alternative Provision (EFAP) ensures that assessment outcomes</w:t>
      </w:r>
    </w:p>
    <w:p>
      <w:r>
        <w:t>are clearly linked to Education, Health and Care Plan (EHCP) outcomes, where a learner</w:t>
      </w:r>
    </w:p>
    <w:p>
      <w:r>
        <w:t>has an EHCP or is supported at SEN Support level.</w:t>
      </w:r>
    </w:p>
    <w:p>
      <w:r>
        <w:t>Assessment is used as a functional tool to evidence progress against EHCP outcomes,</w:t>
      </w:r>
    </w:p>
    <w:p>
      <w:r>
        <w:t>rather than solely academic attainment. This approach aligns with:</w:t>
      </w:r>
    </w:p>
    <w:p>
      <w:pPr>
        <w:pStyle w:val="ListBullet"/>
      </w:pPr>
      <w:r>
        <w:t>The SEND Code of Practice (2015)</w:t>
      </w:r>
    </w:p>
    <w:p>
      <w:r>
        <w:br w:type="page"/>
      </w:r>
    </w:p>
    <w:p>
      <w:pPr>
        <w:pStyle w:val="ListBullet"/>
      </w:pPr>
      <w:r>
        <w:t>Local Authority expectations for Alternative Provision</w:t>
      </w:r>
    </w:p>
    <w:p>
      <w:pPr>
        <w:pStyle w:val="ListBullet"/>
      </w:pPr>
      <w:r>
        <w:t>ASDAN assessment principles</w:t>
      </w:r>
    </w:p>
    <w:p>
      <w:r>
        <w:rPr>
          <w:b/>
        </w:rPr>
        <w:t>17.1 Principles of EHCP-Aligned Assessment</w:t>
      </w:r>
    </w:p>
    <w:p>
      <w:r>
        <w:t>Assessment at EFAP:</w:t>
      </w:r>
    </w:p>
    <w:p>
      <w:pPr>
        <w:pStyle w:val="ListBullet"/>
      </w:pPr>
      <w:r>
        <w:t>Starts from the learner’s baseline and EHCP needs ● Measures small steps of</w:t>
      </w:r>
    </w:p>
    <w:p>
      <w:r>
        <w:t>progress</w:t>
      </w:r>
    </w:p>
    <w:p>
      <w:pPr>
        <w:pStyle w:val="ListBullet"/>
      </w:pPr>
      <w:r>
        <w:t>Recognises progress in engagement, behaviour, communication, and</w:t>
      </w:r>
    </w:p>
    <w:p>
      <w:r>
        <w:t>independence</w:t>
      </w:r>
    </w:p>
    <w:p>
      <w:pPr>
        <w:pStyle w:val="ListBullet"/>
      </w:pPr>
      <w:r>
        <w:t>Provides clear, auditable evidence for Local Authorities and annual</w:t>
      </w:r>
    </w:p>
    <w:p>
      <w:r>
        <w:t>reviews</w:t>
      </w:r>
    </w:p>
    <w:p>
      <w:r>
        <w:t>Assessment evidence is used to demonstrate progress towards EHCP outcomes, not just</w:t>
      </w:r>
    </w:p>
    <w:p>
      <w:r>
        <w:t>completion of tasks.</w:t>
      </w:r>
    </w:p>
    <w:p>
      <w:r>
        <w:rPr>
          <w:b/>
        </w:rPr>
        <w:t>17.2 EHCP Outcome Areas and Assessment Mapping</w:t>
      </w:r>
    </w:p>
    <w:p>
      <w:r>
        <w:t>EFAP maps assessment outcomes across the four EHCP areas of need:</w:t>
      </w:r>
    </w:p>
    <w:p>
      <w:r>
        <w:t>A. Cognition and Learning</w:t>
      </w:r>
    </w:p>
    <w:p>
      <w:r>
        <w:t>EHCP Outcome Focus:</w:t>
      </w:r>
    </w:p>
    <w:p>
      <w:pPr>
        <w:pStyle w:val="ListBullet"/>
      </w:pPr>
      <w:r>
        <w:t>Engagement with learning</w:t>
      </w:r>
    </w:p>
    <w:p>
      <w:pPr>
        <w:pStyle w:val="ListBullet"/>
      </w:pPr>
      <w:r>
        <w:t>Development of functional skills</w:t>
      </w:r>
    </w:p>
    <w:p>
      <w:r>
        <w:br w:type="page"/>
      </w:r>
    </w:p>
    <w:p>
      <w:pPr>
        <w:pStyle w:val="ListBullet"/>
      </w:pPr>
      <w:r>
        <w:t>Ability to follow instructions and complete tasks</w:t>
      </w:r>
    </w:p>
    <w:p>
      <w:r>
        <w:t>Assessment Evidence Includes:</w:t>
      </w:r>
    </w:p>
    <w:p>
      <w:pPr>
        <w:pStyle w:val="ListBullet"/>
      </w:pPr>
      <w:r>
        <w:t>Completion of ASDAN activities or challenges</w:t>
      </w:r>
    </w:p>
    <w:p>
      <w:pPr>
        <w:pStyle w:val="ListBullet"/>
      </w:pPr>
      <w:r>
        <w:t>Practical task participation</w:t>
      </w:r>
    </w:p>
    <w:p>
      <w:pPr>
        <w:pStyle w:val="ListBullet"/>
      </w:pPr>
      <w:r>
        <w:t>Problem-solving activities</w:t>
      </w:r>
    </w:p>
    <w:p>
      <w:pPr>
        <w:pStyle w:val="ListBullet"/>
      </w:pPr>
      <w:r>
        <w:t>Tutor observation records</w:t>
      </w:r>
    </w:p>
    <w:p>
      <w:pPr>
        <w:pStyle w:val="ListBullet"/>
      </w:pPr>
      <w:r>
        <w:t>Learner reflections (written, verbal, or visual)</w:t>
      </w:r>
    </w:p>
    <w:p>
      <w:r>
        <w:t>Demonstrated Progress:</w:t>
      </w:r>
    </w:p>
    <w:p>
      <w:pPr>
        <w:pStyle w:val="ListBullet"/>
      </w:pPr>
      <w:r>
        <w:t>Increased task completion</w:t>
      </w:r>
    </w:p>
    <w:p>
      <w:pPr>
        <w:pStyle w:val="ListBullet"/>
      </w:pPr>
      <w:r>
        <w:t>Improved focus and perseverance</w:t>
      </w:r>
    </w:p>
    <w:p>
      <w:pPr>
        <w:pStyle w:val="ListBullet"/>
      </w:pPr>
      <w:r>
        <w:t>Growing independence in learning activities</w:t>
      </w:r>
    </w:p>
    <w:p>
      <w:r>
        <w:t>B. Communication and Interaction</w:t>
      </w:r>
    </w:p>
    <w:p>
      <w:r>
        <w:t>EHCP Outcome Focus:</w:t>
      </w:r>
    </w:p>
    <w:p>
      <w:pPr>
        <w:pStyle w:val="ListBullet"/>
      </w:pPr>
      <w:r>
        <w:t>Expressing needs and ideas</w:t>
      </w:r>
    </w:p>
    <w:p>
      <w:pPr>
        <w:pStyle w:val="ListBullet"/>
      </w:pPr>
      <w:r>
        <w:t>Engaging with peers and adults</w:t>
      </w:r>
    </w:p>
    <w:p>
      <w:pPr>
        <w:pStyle w:val="ListBullet"/>
      </w:pPr>
      <w:r>
        <w:t>Developing confidence in communication</w:t>
      </w:r>
    </w:p>
    <w:p>
      <w:r>
        <w:br w:type="page"/>
      </w:r>
    </w:p>
    <w:p>
      <w:r>
        <w:t>Assessment Evidence Includes:</w:t>
      </w:r>
    </w:p>
    <w:p>
      <w:pPr>
        <w:pStyle w:val="ListBullet"/>
      </w:pPr>
      <w:r>
        <w:t>Group work participation</w:t>
      </w:r>
    </w:p>
    <w:p>
      <w:pPr>
        <w:pStyle w:val="ListBullet"/>
      </w:pPr>
      <w:r>
        <w:t>One-to-one discussions</w:t>
      </w:r>
    </w:p>
    <w:p>
      <w:pPr>
        <w:pStyle w:val="ListBullet"/>
      </w:pPr>
      <w:r>
        <w:t>Presentations or demonstrations</w:t>
      </w:r>
    </w:p>
    <w:p>
      <w:pPr>
        <w:pStyle w:val="ListBullet"/>
      </w:pPr>
      <w:r>
        <w:t>Supported communication records</w:t>
      </w:r>
    </w:p>
    <w:p>
      <w:pPr>
        <w:pStyle w:val="ListBullet"/>
      </w:pPr>
      <w:r>
        <w:t>Tutor and witness statements</w:t>
      </w:r>
    </w:p>
    <w:p>
      <w:r>
        <w:t>Demonstrated Progress:</w:t>
      </w:r>
    </w:p>
    <w:p>
      <w:pPr>
        <w:pStyle w:val="ListBullet"/>
      </w:pPr>
      <w:r>
        <w:t>Increased verbal or non-verbal communication ● Improved social interaction</w:t>
      </w:r>
    </w:p>
    <w:p>
      <w:pPr>
        <w:pStyle w:val="ListBullet"/>
      </w:pPr>
      <w:r>
        <w:t>Reduced anxiety around communication</w:t>
      </w:r>
    </w:p>
    <w:p>
      <w:r>
        <w:t>C. Social, Emotional and Mental Health (SEMH)</w:t>
      </w:r>
    </w:p>
    <w:p>
      <w:r>
        <w:t>EHCP Outcome Focus:</w:t>
      </w:r>
    </w:p>
    <w:p>
      <w:pPr>
        <w:pStyle w:val="ListBullet"/>
      </w:pPr>
      <w:r>
        <w:t>Emotional regulation</w:t>
      </w:r>
    </w:p>
    <w:p>
      <w:pPr>
        <w:pStyle w:val="ListBullet"/>
      </w:pPr>
      <w:r>
        <w:t>Behaviour management</w:t>
      </w:r>
    </w:p>
    <w:p>
      <w:pPr>
        <w:pStyle w:val="ListBullet"/>
      </w:pPr>
      <w:r>
        <w:t>Self-esteem and confidence</w:t>
      </w:r>
    </w:p>
    <w:p>
      <w:pPr>
        <w:pStyle w:val="ListBullet"/>
      </w:pPr>
      <w:r>
        <w:t>Engagement and attendance</w:t>
      </w:r>
    </w:p>
    <w:p>
      <w:r>
        <w:br w:type="page"/>
      </w:r>
    </w:p>
    <w:p>
      <w:r>
        <w:t>Assessment Evidence Includes:</w:t>
      </w:r>
    </w:p>
    <w:p>
      <w:pPr>
        <w:pStyle w:val="ListBullet"/>
      </w:pPr>
      <w:r>
        <w:t>Attendance and engagement tracking</w:t>
      </w:r>
    </w:p>
    <w:p>
      <w:pPr>
        <w:pStyle w:val="ListBullet"/>
      </w:pPr>
      <w:r>
        <w:t>Behaviour logs and progress notes ● ASDAN reflective</w:t>
      </w:r>
    </w:p>
    <w:p>
      <w:r>
        <w:t>activities</w:t>
      </w:r>
    </w:p>
    <w:p>
      <w:pPr>
        <w:pStyle w:val="ListBullet"/>
      </w:pPr>
      <w:r>
        <w:t>Observation of regulation strategies ● Reduction in incidents</w:t>
      </w:r>
    </w:p>
    <w:p>
      <w:r>
        <w:t>or avoidance</w:t>
      </w:r>
    </w:p>
    <w:p>
      <w:r>
        <w:t>Demonstrated Progress:</w:t>
      </w:r>
    </w:p>
    <w:p>
      <w:pPr>
        <w:pStyle w:val="ListBullet"/>
      </w:pPr>
      <w:r>
        <w:t>Improved emotional regulation</w:t>
      </w:r>
    </w:p>
    <w:p>
      <w:pPr>
        <w:pStyle w:val="ListBullet"/>
      </w:pPr>
      <w:r>
        <w:t>Increased session attendance</w:t>
      </w:r>
    </w:p>
    <w:p>
      <w:pPr>
        <w:pStyle w:val="ListBullet"/>
      </w:pPr>
      <w:r>
        <w:t>Positive behaviour changes</w:t>
      </w:r>
    </w:p>
    <w:p>
      <w:pPr>
        <w:pStyle w:val="ListBullet"/>
      </w:pPr>
      <w:r>
        <w:t>Willingness to attempt new challenges</w:t>
      </w:r>
    </w:p>
    <w:p>
      <w:r>
        <w:t>D. Sensory and/or Physical Needs</w:t>
      </w:r>
    </w:p>
    <w:p>
      <w:r>
        <w:t>EHCP Outcome Focus:</w:t>
      </w:r>
    </w:p>
    <w:p>
      <w:pPr>
        <w:pStyle w:val="ListBullet"/>
      </w:pPr>
      <w:r>
        <w:t>Managing sensory needs</w:t>
      </w:r>
    </w:p>
    <w:p>
      <w:pPr>
        <w:pStyle w:val="ListBullet"/>
      </w:pPr>
      <w:r>
        <w:t>Physical access to learning</w:t>
      </w:r>
    </w:p>
    <w:p>
      <w:pPr>
        <w:pStyle w:val="ListBullet"/>
      </w:pPr>
      <w:r>
        <w:t>Safe participation in activities</w:t>
      </w:r>
    </w:p>
    <w:p>
      <w:r>
        <w:br w:type="page"/>
      </w:r>
    </w:p>
    <w:p>
      <w:r>
        <w:t>Assessment Evidence Includes:</w:t>
      </w:r>
    </w:p>
    <w:p>
      <w:pPr>
        <w:pStyle w:val="ListBullet"/>
      </w:pPr>
      <w:r>
        <w:t>Adapted practical tasks</w:t>
      </w:r>
    </w:p>
    <w:p>
      <w:pPr>
        <w:pStyle w:val="ListBullet"/>
      </w:pPr>
      <w:r>
        <w:t>Use of sensory supports</w:t>
      </w:r>
    </w:p>
    <w:p>
      <w:pPr>
        <w:pStyle w:val="ListBullet"/>
      </w:pPr>
      <w:r>
        <w:t>Risk assessments and adjustments ● Observation of</w:t>
      </w:r>
    </w:p>
    <w:p>
      <w:r>
        <w:t>participation</w:t>
      </w:r>
    </w:p>
    <w:p>
      <w:pPr>
        <w:pStyle w:val="ListBullet"/>
      </w:pPr>
      <w:r>
        <w:t>Occupational or physical support strategies</w:t>
      </w:r>
    </w:p>
    <w:p>
      <w:r>
        <w:t>Demonstrated Progress:</w:t>
      </w:r>
    </w:p>
    <w:p>
      <w:pPr>
        <w:pStyle w:val="ListBullet"/>
      </w:pPr>
      <w:r>
        <w:t>Increased tolerance of environments ● Improved physical</w:t>
      </w:r>
    </w:p>
    <w:p>
      <w:r>
        <w:t>participation</w:t>
      </w:r>
    </w:p>
    <w:p>
      <w:pPr>
        <w:pStyle w:val="ListBullet"/>
      </w:pPr>
      <w:r>
        <w:t>Reduced sensory-related distress</w:t>
      </w:r>
    </w:p>
    <w:p>
      <w:r>
        <w:rPr>
          <w:b/>
        </w:rPr>
        <w:t>17.3 Assessment Tools Used to Evidence EHCP</w:t>
      </w:r>
    </w:p>
    <w:p>
      <w:r>
        <w:t>Outcomes</w:t>
      </w:r>
    </w:p>
    <w:p>
      <w:r>
        <w:t>EFAP uses a range of tools to evidence EHCP progress, including:</w:t>
      </w:r>
    </w:p>
    <w:p>
      <w:pPr>
        <w:pStyle w:val="ListBullet"/>
      </w:pPr>
      <w:r>
        <w:t>Baseline and review assessments</w:t>
      </w:r>
    </w:p>
    <w:p>
      <w:pPr>
        <w:pStyle w:val="ListBullet"/>
      </w:pPr>
      <w:r>
        <w:t>Individual Learning Plans (ILPs)</w:t>
      </w:r>
    </w:p>
    <w:p>
      <w:pPr>
        <w:pStyle w:val="ListBullet"/>
      </w:pPr>
      <w:r>
        <w:t>ASDAN portfolios and unit evidence</w:t>
      </w:r>
    </w:p>
    <w:p>
      <w:pPr>
        <w:pStyle w:val="ListBullet"/>
      </w:pPr>
      <w:r>
        <w:t>Observation and witness statements</w:t>
      </w:r>
    </w:p>
    <w:p>
      <w:pPr>
        <w:pStyle w:val="ListBullet"/>
      </w:pPr>
      <w:r>
        <w:t>Attendance and engagement records ● Photographic evidence</w:t>
      </w:r>
    </w:p>
    <w:p>
      <w:r>
        <w:br w:type="page"/>
      </w:r>
    </w:p>
    <w:p>
      <w:r>
        <w:t>(with consent) ● Learner voice and reflection</w:t>
      </w:r>
    </w:p>
    <w:p>
      <w:r>
        <w:t>Each piece of evidence is cross-referenced to EHCP</w:t>
      </w:r>
    </w:p>
    <w:p>
      <w:r>
        <w:t>outcomes where applicable.</w:t>
      </w:r>
    </w:p>
    <w:p>
      <w:r>
        <w:rPr>
          <w:b/>
        </w:rPr>
        <w:t>17.4 Reporting Progress to Local Authorities</w:t>
      </w:r>
    </w:p>
    <w:p>
      <w:r>
        <w:t>Assessment outcomes linked to EHCPs are shared through:</w:t>
      </w:r>
    </w:p>
    <w:p>
      <w:pPr>
        <w:pStyle w:val="ListBullet"/>
      </w:pPr>
      <w:r>
        <w:t>Termly progress reports</w:t>
      </w:r>
    </w:p>
    <w:p>
      <w:pPr>
        <w:pStyle w:val="ListBullet"/>
      </w:pPr>
      <w:r>
        <w:t>LA commissioning updates</w:t>
      </w:r>
    </w:p>
    <w:p>
      <w:pPr>
        <w:pStyle w:val="ListBullet"/>
      </w:pPr>
      <w:r>
        <w:t>EHCP annual reviews</w:t>
      </w:r>
    </w:p>
    <w:p>
      <w:pPr>
        <w:pStyle w:val="ListBullet"/>
      </w:pPr>
      <w:r>
        <w:t>Multi-agency meetings</w:t>
      </w:r>
    </w:p>
    <w:p>
      <w:r>
        <w:t>Reports clearly state:</w:t>
      </w:r>
    </w:p>
    <w:p>
      <w:pPr>
        <w:pStyle w:val="ListBullet"/>
      </w:pPr>
      <w:r>
        <w:t>EHCP outcomes targeted</w:t>
      </w:r>
    </w:p>
    <w:p>
      <w:pPr>
        <w:pStyle w:val="ListBullet"/>
      </w:pPr>
      <w:r>
        <w:t>Progress made (qualitative and quantitative) ● Barriers encountered</w:t>
      </w:r>
    </w:p>
    <w:p>
      <w:pPr>
        <w:pStyle w:val="ListBullet"/>
      </w:pPr>
      <w:r>
        <w:t>Recommended next steps</w:t>
      </w:r>
    </w:p>
    <w:p>
      <w:r>
        <w:rPr>
          <w:b/>
        </w:rPr>
        <w:t>17.5 Use of Assessment to Inform Provision</w:t>
      </w:r>
    </w:p>
    <w:p>
      <w:r>
        <w:t>EHCP-linked assessment outcomes are used to:</w:t>
      </w:r>
    </w:p>
    <w:p>
      <w:pPr>
        <w:pStyle w:val="ListBullet"/>
      </w:pPr>
      <w:r>
        <w:t>Adjust learning strategies</w:t>
      </w:r>
    </w:p>
    <w:p>
      <w:pPr>
        <w:pStyle w:val="ListBullet"/>
      </w:pPr>
      <w:r>
        <w:t>Introduce additional support or interventions ● Modify timetables or</w:t>
      </w:r>
    </w:p>
    <w:p>
      <w:r>
        <w:br w:type="page"/>
      </w:r>
    </w:p>
    <w:p>
      <w:r>
        <w:t>environments</w:t>
      </w:r>
    </w:p>
    <w:p>
      <w:pPr>
        <w:pStyle w:val="ListBullet"/>
      </w:pPr>
      <w:r>
        <w:t>Inform progression planning</w:t>
      </w:r>
    </w:p>
    <w:p>
      <w:pPr>
        <w:pStyle w:val="ListBullet"/>
      </w:pPr>
      <w:r>
        <w:t>Support step-down or reintegration pathways</w:t>
      </w:r>
    </w:p>
    <w:p>
      <w:r>
        <w:t>Assessment is reviewed regularly to ensure provision remains appropriate,</w:t>
      </w:r>
    </w:p>
    <w:p>
      <w:r>
        <w:t>responsive, and</w:t>
      </w:r>
    </w:p>
    <w:p>
      <w:r>
        <w:t>outcome-focused.</w:t>
      </w:r>
    </w:p>
    <w:p>
      <w:r>
        <w:rPr>
          <w:b/>
        </w:rPr>
        <w:t>17.6 Quality Assurance of EHCP-Aligned Assessment</w:t>
      </w:r>
    </w:p>
    <w:p>
      <w:r>
        <w:t>The Director and Centre Manager ensure that:</w:t>
      </w:r>
    </w:p>
    <w:p>
      <w:pPr>
        <w:pStyle w:val="ListBullet"/>
      </w:pPr>
      <w:r>
        <w:t>Assessment evidence clearly links to EHCP outcomes</w:t>
      </w:r>
    </w:p>
    <w:p>
      <w:pPr>
        <w:pStyle w:val="ListBullet"/>
      </w:pPr>
      <w:r>
        <w:t>Staff understand EHCP targets relevant to learners ● Evidence is sufficient for</w:t>
      </w:r>
    </w:p>
    <w:p>
      <w:r>
        <w:t>LA audit and inspection ● Feedback from LA reviews is acted upon</w:t>
      </w:r>
    </w:p>
    <w:p>
      <w:r>
        <w:rPr>
          <w:b/>
        </w:rPr>
        <w:t>17.7 Safeguarding and Wellbeing Link</w:t>
      </w:r>
    </w:p>
    <w:p>
      <w:r>
        <w:t>Where assessment indicates:</w:t>
      </w:r>
    </w:p>
    <w:p>
      <w:pPr>
        <w:pStyle w:val="ListBullet"/>
      </w:pPr>
      <w:r>
        <w:t>Regression</w:t>
      </w:r>
    </w:p>
    <w:p>
      <w:pPr>
        <w:pStyle w:val="ListBullet"/>
      </w:pPr>
      <w:r>
        <w:t>Increased disengagement</w:t>
      </w:r>
    </w:p>
    <w:p>
      <w:pPr>
        <w:pStyle w:val="ListBullet"/>
      </w:pPr>
      <w:r>
        <w:t>Emotional distress</w:t>
      </w:r>
    </w:p>
    <w:p>
      <w:pPr>
        <w:pStyle w:val="ListBullet"/>
      </w:pPr>
      <w:r>
        <w:t>Attendance decline</w:t>
      </w:r>
    </w:p>
    <w:p>
      <w:r>
        <w:t>Safeguarding procedures are followed and concerns escalated in line with EFAP</w:t>
      </w:r>
    </w:p>
    <w:p>
      <w:r>
        <w:t>policy.</w:t>
      </w:r>
    </w:p>
    <w:p>
      <w:r>
        <w:br w:type="page"/>
      </w:r>
    </w:p>
    <w:p>
      <w:r>
        <w:rPr>
          <w:b/>
        </w:rPr>
        <w:t>APPROVAL</w:t>
      </w:r>
    </w:p>
    <w:p>
      <w:r>
        <w:t>Approved by:</w:t>
      </w:r>
    </w:p>
    <w:p>
      <w:r>
        <w:t>Rhean White</w:t>
      </w:r>
    </w:p>
    <w:p>
      <w:r>
        <w:t>Director &amp; Designated Safeguarding Lead</w:t>
      </w:r>
    </w:p>
    <w:p>
      <w:r>
        <w:t>Empowering Futures Alternative Provision</w:t>
      </w:r>
    </w:p>
    <w:p>
      <w:r>
        <w:br w:type="page"/>
      </w:r>
    </w:p>
    <w:p>
      <w:r>
        <w:rPr>
          <w:b/>
        </w:rPr>
        <w:t>2026–27 POLICY ALIGNMENT</w:t>
      </w:r>
    </w:p>
    <w:p>
      <w:r>
        <w:t>This policy applies consistently across Empowering Futures sites in Coventry, Birmingham, Walsall and Dudley, including on-site, off-site, community, vocational, blended, remote and adult provision.</w:t>
      </w:r>
    </w:p>
    <w:p>
      <w:r>
        <w:t>The assessment framework is aligned with the Education Act 1996, Children and Families Act 2014, Equality Act 2010, SEND Code of Practice 2015, Keeping Children Safe in Education (KCSIE) 2026, relevant Local Authority Alternative Provision requirements and ASDAN assessment, moderation and quality assurance requirements.</w:t>
      </w:r>
    </w:p>
    <w:p>
      <w:r>
        <w:t>Assessment will remain learner-centred, trauma-informed, accessible, differentiated and appropriate to SEND and Alternative Provision contexts. Reasonable adjustments will be made to ensure equal access without compromising the validity or integrity of assessment.</w:t>
      </w:r>
    </w:p>
    <w:p>
      <w:r>
        <w:t>Assessment evidence will be authentic, learner-generated where appropriate, securely stored and retained in line with awarding-body, commissioning and data-protection requirements. Photographic or video evidence will only be used where appropriate consent and lawful processing arrangements are in place.</w:t>
      </w:r>
    </w:p>
    <w:p>
      <w:r>
        <w:t>Assessment outcomes will continue to inform Individual Learning Plans, EHCP outcomes where applicable, progression planning, multi-agency reviews and Local Authority reporting. Sudden changes in engagement, wellbeing, attendance or presentation identified through assessment must be considered as potential safeguarding indicators and escalated through the safeguarding pathway where required.</w:t>
      </w:r>
    </w:p>
    <w:p>
      <w:r>
        <w:t>Internal quality assurance will continue through portfolio sampling, observation, standardisation, moderation and action planning. Evidence must be sufficient, accurate and auditable for ASDAN, Local Authority and inspection purposes.</w:t>
      </w:r>
    </w:p>
    <w:p>
      <w:r>
        <w:t>For adult learners, assessment arrangements will remain proportionate to the programme, qualification requirements, individual needs and reasonable adjustments, while maintaining the integrity of the assessment process.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