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EMPOWERING FUTURES ALTERNATIVE PROVISION</w:t>
      </w:r>
    </w:p>
    <w:p>
      <w:r>
        <w:rPr>
          <w:b/>
        </w:rPr>
        <w:t>CURRICULUM POLICY (CHILDREN, YOUNG PEOPLE &amp; ADULT LEARNERS)</w:t>
      </w:r>
    </w:p>
    <w:p>
      <w:r>
        <w:t>Version 2.0</w:t>
      </w:r>
    </w:p>
    <w:p>
      <w:r>
        <w:t>Issue Date: August 2026</w:t>
      </w:r>
    </w:p>
    <w:p>
      <w:r>
        <w:t>Effective Date: 1 September 2026</w:t>
      </w:r>
    </w:p>
    <w:p>
      <w:r>
        <w:t>Policy Cycle: September 2026 – August 2027</w:t>
      </w:r>
    </w:p>
    <w:p>
      <w:r>
        <w:t>Next Review: August 2027</w:t>
      </w:r>
    </w:p>
    <w:p>
      <w:r>
        <w:t>Approved by: Director, Empowering Futures Alternative Provision</w:t>
      </w:r>
    </w:p>
    <w:p>
      <w:r>
        <w:t>Site Coverage: Coventry, Birmingham, Walsall and Dudley</w:t>
      </w:r>
    </w:p>
    <w:p>
      <w:r>
        <w:t>=================================</w:t>
      </w:r>
    </w:p>
    <w:p>
      <w:r>
        <w:t>=================================</w:t>
      </w:r>
    </w:p>
    <w:p>
      <w:r>
        <w:t>===</w:t>
      </w:r>
    </w:p>
    <w:p>
      <w:r>
        <w:rPr>
          <w:b/>
        </w:rPr>
        <w:t>1. POLICY STATEMENT</w:t>
      </w:r>
    </w:p>
    <w:p>
      <w:r>
        <w:t>Empowering Futures Alternative Provision (EFAP) provides a curriculum that enables all</w:t>
      </w:r>
    </w:p>
    <w:p>
      <w:r>
        <w:t>learners to engage, achieve, progress and transition successfully into education,</w:t>
      </w:r>
    </w:p>
    <w:p>
      <w:r>
        <w:t>employment or training.​</w:t>
      </w:r>
    </w:p>
    <w:p>
      <w:r>
        <w:t>Our curriculum is:</w:t>
      </w:r>
    </w:p>
    <w:p>
      <w:pPr>
        <w:pStyle w:val="ListBullet"/>
      </w:pPr>
      <w:r>
        <w:t>Learner-centred​</w:t>
      </w:r>
    </w:p>
    <w:p>
      <w:pPr>
        <w:pStyle w:val="ListBullet"/>
      </w:pPr>
      <w:r>
        <w:t>Trauma-informed​</w:t>
      </w:r>
    </w:p>
    <w:p>
      <w:pPr>
        <w:pStyle w:val="ListBullet"/>
      </w:pPr>
      <w:r>
        <w:t>Flexible​</w:t>
      </w:r>
    </w:p>
    <w:p>
      <w:pPr>
        <w:pStyle w:val="ListBullet"/>
      </w:pPr>
      <w:r>
        <w:t>Vocationally focused​</w:t>
      </w:r>
    </w:p>
    <w:p>
      <w:pPr>
        <w:pStyle w:val="ListBullet"/>
      </w:pPr>
      <w:r>
        <w:t>Inclusive for SEND and SEMH​</w:t>
      </w:r>
    </w:p>
    <w:p>
      <w:pPr>
        <w:pStyle w:val="ListBullet"/>
      </w:pPr>
      <w:r>
        <w:t>Aligned with Local Authority commissioning expectations​</w:t>
      </w:r>
    </w:p>
    <w:p>
      <w:pPr>
        <w:pStyle w:val="ListBullet"/>
      </w:pPr>
      <w:r>
        <w:t>Suitable for both young people (11–18) and adult learners (18+)</w:t>
      </w:r>
    </w:p>
    <w:p>
      <w:r>
        <w:t>The curriculum meets the Education Inspection Framework (Ofsted), SEND Code of</w:t>
      </w:r>
    </w:p>
    <w:p>
      <w:r>
        <w:t>Practice, KCSIE 2026, Working Together to Safeguard Children 2026, and awarding body requirements.</w:t>
      </w:r>
    </w:p>
    <w:p>
      <w:r>
        <w:rPr>
          <w:b/>
        </w:rPr>
        <w:t>2. SCOPE OF THE POLICY</w:t>
      </w:r>
    </w:p>
    <w:p>
      <w:r>
        <w:br w:type="page"/>
      </w:r>
    </w:p>
    <w:p>
      <w:r>
        <w:t>This policy applies to:</w:t>
      </w:r>
    </w:p>
    <w:p>
      <w:pPr>
        <w:pStyle w:val="ListBullet"/>
      </w:pPr>
      <w:r>
        <w:t>Children and young people aged 11–18 in Alternative Provision​</w:t>
      </w:r>
    </w:p>
    <w:p>
      <w:pPr>
        <w:pStyle w:val="ListBullet"/>
      </w:pPr>
      <w:r>
        <w:t>Adult learners enrolled on evening, weekend or online courses​</w:t>
      </w:r>
    </w:p>
    <w:p>
      <w:pPr>
        <w:pStyle w:val="ListBullet"/>
      </w:pPr>
      <w:r>
        <w:t>On-site, off-site, community-based and online delivery​</w:t>
      </w:r>
    </w:p>
    <w:p>
      <w:pPr>
        <w:pStyle w:val="ListBullet"/>
      </w:pPr>
      <w:r>
        <w:t>Vocational learning pathways​</w:t>
      </w:r>
    </w:p>
    <w:p>
      <w:pPr>
        <w:pStyle w:val="ListBullet"/>
      </w:pPr>
      <w:r>
        <w:t>Functional Skills and SEND support​</w:t>
      </w:r>
    </w:p>
    <w:p>
      <w:pPr>
        <w:pStyle w:val="ListBullet"/>
      </w:pPr>
      <w:r>
        <w:t>All EFAP staff involved in planning, delivering or assessing curriculum</w:t>
      </w:r>
    </w:p>
    <w:p>
      <w:r>
        <w:rPr>
          <w:b/>
        </w:rPr>
        <w:t>3. CURRICULUM AIMS</w:t>
      </w:r>
    </w:p>
    <w:p>
      <w:r>
        <w:t>EFAP’s curriculum aims to:</w:t>
      </w:r>
    </w:p>
    <w:p>
      <w:r>
        <w:t>1.​ Re-engage learners with education through personalised, vocational and practical</w:t>
      </w:r>
    </w:p>
    <w:p>
      <w:r>
        <w:t>learning.​</w:t>
      </w:r>
    </w:p>
    <w:p>
      <w:r>
        <w:t>2.​ Support SEMH, wellbeing and confidence-building, using trauma-informed</w:t>
      </w:r>
    </w:p>
    <w:p>
      <w:r>
        <w:t>approaches.​</w:t>
      </w:r>
    </w:p>
    <w:p>
      <w:r>
        <w:t>3.​ Develop essential skills in maths, English, digital literacy, communication and</w:t>
      </w:r>
    </w:p>
    <w:p>
      <w:r>
        <w:t>employability.​</w:t>
      </w:r>
    </w:p>
    <w:p>
      <w:r>
        <w:t>4.​ Offer clear pathways into further education, employment, apprenticeships or adult</w:t>
      </w:r>
    </w:p>
    <w:p>
      <w:r>
        <w:t>training.​</w:t>
      </w:r>
    </w:p>
    <w:p>
      <w:r>
        <w:t>5.​ Meet the needs of learners with SEND through high-quality adaptations and</w:t>
      </w:r>
    </w:p>
    <w:p>
      <w:r>
        <w:t>reasonable adjustments.​</w:t>
      </w:r>
    </w:p>
    <w:p>
      <w:r>
        <w:t>6.​ Provide safeguarding-aware learning environments, both on-site and online.​</w:t>
      </w:r>
    </w:p>
    <w:p>
      <w:r>
        <w:t>7.​ Deliver accredited qualifications where appropriate, ensuring quality assurance</w:t>
      </w:r>
    </w:p>
    <w:p>
      <w:r>
        <w:t>and awarding-body compliance.​</w:t>
      </w:r>
    </w:p>
    <w:p>
      <w:r>
        <w:t>8.​ Promote equality, diversity and inclusion across all subjects.​</w:t>
      </w:r>
    </w:p>
    <w:p>
      <w:r>
        <w:rPr>
          <w:b/>
        </w:rPr>
        <w:t>4. CURRICULUM STRUCTURE (YOUNG</w:t>
      </w:r>
    </w:p>
    <w:p>
      <w:r>
        <w:rPr>
          <w:b/>
        </w:rPr>
        <w:t>PEOPLE 11–18)</w:t>
      </w:r>
    </w:p>
    <w:p>
      <w:r>
        <w:t>EFAP offers a flexible curriculum tailored to the needs of learners referred through:</w:t>
      </w:r>
    </w:p>
    <w:p>
      <w:r>
        <w:br w:type="page"/>
      </w:r>
    </w:p>
    <w:p>
      <w:pPr>
        <w:pStyle w:val="ListBullet"/>
      </w:pPr>
      <w:r>
        <w:t>Local Authorities and commissioning routes (Coventry, Birmingham, Walsall and Dudley)​</w:t>
      </w:r>
    </w:p>
    <w:p>
      <w:pPr>
        <w:pStyle w:val="ListBullet"/>
      </w:pPr>
      <w:r>
        <w:t>Schools​</w:t>
      </w:r>
    </w:p>
    <w:p>
      <w:pPr>
        <w:pStyle w:val="ListBullet"/>
      </w:pPr>
      <w:r>
        <w:t>Social Care​</w:t>
      </w:r>
    </w:p>
    <w:p>
      <w:pPr>
        <w:pStyle w:val="ListBullet"/>
      </w:pPr>
      <w:r>
        <w:t>Virtual Schools</w:t>
      </w:r>
    </w:p>
    <w:p>
      <w:r>
        <w:rPr>
          <w:b/>
        </w:rPr>
        <w:t>4.1 Core Components</w:t>
      </w:r>
    </w:p>
    <w:p>
      <w:r>
        <w:t>All AP learners have access to:</w:t>
      </w:r>
    </w:p>
    <w:p>
      <w:pPr>
        <w:pStyle w:val="ListBullet"/>
      </w:pPr>
      <w:r>
        <w:t>English (Functional Skills or GCSE support)​</w:t>
      </w:r>
    </w:p>
    <w:p>
      <w:pPr>
        <w:pStyle w:val="ListBullet"/>
      </w:pPr>
      <w:r>
        <w:t>Maths (Functional Skills or GCSE support)​</w:t>
      </w:r>
    </w:p>
    <w:p>
      <w:pPr>
        <w:pStyle w:val="ListBullet"/>
      </w:pPr>
      <w:r>
        <w:t>Digital Skills​</w:t>
      </w:r>
    </w:p>
    <w:p>
      <w:pPr>
        <w:pStyle w:val="ListBullet"/>
      </w:pPr>
      <w:r>
        <w:t>Personal &amp; Social Development​</w:t>
      </w:r>
    </w:p>
    <w:p>
      <w:pPr>
        <w:pStyle w:val="ListBullet"/>
      </w:pPr>
      <w:r>
        <w:t>Employability Skills​</w:t>
      </w:r>
    </w:p>
    <w:p>
      <w:pPr>
        <w:pStyle w:val="ListBullet"/>
      </w:pPr>
      <w:r>
        <w:t>Physical Activity / Sports Engagement​</w:t>
      </w:r>
    </w:p>
    <w:p>
      <w:pPr>
        <w:pStyle w:val="ListBullet"/>
      </w:pPr>
      <w:r>
        <w:t>Online Safety &amp; British Values</w:t>
      </w:r>
    </w:p>
    <w:p>
      <w:r>
        <w:rPr>
          <w:b/>
        </w:rPr>
        <w:t>4.2 Vocational Pathways</w:t>
      </w:r>
    </w:p>
    <w:p>
      <w:r>
        <w:t>Vocational subjects include:</w:t>
      </w:r>
    </w:p>
    <w:p>
      <w:pPr>
        <w:pStyle w:val="ListBullet"/>
      </w:pPr>
      <w:r>
        <w:t>Hair​</w:t>
      </w:r>
    </w:p>
    <w:p>
      <w:pPr>
        <w:pStyle w:val="ListBullet"/>
      </w:pPr>
      <w:r>
        <w:t>Beauty​</w:t>
      </w:r>
    </w:p>
    <w:p>
      <w:pPr>
        <w:pStyle w:val="ListBullet"/>
      </w:pPr>
      <w:r>
        <w:t>Nails​</w:t>
      </w:r>
    </w:p>
    <w:p>
      <w:pPr>
        <w:pStyle w:val="ListBullet"/>
      </w:pPr>
      <w:r>
        <w:t>Sports Coaching​</w:t>
      </w:r>
    </w:p>
    <w:p>
      <w:pPr>
        <w:pStyle w:val="ListBullet"/>
      </w:pPr>
      <w:r>
        <w:t>Fitness​</w:t>
      </w:r>
    </w:p>
    <w:p>
      <w:pPr>
        <w:pStyle w:val="ListBullet"/>
      </w:pPr>
      <w:r>
        <w:t>Business &amp; Customer Service​</w:t>
      </w:r>
    </w:p>
    <w:p>
      <w:pPr>
        <w:pStyle w:val="ListBullet"/>
      </w:pPr>
      <w:r>
        <w:t>Childcare (introductory content)​</w:t>
      </w:r>
    </w:p>
    <w:p>
      <w:pPr>
        <w:pStyle w:val="ListBullet"/>
      </w:pPr>
      <w:r>
        <w:t>Creative or project-based work (where appropriate)</w:t>
      </w:r>
    </w:p>
    <w:p>
      <w:r>
        <w:t>Programmes may be accredited through:</w:t>
      </w:r>
    </w:p>
    <w:p>
      <w:r>
        <w:rPr>
          <w:b/>
        </w:rPr>
        <w:t>• ASDAN​</w:t>
      </w:r>
    </w:p>
    <w:p>
      <w:r>
        <w:rPr>
          <w:b/>
        </w:rPr>
        <w:t>• NCFE​</w:t>
      </w:r>
    </w:p>
    <w:p>
      <w:pPr>
        <w:pStyle w:val="ListBullet"/>
      </w:pPr>
      <w:r>
        <w:t>Focus Awards​</w:t>
      </w:r>
    </w:p>
    <w:p>
      <w:pPr>
        <w:pStyle w:val="ListBullet"/>
      </w:pPr>
      <w:r>
        <w:t>EFAP internal programmes approved by commissioners</w:t>
      </w:r>
    </w:p>
    <w:p>
      <w:r>
        <w:rPr>
          <w:b/>
        </w:rPr>
        <w:t>4.3 Personalised Timetables</w:t>
      </w:r>
    </w:p>
    <w:p>
      <w:r>
        <w:t>Timetables are created based on:</w:t>
      </w:r>
    </w:p>
    <w:p>
      <w:pPr>
        <w:pStyle w:val="ListBullet"/>
      </w:pPr>
      <w:r>
        <w:t>Referring body requirements​</w:t>
      </w:r>
    </w:p>
    <w:p>
      <w:pPr>
        <w:pStyle w:val="ListBullet"/>
      </w:pPr>
      <w:r>
        <w:t>SEMH and SEND needs​</w:t>
      </w:r>
    </w:p>
    <w:p>
      <w:pPr>
        <w:pStyle w:val="ListBullet"/>
      </w:pPr>
      <w:r>
        <w:t>Risk assessments​</w:t>
      </w:r>
    </w:p>
    <w:p>
      <w:pPr>
        <w:pStyle w:val="ListBullet"/>
      </w:pPr>
      <w:r>
        <w:t>Vocational interests​</w:t>
      </w:r>
    </w:p>
    <w:p>
      <w:pPr>
        <w:pStyle w:val="ListBullet"/>
      </w:pPr>
      <w:r>
        <w:t>EHCP outcomes (where applicable)​</w:t>
      </w:r>
    </w:p>
    <w:p>
      <w:pPr>
        <w:pStyle w:val="ListBullet"/>
      </w:pPr>
      <w:r>
        <w:t>Attendance re-engagement goals</w:t>
      </w:r>
    </w:p>
    <w:p>
      <w:r>
        <w:br w:type="page"/>
      </w:r>
    </w:p>
    <w:p>
      <w:r>
        <w:rPr>
          <w:b/>
        </w:rPr>
        <w:t>4.4 Online Alternative Provision</w:t>
      </w:r>
    </w:p>
    <w:p>
      <w:r>
        <w:t>EFAP provides remote or blended learning for learners who:</w:t>
      </w:r>
    </w:p>
    <w:p>
      <w:pPr>
        <w:pStyle w:val="ListBullet"/>
      </w:pPr>
      <w:r>
        <w:t>Are unable to engage on site​</w:t>
      </w:r>
    </w:p>
    <w:p>
      <w:pPr>
        <w:pStyle w:val="ListBullet"/>
      </w:pPr>
      <w:r>
        <w:t>Have medical or anxiety-related needs​</w:t>
      </w:r>
    </w:p>
    <w:p>
      <w:pPr>
        <w:pStyle w:val="ListBullet"/>
      </w:pPr>
      <w:r>
        <w:t>Require transition support​</w:t>
      </w:r>
    </w:p>
    <w:p>
      <w:pPr>
        <w:pStyle w:val="ListBullet"/>
      </w:pPr>
      <w:r>
        <w:t>Live beyond travel radius but can access satellite sites</w:t>
      </w:r>
    </w:p>
    <w:p>
      <w:r>
        <w:t>Online learning includes:</w:t>
      </w:r>
    </w:p>
    <w:p>
      <w:pPr>
        <w:pStyle w:val="ListBullet"/>
      </w:pPr>
      <w:r>
        <w:t>Live tutor-led sessions​</w:t>
      </w:r>
    </w:p>
    <w:p>
      <w:pPr>
        <w:pStyle w:val="ListBullet"/>
      </w:pPr>
      <w:r>
        <w:t>Interactive resources​</w:t>
      </w:r>
    </w:p>
    <w:p>
      <w:pPr>
        <w:pStyle w:val="ListBullet"/>
      </w:pPr>
      <w:r>
        <w:t>Digital literacy​</w:t>
      </w:r>
    </w:p>
    <w:p>
      <w:pPr>
        <w:pStyle w:val="ListBullet"/>
      </w:pPr>
      <w:r>
        <w:t>Online safeguarding protocols</w:t>
      </w:r>
    </w:p>
    <w:p>
      <w:r>
        <w:rPr>
          <w:b/>
        </w:rPr>
        <w:t>5. CURRICULUM STRUCTURE (ADULT</w:t>
      </w:r>
    </w:p>
    <w:p>
      <w:r>
        <w:rPr>
          <w:b/>
        </w:rPr>
        <w:t>LEARNERS 18+)</w:t>
      </w:r>
    </w:p>
    <w:p>
      <w:r>
        <w:t>Adult programmes include:</w:t>
      </w:r>
    </w:p>
    <w:p>
      <w:pPr>
        <w:pStyle w:val="ListBullet"/>
      </w:pPr>
      <w:r>
        <w:t>Teacher Training (AET and related CPD)​</w:t>
      </w:r>
    </w:p>
    <w:p>
      <w:pPr>
        <w:pStyle w:val="ListBullet"/>
      </w:pPr>
      <w:r>
        <w:t>Fitness Instructing &amp; Personal Training​</w:t>
      </w:r>
    </w:p>
    <w:p>
      <w:pPr>
        <w:pStyle w:val="ListBullet"/>
      </w:pPr>
      <w:r>
        <w:t>Beauty, Nails &amp; Hair CPD courses​</w:t>
      </w:r>
    </w:p>
    <w:p>
      <w:pPr>
        <w:pStyle w:val="ListBullet"/>
      </w:pPr>
      <w:r>
        <w:t>Customer Service &amp; Employability skills​</w:t>
      </w:r>
    </w:p>
    <w:p>
      <w:pPr>
        <w:pStyle w:val="ListBullet"/>
      </w:pPr>
      <w:r>
        <w:t>Digital skills​</w:t>
      </w:r>
    </w:p>
    <w:p>
      <w:pPr>
        <w:pStyle w:val="ListBullet"/>
      </w:pPr>
      <w:r>
        <w:t>Online-only and blended learning pathways</w:t>
      </w:r>
    </w:p>
    <w:p>
      <w:r>
        <w:t>Adult curriculum aims to:</w:t>
      </w:r>
    </w:p>
    <w:p>
      <w:pPr>
        <w:pStyle w:val="ListBullet"/>
      </w:pPr>
      <w:r>
        <w:t>Support upskilling and career progression​</w:t>
      </w:r>
    </w:p>
    <w:p>
      <w:pPr>
        <w:pStyle w:val="ListBullet"/>
      </w:pPr>
      <w:r>
        <w:t>Provide industry-standard training​</w:t>
      </w:r>
    </w:p>
    <w:p>
      <w:pPr>
        <w:pStyle w:val="ListBullet"/>
      </w:pPr>
      <w:r>
        <w:t>Build confidence and professional conduct​</w:t>
      </w:r>
    </w:p>
    <w:p>
      <w:pPr>
        <w:pStyle w:val="ListBullet"/>
      </w:pPr>
      <w:r>
        <w:t>Offer recognition through accredited qualifications​</w:t>
      </w:r>
    </w:p>
    <w:p>
      <w:pPr>
        <w:pStyle w:val="ListBullet"/>
      </w:pPr>
      <w:r>
        <w:t>Maintain safe, respectful, inclusive learning environments</w:t>
      </w:r>
    </w:p>
    <w:p>
      <w:r>
        <w:rPr>
          <w:b/>
        </w:rPr>
        <w:t>6. TRAUMA-INFORMED CURRICULUM</w:t>
      </w:r>
    </w:p>
    <w:p>
      <w:r>
        <w:rPr>
          <w:b/>
        </w:rPr>
        <w:t>APPROACH</w:t>
      </w:r>
    </w:p>
    <w:p>
      <w:r>
        <w:br w:type="page"/>
      </w:r>
    </w:p>
    <w:p>
      <w:r>
        <w:t>EFAP recognises that many learners have experienced trauma, adversity or instability.​</w:t>
      </w:r>
    </w:p>
    <w:p>
      <w:r>
        <w:t>Our trauma-informed curriculum:</w:t>
      </w:r>
    </w:p>
    <w:p>
      <w:pPr>
        <w:pStyle w:val="ListBullet"/>
      </w:pPr>
      <w:r>
        <w:t>Is predictable and structured​</w:t>
      </w:r>
    </w:p>
    <w:p>
      <w:pPr>
        <w:pStyle w:val="ListBullet"/>
      </w:pPr>
      <w:r>
        <w:t>Minimises cognitive overload​</w:t>
      </w:r>
    </w:p>
    <w:p>
      <w:pPr>
        <w:pStyle w:val="ListBullet"/>
      </w:pPr>
      <w:r>
        <w:t>Uses relational, consistent staff​</w:t>
      </w:r>
    </w:p>
    <w:p>
      <w:pPr>
        <w:pStyle w:val="ListBullet"/>
      </w:pPr>
      <w:r>
        <w:t>Provides choice and control where appropriate​</w:t>
      </w:r>
    </w:p>
    <w:p>
      <w:pPr>
        <w:pStyle w:val="ListBullet"/>
      </w:pPr>
      <w:r>
        <w:t>Avoids shaming, confrontation or punitive instruction​</w:t>
      </w:r>
    </w:p>
    <w:p>
      <w:pPr>
        <w:pStyle w:val="ListBullet"/>
      </w:pPr>
      <w:r>
        <w:t>Embeds emotional regulation techniques​</w:t>
      </w:r>
    </w:p>
    <w:p>
      <w:pPr>
        <w:pStyle w:val="ListBullet"/>
      </w:pPr>
      <w:r>
        <w:t>Allows for movement, sensory breaks and flexible pacing​</w:t>
      </w:r>
    </w:p>
    <w:p>
      <w:pPr>
        <w:pStyle w:val="ListBullet"/>
      </w:pPr>
      <w:r>
        <w:t>Incorporates coaching and mentoring</w:t>
      </w:r>
    </w:p>
    <w:p>
      <w:r>
        <w:rPr>
          <w:b/>
        </w:rPr>
        <w:t>7. SEND &amp; INCLUSION</w:t>
      </w:r>
    </w:p>
    <w:p>
      <w:r>
        <w:t>EFAP follows the SEND Code of Practice (2015) and ensures:</w:t>
      </w:r>
    </w:p>
    <w:p>
      <w:pPr>
        <w:pStyle w:val="ListBullet"/>
      </w:pPr>
      <w:r>
        <w:t>Individual support plans​</w:t>
      </w:r>
    </w:p>
    <w:p>
      <w:pPr>
        <w:pStyle w:val="ListBullet"/>
      </w:pPr>
      <w:r>
        <w:t>Reasonable adjustments​</w:t>
      </w:r>
    </w:p>
    <w:p>
      <w:pPr>
        <w:pStyle w:val="ListBullet"/>
      </w:pPr>
      <w:r>
        <w:t>Multisensory teaching​</w:t>
      </w:r>
    </w:p>
    <w:p>
      <w:pPr>
        <w:pStyle w:val="ListBullet"/>
      </w:pPr>
      <w:r>
        <w:t>Access to small group or 1:1 support​</w:t>
      </w:r>
    </w:p>
    <w:p>
      <w:pPr>
        <w:pStyle w:val="ListBullet"/>
      </w:pPr>
      <w:r>
        <w:t>Adapted resources​</w:t>
      </w:r>
    </w:p>
    <w:p>
      <w:pPr>
        <w:pStyle w:val="ListBullet"/>
      </w:pPr>
      <w:r>
        <w:t>Reduced literacy or language load where needed​</w:t>
      </w:r>
    </w:p>
    <w:p>
      <w:pPr>
        <w:pStyle w:val="ListBullet"/>
      </w:pPr>
      <w:r>
        <w:t>SEND-friendly online delivery</w:t>
      </w:r>
    </w:p>
    <w:p>
      <w:r>
        <w:t>Learners with EHCPs have curriculum pathways aligned with:</w:t>
      </w:r>
    </w:p>
    <w:p>
      <w:pPr>
        <w:pStyle w:val="ListBullet"/>
      </w:pPr>
      <w:r>
        <w:t>Outcomes​</w:t>
      </w:r>
    </w:p>
    <w:p>
      <w:pPr>
        <w:pStyle w:val="ListBullet"/>
      </w:pPr>
      <w:r>
        <w:t>Annual review requirements​</w:t>
      </w:r>
    </w:p>
    <w:p>
      <w:pPr>
        <w:pStyle w:val="ListBullet"/>
      </w:pPr>
      <w:r>
        <w:t>Therapy reports or specialist recommendations</w:t>
      </w:r>
    </w:p>
    <w:p>
      <w:r>
        <w:rPr>
          <w:b/>
        </w:rPr>
        <w:t>8. SAFEGUARDING WITHIN THE</w:t>
      </w:r>
    </w:p>
    <w:p>
      <w:r>
        <w:rPr>
          <w:b/>
        </w:rPr>
        <w:t>CURRICULUM</w:t>
      </w:r>
    </w:p>
    <w:p>
      <w:r>
        <w:t>Safeguarding is integrated across all learning and includes:</w:t>
      </w:r>
    </w:p>
    <w:p>
      <w:pPr>
        <w:pStyle w:val="ListBullet"/>
      </w:pPr>
      <w:r>
        <w:t>Online safety​</w:t>
      </w:r>
    </w:p>
    <w:p>
      <w:pPr>
        <w:pStyle w:val="ListBullet"/>
      </w:pPr>
      <w:r>
        <w:t>Healthy relationships​</w:t>
      </w:r>
    </w:p>
    <w:p>
      <w:pPr>
        <w:pStyle w:val="ListBullet"/>
      </w:pPr>
      <w:r>
        <w:t>Consent​</w:t>
      </w:r>
    </w:p>
    <w:p>
      <w:pPr>
        <w:pStyle w:val="ListBullet"/>
      </w:pPr>
      <w:r>
        <w:t>Prevent &amp; anti-radicalisation​</w:t>
      </w:r>
    </w:p>
    <w:p>
      <w:pPr>
        <w:pStyle w:val="ListBullet"/>
      </w:pPr>
      <w:r>
        <w:t>Anti-bullying​</w:t>
      </w:r>
    </w:p>
    <w:p>
      <w:pPr>
        <w:pStyle w:val="ListBullet"/>
      </w:pPr>
      <w:r>
        <w:t>Child-on-child abuse​</w:t>
      </w:r>
    </w:p>
    <w:p>
      <w:r>
        <w:br w:type="page"/>
      </w:r>
    </w:p>
    <w:p>
      <w:pPr>
        <w:pStyle w:val="ListBullet"/>
      </w:pPr>
      <w:r>
        <w:t>Adult safeguarding awareness (for adult learners)​</w:t>
      </w:r>
    </w:p>
    <w:p>
      <w:pPr>
        <w:pStyle w:val="ListBullet"/>
      </w:pPr>
      <w:r>
        <w:t>County Lines awareness​</w:t>
      </w:r>
    </w:p>
    <w:p>
      <w:pPr>
        <w:pStyle w:val="ListBullet"/>
      </w:pPr>
      <w:r>
        <w:t>Mental health, wellbeing &amp; resilience</w:t>
      </w:r>
    </w:p>
    <w:p>
      <w:r>
        <w:t>Staff delivering curriculum are required to:</w:t>
      </w:r>
    </w:p>
    <w:p>
      <w:pPr>
        <w:pStyle w:val="ListBullet"/>
      </w:pPr>
      <w:r>
        <w:t>Follow EFAP Safeguarding Policy​</w:t>
      </w:r>
    </w:p>
    <w:p>
      <w:pPr>
        <w:pStyle w:val="ListBullet"/>
      </w:pPr>
      <w:r>
        <w:t>Report concerns immediately to DSL​</w:t>
      </w:r>
    </w:p>
    <w:p>
      <w:pPr>
        <w:pStyle w:val="ListBullet"/>
      </w:pPr>
      <w:r>
        <w:t>Embed safeguarding themes throughout subject delivery</w:t>
      </w:r>
    </w:p>
    <w:p>
      <w:r>
        <w:rPr>
          <w:b/>
        </w:rPr>
        <w:t>9. CULTURAL CAPITAL &amp; PERSONAL</w:t>
      </w:r>
    </w:p>
    <w:p>
      <w:r>
        <w:rPr>
          <w:b/>
        </w:rPr>
        <w:t>DEVELOPMENT</w:t>
      </w:r>
    </w:p>
    <w:p>
      <w:r>
        <w:t>EFAP enhances learners’ development through:</w:t>
      </w:r>
    </w:p>
    <w:p>
      <w:pPr>
        <w:pStyle w:val="ListBullet"/>
      </w:pPr>
      <w:r>
        <w:t>Enrichment activities​</w:t>
      </w:r>
    </w:p>
    <w:p>
      <w:pPr>
        <w:pStyle w:val="ListBullet"/>
      </w:pPr>
      <w:r>
        <w:t>Off-site visits (when appropriate)​</w:t>
      </w:r>
    </w:p>
    <w:p>
      <w:pPr>
        <w:pStyle w:val="ListBullet"/>
      </w:pPr>
      <w:r>
        <w:t>Sports coaching​</w:t>
      </w:r>
    </w:p>
    <w:p>
      <w:pPr>
        <w:pStyle w:val="ListBullet"/>
      </w:pPr>
      <w:r>
        <w:t>Healthy lifestyle education​</w:t>
      </w:r>
    </w:p>
    <w:p>
      <w:pPr>
        <w:pStyle w:val="ListBullet"/>
      </w:pPr>
      <w:r>
        <w:t>Practical beauty/nail/hair sessions​</w:t>
      </w:r>
    </w:p>
    <w:p>
      <w:pPr>
        <w:pStyle w:val="ListBullet"/>
      </w:pPr>
      <w:r>
        <w:t>Work-related simulations​</w:t>
      </w:r>
    </w:p>
    <w:p>
      <w:pPr>
        <w:pStyle w:val="ListBullet"/>
      </w:pPr>
      <w:r>
        <w:t>Guest speakers and industry specialists​</w:t>
      </w:r>
    </w:p>
    <w:p>
      <w:pPr>
        <w:pStyle w:val="ListBullet"/>
      </w:pPr>
      <w:r>
        <w:t>Online and digital citizenship​</w:t>
      </w:r>
    </w:p>
    <w:p>
      <w:pPr>
        <w:pStyle w:val="ListBullet"/>
      </w:pPr>
      <w:r>
        <w:t>Community involvement</w:t>
      </w:r>
    </w:p>
    <w:p>
      <w:r>
        <w:rPr>
          <w:b/>
        </w:rPr>
        <w:t>10. ASSESSMENT &amp; PROGRESS</w:t>
      </w:r>
    </w:p>
    <w:p>
      <w:r>
        <w:rPr>
          <w:b/>
        </w:rPr>
        <w:t>MONITORING</w:t>
      </w:r>
    </w:p>
    <w:p>
      <w:r>
        <w:t>Assessment varies by programme and may include:</w:t>
      </w:r>
    </w:p>
    <w:p>
      <w:pPr>
        <w:pStyle w:val="ListBullet"/>
      </w:pPr>
      <w:r>
        <w:t>Baseline assessments upon entry​</w:t>
      </w:r>
    </w:p>
    <w:p>
      <w:pPr>
        <w:pStyle w:val="ListBullet"/>
      </w:pPr>
      <w:r>
        <w:t>Formative assessments​</w:t>
      </w:r>
    </w:p>
    <w:p>
      <w:pPr>
        <w:pStyle w:val="ListBullet"/>
      </w:pPr>
      <w:r>
        <w:t>Practical demonstrations​</w:t>
      </w:r>
    </w:p>
    <w:p>
      <w:pPr>
        <w:pStyle w:val="ListBullet"/>
      </w:pPr>
      <w:r>
        <w:t>Tutor observations​</w:t>
      </w:r>
    </w:p>
    <w:p>
      <w:pPr>
        <w:pStyle w:val="ListBullet"/>
      </w:pPr>
      <w:r>
        <w:t>Marked assignments​</w:t>
      </w:r>
    </w:p>
    <w:p>
      <w:pPr>
        <w:pStyle w:val="ListBullet"/>
      </w:pPr>
      <w:r>
        <w:t>Learner self-reflection​</w:t>
      </w:r>
    </w:p>
    <w:p>
      <w:pPr>
        <w:pStyle w:val="ListBullet"/>
      </w:pPr>
      <w:r>
        <w:t>Target-setting​</w:t>
      </w:r>
    </w:p>
    <w:p>
      <w:pPr>
        <w:pStyle w:val="ListBullet"/>
      </w:pPr>
      <w:r>
        <w:t>Termly progress reviews​</w:t>
      </w:r>
    </w:p>
    <w:p>
      <w:pPr>
        <w:pStyle w:val="ListBullet"/>
      </w:pPr>
      <w:r>
        <w:t>Accreditation evidence portfolios</w:t>
      </w:r>
    </w:p>
    <w:p>
      <w:r>
        <w:br w:type="page"/>
      </w:r>
    </w:p>
    <w:p>
      <w:r>
        <w:t>For AP learners, progress is reported to:</w:t>
      </w:r>
    </w:p>
    <w:p>
      <w:pPr>
        <w:pStyle w:val="ListBullet"/>
      </w:pPr>
      <w:r>
        <w:t>Local Authorities​</w:t>
      </w:r>
    </w:p>
    <w:p>
      <w:pPr>
        <w:pStyle w:val="ListBullet"/>
      </w:pPr>
      <w:r>
        <w:t>Schools​</w:t>
      </w:r>
    </w:p>
    <w:p>
      <w:pPr>
        <w:pStyle w:val="ListBullet"/>
      </w:pPr>
      <w:r>
        <w:t>Social Workers​</w:t>
      </w:r>
    </w:p>
    <w:p>
      <w:pPr>
        <w:pStyle w:val="ListBullet"/>
      </w:pPr>
      <w:r>
        <w:t>Parents/carers</w:t>
      </w:r>
    </w:p>
    <w:p>
      <w:r>
        <w:t>For adults, progress is reported through:</w:t>
      </w:r>
    </w:p>
    <w:p>
      <w:pPr>
        <w:pStyle w:val="ListBullet"/>
      </w:pPr>
      <w:r>
        <w:t>Individual learning plans​</w:t>
      </w:r>
    </w:p>
    <w:p>
      <w:pPr>
        <w:pStyle w:val="ListBullet"/>
      </w:pPr>
      <w:r>
        <w:t>Awarding body requirements​</w:t>
      </w:r>
    </w:p>
    <w:p>
      <w:pPr>
        <w:pStyle w:val="ListBullet"/>
      </w:pPr>
      <w:r>
        <w:t>Tutor feedback</w:t>
      </w:r>
    </w:p>
    <w:p>
      <w:r>
        <w:rPr>
          <w:b/>
        </w:rPr>
        <w:t>11. QUALITY ASSURANCE</w:t>
      </w:r>
    </w:p>
    <w:p>
      <w:r>
        <w:t>QA processes include:</w:t>
      </w:r>
    </w:p>
    <w:p>
      <w:pPr>
        <w:pStyle w:val="ListBullet"/>
      </w:pPr>
      <w:r>
        <w:t>Internal moderation​</w:t>
      </w:r>
    </w:p>
    <w:p>
      <w:pPr>
        <w:pStyle w:val="ListBullet"/>
      </w:pPr>
      <w:r>
        <w:t>Standardisation meetings​</w:t>
      </w:r>
    </w:p>
    <w:p>
      <w:pPr>
        <w:pStyle w:val="ListBullet"/>
      </w:pPr>
      <w:r>
        <w:t>External moderation (for accredited courses)​</w:t>
      </w:r>
    </w:p>
    <w:p>
      <w:pPr>
        <w:pStyle w:val="ListBullet"/>
      </w:pPr>
      <w:r>
        <w:t>Lesson observations​</w:t>
      </w:r>
    </w:p>
    <w:p>
      <w:pPr>
        <w:pStyle w:val="ListBullet"/>
      </w:pPr>
      <w:r>
        <w:t>Feedback from learners​</w:t>
      </w:r>
    </w:p>
    <w:p>
      <w:pPr>
        <w:pStyle w:val="ListBullet"/>
      </w:pPr>
      <w:r>
        <w:t>Course evaluations​</w:t>
      </w:r>
    </w:p>
    <w:p>
      <w:pPr>
        <w:pStyle w:val="ListBullet"/>
      </w:pPr>
      <w:r>
        <w:t>Staff CPD​</w:t>
      </w:r>
    </w:p>
    <w:p>
      <w:pPr>
        <w:pStyle w:val="ListBullet"/>
      </w:pPr>
      <w:r>
        <w:t>Monitoring of online teaching quality​</w:t>
      </w:r>
    </w:p>
    <w:p>
      <w:pPr>
        <w:pStyle w:val="ListBullet"/>
      </w:pPr>
      <w:r>
        <w:t>Audit compliance with awarding bodies and LAs</w:t>
      </w:r>
    </w:p>
    <w:p>
      <w:r>
        <w:t>The Director oversees curriculum quality across all delivery.</w:t>
      </w:r>
    </w:p>
    <w:p>
      <w:r>
        <w:rPr>
          <w:b/>
        </w:rPr>
        <w:t>12. CURRICULUM ADAPTATION &amp;</w:t>
      </w:r>
    </w:p>
    <w:p>
      <w:r>
        <w:rPr>
          <w:b/>
        </w:rPr>
        <w:t>REVIEW</w:t>
      </w:r>
    </w:p>
    <w:p>
      <w:r>
        <w:t>Curriculum is adapted:</w:t>
      </w:r>
    </w:p>
    <w:p>
      <w:pPr>
        <w:pStyle w:val="ListBullet"/>
      </w:pPr>
      <w:r>
        <w:t>For individual SEND needs​</w:t>
      </w:r>
    </w:p>
    <w:p>
      <w:pPr>
        <w:pStyle w:val="ListBullet"/>
      </w:pPr>
      <w:r>
        <w:t>For risk reduction plans​</w:t>
      </w:r>
    </w:p>
    <w:p>
      <w:pPr>
        <w:pStyle w:val="ListBullet"/>
      </w:pPr>
      <w:r>
        <w:t>For online learners​</w:t>
      </w:r>
    </w:p>
    <w:p>
      <w:pPr>
        <w:pStyle w:val="ListBullet"/>
      </w:pPr>
      <w:r>
        <w:t>For vocational preferences​</w:t>
      </w:r>
    </w:p>
    <w:p>
      <w:pPr>
        <w:pStyle w:val="ListBullet"/>
      </w:pPr>
      <w:r>
        <w:t>Following multi-agency feedback​</w:t>
      </w:r>
    </w:p>
    <w:p>
      <w:pPr>
        <w:pStyle w:val="ListBullet"/>
      </w:pPr>
      <w:r>
        <w:t>When concerns arise from behaviour or attendance patterns</w:t>
      </w:r>
    </w:p>
    <w:p>
      <w:r>
        <w:br w:type="page"/>
      </w:r>
    </w:p>
    <w:p>
      <w:r>
        <w:t>The curriculum is reviewed:</w:t>
      </w:r>
    </w:p>
    <w:p>
      <w:pPr>
        <w:pStyle w:val="ListBullet"/>
      </w:pPr>
      <w:r>
        <w:t>Annually​</w:t>
      </w:r>
    </w:p>
    <w:p>
      <w:pPr>
        <w:pStyle w:val="ListBullet"/>
      </w:pPr>
      <w:r>
        <w:t>After major policy changes​</w:t>
      </w:r>
    </w:p>
    <w:p>
      <w:pPr>
        <w:pStyle w:val="ListBullet"/>
      </w:pPr>
      <w:r>
        <w:t>Following Ofsted or awarding-body feedback​</w:t>
      </w:r>
    </w:p>
    <w:p>
      <w:pPr>
        <w:pStyle w:val="ListBullet"/>
      </w:pPr>
      <w:r>
        <w:t>In line with statutory updates​</w:t>
      </w:r>
    </w:p>
    <w:p>
      <w:pPr>
        <w:pStyle w:val="ListBullet"/>
      </w:pPr>
      <w:r>
        <w:t>After curriculum audits or learner surveys</w:t>
      </w:r>
    </w:p>
    <w:p>
      <w:r>
        <w:rPr>
          <w:b/>
        </w:rPr>
        <w:t>13. STAFF ROLES &amp; RESPONSIBILITIES</w:t>
      </w:r>
    </w:p>
    <w:p>
      <w:r>
        <w:t>Director (Lead DSL)</w:t>
      </w:r>
    </w:p>
    <w:p>
      <w:pPr>
        <w:pStyle w:val="ListBullet"/>
      </w:pPr>
      <w:r>
        <w:t>Overall curriculum leadership​</w:t>
      </w:r>
    </w:p>
    <w:p>
      <w:pPr>
        <w:pStyle w:val="ListBullet"/>
      </w:pPr>
      <w:r>
        <w:t>Ensures legal compliance​</w:t>
      </w:r>
    </w:p>
    <w:p>
      <w:pPr>
        <w:pStyle w:val="ListBullet"/>
      </w:pPr>
      <w:r>
        <w:t>Oversees quality assurance</w:t>
      </w:r>
    </w:p>
    <w:p>
      <w:r>
        <w:t>DSL / Senior Leadership</w:t>
      </w:r>
    </w:p>
    <w:p>
      <w:pPr>
        <w:pStyle w:val="ListBullet"/>
      </w:pPr>
      <w:r>
        <w:t>Ensures safeguarding is embedded​</w:t>
      </w:r>
    </w:p>
    <w:p>
      <w:pPr>
        <w:pStyle w:val="ListBullet"/>
      </w:pPr>
      <w:r>
        <w:t>Supports SEND and individual adjustments​</w:t>
      </w:r>
    </w:p>
    <w:p>
      <w:pPr>
        <w:pStyle w:val="ListBullet"/>
      </w:pPr>
      <w:r>
        <w:t>Oversees online curriculum safety</w:t>
      </w:r>
    </w:p>
    <w:p>
      <w:r>
        <w:t>Tutors &amp; Assessors</w:t>
      </w:r>
    </w:p>
    <w:p>
      <w:pPr>
        <w:pStyle w:val="ListBullet"/>
      </w:pPr>
      <w:r>
        <w:t>Deliver high-quality teaching​</w:t>
      </w:r>
    </w:p>
    <w:p>
      <w:pPr>
        <w:pStyle w:val="ListBullet"/>
      </w:pPr>
      <w:r>
        <w:t>Follow trauma-informed practice​</w:t>
      </w:r>
    </w:p>
    <w:p>
      <w:pPr>
        <w:pStyle w:val="ListBullet"/>
      </w:pPr>
      <w:r>
        <w:t>Record progress​</w:t>
      </w:r>
    </w:p>
    <w:p>
      <w:pPr>
        <w:pStyle w:val="ListBullet"/>
      </w:pPr>
      <w:r>
        <w:t>Identify SEND needs​</w:t>
      </w:r>
    </w:p>
    <w:p>
      <w:pPr>
        <w:pStyle w:val="ListBullet"/>
      </w:pPr>
      <w:r>
        <w:t>Support vocational learning</w:t>
      </w:r>
    </w:p>
    <w:p>
      <w:r>
        <w:t>Support Workers / Mentors</w:t>
      </w:r>
    </w:p>
    <w:p>
      <w:pPr>
        <w:pStyle w:val="ListBullet"/>
      </w:pPr>
      <w:r>
        <w:t>Reinforce learning​</w:t>
      </w:r>
    </w:p>
    <w:p>
      <w:pPr>
        <w:pStyle w:val="ListBullet"/>
      </w:pPr>
      <w:r>
        <w:t>Provide emotional regulation support​</w:t>
      </w:r>
    </w:p>
    <w:p>
      <w:pPr>
        <w:pStyle w:val="ListBullet"/>
      </w:pPr>
      <w:r>
        <w:t>Support attendance and engagement</w:t>
      </w:r>
    </w:p>
    <w:p>
      <w:r>
        <w:rPr>
          <w:b/>
        </w:rPr>
        <w:t>14. PARTNERSHIP WORKING</w:t>
      </w:r>
    </w:p>
    <w:p>
      <w:r>
        <w:t>EFAP works collaboratively with:</w:t>
      </w:r>
    </w:p>
    <w:p>
      <w:r>
        <w:br w:type="page"/>
      </w:r>
    </w:p>
    <w:p>
      <w:pPr>
        <w:pStyle w:val="ListBullet"/>
      </w:pPr>
      <w:r>
        <w:t>Local Authorities​</w:t>
      </w:r>
    </w:p>
    <w:p>
      <w:pPr>
        <w:pStyle w:val="ListBullet"/>
      </w:pPr>
      <w:r>
        <w:t>Schools​</w:t>
      </w:r>
    </w:p>
    <w:p>
      <w:pPr>
        <w:pStyle w:val="ListBullet"/>
      </w:pPr>
      <w:r>
        <w:t>Social Workers​</w:t>
      </w:r>
    </w:p>
    <w:p>
      <w:pPr>
        <w:pStyle w:val="ListBullet"/>
      </w:pPr>
      <w:r>
        <w:t>Virtual Schools​</w:t>
      </w:r>
    </w:p>
    <w:p>
      <w:pPr>
        <w:pStyle w:val="ListBullet"/>
      </w:pPr>
      <w:r>
        <w:t>Parents and carers​</w:t>
      </w:r>
    </w:p>
    <w:p>
      <w:pPr>
        <w:pStyle w:val="ListBullet"/>
      </w:pPr>
      <w:r>
        <w:t>Awarding bodies​</w:t>
      </w:r>
    </w:p>
    <w:p>
      <w:pPr>
        <w:pStyle w:val="ListBullet"/>
      </w:pPr>
      <w:r>
        <w:t>Employers​</w:t>
      </w:r>
    </w:p>
    <w:p>
      <w:pPr>
        <w:pStyle w:val="ListBullet"/>
      </w:pPr>
      <w:r>
        <w:t>Community organisations</w:t>
      </w:r>
    </w:p>
    <w:p>
      <w:r>
        <w:t>Curriculum planning considers multi-agency recommendations and individual plans.</w:t>
      </w:r>
    </w:p>
    <w:p>
      <w:r>
        <w:rPr>
          <w:b/>
        </w:rPr>
        <w:t>15. EQUALITY, DIVERSITY &amp; INCLUSION</w:t>
      </w:r>
    </w:p>
    <w:p>
      <w:r>
        <w:rPr>
          <w:b/>
        </w:rPr>
        <w:t>(EDI)</w:t>
      </w:r>
    </w:p>
    <w:p>
      <w:r>
        <w:t>EFAP ensures:</w:t>
      </w:r>
    </w:p>
    <w:p>
      <w:pPr>
        <w:pStyle w:val="ListBullet"/>
      </w:pPr>
      <w:r>
        <w:t>Equal access to all programmes​</w:t>
      </w:r>
    </w:p>
    <w:p>
      <w:pPr>
        <w:pStyle w:val="ListBullet"/>
      </w:pPr>
      <w:r>
        <w:t>Representation of diverse cultures and identities​</w:t>
      </w:r>
    </w:p>
    <w:p>
      <w:pPr>
        <w:pStyle w:val="ListBullet"/>
      </w:pPr>
      <w:r>
        <w:t>Anti-discriminatory teaching practice​</w:t>
      </w:r>
    </w:p>
    <w:p>
      <w:pPr>
        <w:pStyle w:val="ListBullet"/>
      </w:pPr>
      <w:r>
        <w:t>Curriculum materials free from bias​</w:t>
      </w:r>
    </w:p>
    <w:p>
      <w:pPr>
        <w:pStyle w:val="ListBullet"/>
      </w:pPr>
      <w:r>
        <w:t>Respectful learning environments for all ages</w:t>
      </w:r>
    </w:p>
    <w:p>
      <w:r>
        <w:t>EDI is monitored as part of curriculum audits.</w:t>
      </w:r>
    </w:p>
    <w:p>
      <w:r>
        <w:rPr>
          <w:b/>
        </w:rPr>
        <w:t>16. POLICY REVIEW</w:t>
      </w:r>
    </w:p>
    <w:p>
      <w:r>
        <w:t>This policy will be reviewed:</w:t>
      </w:r>
    </w:p>
    <w:p>
      <w:pPr>
        <w:pStyle w:val="ListBullet"/>
      </w:pPr>
      <w:r>
        <w:t>Annually​</w:t>
      </w:r>
    </w:p>
    <w:p>
      <w:pPr>
        <w:pStyle w:val="ListBullet"/>
      </w:pPr>
      <w:r>
        <w:t>After changes in statutory guidance​</w:t>
      </w:r>
    </w:p>
    <w:p>
      <w:pPr>
        <w:pStyle w:val="ListBullet"/>
      </w:pPr>
      <w:r>
        <w:t>After Local Authority or Ofsted feedback​</w:t>
      </w:r>
    </w:p>
    <w:p>
      <w:pPr>
        <w:pStyle w:val="ListBullet"/>
      </w:pPr>
      <w:r>
        <w:t>Following internal quality assurance findings</w:t>
      </w:r>
    </w:p>
    <w:p>
      <w:r>
        <w:t>Approved by:​</w:t>
      </w:r>
    </w:p>
    <w:p>
      <w:r>
        <w:t>Rhean White – Director &amp; Lead DSL​</w:t>
      </w:r>
    </w:p>
    <w:p>
      <w:r>
        <w:t>Empowering Futures Alternative Provision</w:t>
      </w:r>
    </w:p>
    <w:p>
      <w:r>
        <w:br w:type="page"/>
      </w:r>
    </w:p>
    <w:p>
      <w:r>
        <w:rPr>
          <w:b/>
        </w:rPr>
        <w:t>2026–27 POLICY ALIGNMENT</w:t>
      </w:r>
    </w:p>
    <w:p>
      <w:r>
        <w:t>This policy applies consistently across Empowering Futures sites in Coventry, Birmingham, Walsall and Dudley, including on-site, off-site, community, vocational and online delivery.</w:t>
      </w:r>
    </w:p>
    <w:p>
      <w:r>
        <w:t>The curriculum is aligned with Keeping Children Safe in Education (KCSIE) 2026 and Working Together to Safeguard Children 2026, and must be read alongside the updated Safeguarding &amp; Child Protection, Behaviour Management &amp; Positive Relationships, Anti-Bullying, Admissions, SEND, Prevent, Online Safety, Health &amp; Safety, Data Protection and Complaints policies.</w:t>
      </w:r>
    </w:p>
    <w:p>
      <w:r>
        <w:t>Curriculum planning and delivery will continue to reflect the Education Inspection Framework, SEND Code of Practice, relevant commissioning requirements, awarding-body requirements and applicable statutory guidance. Curriculum decisions will remain learner-centred, inclusive, trauma-informed and responsive to individual needs, risk assessments, EHCP outcomes and multi-agency recommendations.</w:t>
      </w:r>
    </w:p>
    <w:p>
      <w:r>
        <w:t>Safeguarding is embedded across curriculum delivery, including online safety, healthy relationships, consent, Prevent, anti-bullying, child-on-child abuse, exploitation awareness, mental health and wellbeing.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