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rPr>
        <w:t>EMPOWERING FUTURES ALTERNATIVE PROVISION</w:t>
      </w:r>
    </w:p>
    <w:p>
      <w:r>
        <w:rPr>
          <w:b/>
        </w:rPr>
        <w:t>SPECIAL EDUCATIONAL NEEDS &amp; DISABILITIES (SEND) POLICY</w:t>
      </w:r>
    </w:p>
    <w:p>
      <w:r>
        <w:t>Version 2.0</w:t>
      </w:r>
    </w:p>
    <w:p>
      <w:r>
        <w:t>Issue Date: August 2026</w:t>
      </w:r>
    </w:p>
    <w:p>
      <w:r>
        <w:t>Effective Date: 1 September 2026</w:t>
      </w:r>
    </w:p>
    <w:p>
      <w:r>
        <w:t>Policy Cycle: September 2026 – August 2027</w:t>
      </w:r>
    </w:p>
    <w:p>
      <w:r>
        <w:t>Next Review: August 2027</w:t>
      </w:r>
    </w:p>
    <w:p>
      <w:r>
        <w:t>Approved by: Director, Empowering Futures Alternative Provision</w:t>
      </w:r>
    </w:p>
    <w:p>
      <w:r>
        <w:t>Site Coverage: Coventry, Birmingham, Walsall and Dudley</w:t>
      </w:r>
    </w:p>
    <w:p>
      <w:r>
        <w:rPr>
          <w:b/>
        </w:rPr>
        <w:t>1. POLICY STATEMENT</w:t>
      </w:r>
    </w:p>
    <w:p>
      <w:r>
        <w:t>Empowering Futures Alternative Provision (EFAP) is committed to delivering high-quality,</w:t>
      </w:r>
    </w:p>
    <w:p>
      <w:r>
        <w:t>inclusive education for all learners, including:</w:t>
      </w:r>
    </w:p>
    <w:p>
      <w:pPr>
        <w:pStyle w:val="ListBullet"/>
      </w:pPr>
      <w:r>
        <w:t>Children and young people aged 11–18​</w:t>
      </w:r>
    </w:p>
    <w:p>
      <w:pPr>
        <w:pStyle w:val="ListBullet"/>
      </w:pPr>
      <w:r>
        <w:t>Adult learners accessing evening and weekend vocational courses​</w:t>
      </w:r>
    </w:p>
    <w:p>
      <w:pPr>
        <w:pStyle w:val="ListBullet"/>
      </w:pPr>
      <w:r>
        <w:t>Learners with SEND, SEMH, behavioural needs, trauma histories, or additional</w:t>
      </w:r>
    </w:p>
    <w:p>
      <w:r>
        <w:t>vulnerabilities​</w:t>
      </w:r>
    </w:p>
    <w:p>
      <w:pPr>
        <w:pStyle w:val="ListBullet"/>
      </w:pPr>
      <w:r>
        <w:t>Learners in community, online, hybrid and off-site settings​</w:t>
      </w:r>
    </w:p>
    <w:p>
      <w:pPr>
        <w:pStyle w:val="ListBullet"/>
      </w:pPr>
      <w:r>
        <w:t>Learners working within vocational, academic and therapeutic pathways</w:t>
      </w:r>
    </w:p>
    <w:p>
      <w:r>
        <w:t>EFAP ensures that every learner—regardless of need, diagnosis or background—has</w:t>
      </w:r>
    </w:p>
    <w:p>
      <w:r>
        <w:t>access to:</w:t>
      </w:r>
    </w:p>
    <w:p>
      <w:pPr>
        <w:pStyle w:val="ListBullet"/>
      </w:pPr>
      <w:r>
        <w:t>An ambitious curriculum​</w:t>
      </w:r>
    </w:p>
    <w:p>
      <w:pPr>
        <w:pStyle w:val="ListBullet"/>
      </w:pPr>
      <w:r>
        <w:t>Skilled and trauma-informed staff​</w:t>
      </w:r>
    </w:p>
    <w:p>
      <w:pPr>
        <w:pStyle w:val="ListBullet"/>
      </w:pPr>
      <w:r>
        <w:t>Personalised interventions​</w:t>
      </w:r>
    </w:p>
    <w:p>
      <w:pPr>
        <w:pStyle w:val="ListBullet"/>
      </w:pPr>
      <w:r>
        <w:t>Multi-agency support​</w:t>
      </w:r>
    </w:p>
    <w:p>
      <w:pPr>
        <w:pStyle w:val="ListBullet"/>
      </w:pPr>
      <w:r>
        <w:t>High-quality teaching adapted to individual needs​</w:t>
      </w:r>
    </w:p>
    <w:p>
      <w:pPr>
        <w:pStyle w:val="ListBullet"/>
      </w:pPr>
      <w:r>
        <w:t>Safe learning environments (on-site and online)</w:t>
      </w:r>
    </w:p>
    <w:p>
      <w:r>
        <w:t>Our provision meets the requirements of:</w:t>
      </w:r>
    </w:p>
    <w:p>
      <w:pPr>
        <w:pStyle w:val="ListBullet"/>
      </w:pPr>
      <w:r>
        <w:t>Children and Families Act 2014​</w:t>
      </w:r>
    </w:p>
    <w:p>
      <w:pPr>
        <w:pStyle w:val="ListBullet"/>
      </w:pPr>
      <w:r>
        <w:t>SEND Code of Practice 2015​</w:t>
      </w:r>
    </w:p>
    <w:p>
      <w:pPr>
        <w:pStyle w:val="ListBullet"/>
      </w:pPr>
      <w:r>
        <w:t>Equality Act 2010 (Reasonable Adjustments)​</w:t>
      </w:r>
    </w:p>
    <w:p>
      <w:r>
        <w:rPr>
          <w:b/>
        </w:rPr>
        <w:t>• KCSIE 2026​</w:t>
      </w:r>
    </w:p>
    <w:p>
      <w:pPr>
        <w:pStyle w:val="ListBullet"/>
      </w:pPr>
      <w:r>
        <w:t>Working Together to Safeguard Children 2026​</w:t>
      </w:r>
    </w:p>
    <w:p>
      <w:r>
        <w:br w:type="page"/>
      </w:r>
    </w:p>
    <w:p>
      <w:pPr>
        <w:pStyle w:val="ListBullet"/>
      </w:pPr>
      <w:r>
        <w:t>Local Authority AP commissioning frameworks​</w:t>
      </w:r>
    </w:p>
    <w:p>
      <w:pPr>
        <w:pStyle w:val="ListBullet"/>
      </w:pPr>
      <w:r>
        <w:t>Awarding body requirements for reasonable adjustments and inclusive assessment</w:t>
      </w:r>
    </w:p>
    <w:p>
      <w:r>
        <w:rPr>
          <w:b/>
        </w:rPr>
        <w:t>2. SCOPE</w:t>
      </w:r>
    </w:p>
    <w:p>
      <w:r>
        <w:t>This policy applies to:</w:t>
      </w:r>
    </w:p>
    <w:p>
      <w:pPr>
        <w:pStyle w:val="ListBullet"/>
      </w:pPr>
      <w:r>
        <w:t>All EFAP learners (11–18 and 18+)​</w:t>
      </w:r>
    </w:p>
    <w:p>
      <w:pPr>
        <w:pStyle w:val="ListBullet"/>
      </w:pPr>
      <w:r>
        <w:t>All staff, tutors, assessors and contractors​</w:t>
      </w:r>
    </w:p>
    <w:p>
      <w:pPr>
        <w:pStyle w:val="ListBullet"/>
      </w:pPr>
      <w:r>
        <w:t>All EFAP sites, satellite venues and online platforms​</w:t>
      </w:r>
    </w:p>
    <w:p>
      <w:pPr>
        <w:pStyle w:val="ListBullet"/>
      </w:pPr>
      <w:r>
        <w:t>All vocational programmes (Sport, Fitness, Beauty, Nails, Hair, Business, Customer</w:t>
      </w:r>
    </w:p>
    <w:p>
      <w:r>
        <w:t>Service)​</w:t>
      </w:r>
    </w:p>
    <w:p>
      <w:pPr>
        <w:pStyle w:val="ListBullet"/>
      </w:pPr>
      <w:r>
        <w:t>On-site, off-site, hybrid and remote provision</w:t>
      </w:r>
    </w:p>
    <w:p>
      <w:r>
        <w:rPr>
          <w:b/>
        </w:rPr>
        <w:t>3. EFAP’S SEND VISION &amp; PRINCIPLES</w:t>
      </w:r>
    </w:p>
    <w:p>
      <w:r>
        <w:t>Our SEND practice is grounded in:</w:t>
      </w:r>
    </w:p>
    <w:p>
      <w:r>
        <w:t>Inclusion</w:t>
      </w:r>
    </w:p>
    <w:p>
      <w:r>
        <w:t>Every learner feels valued, accepted and supported.</w:t>
      </w:r>
    </w:p>
    <w:p>
      <w:r>
        <w:t>High Expectations</w:t>
      </w:r>
    </w:p>
    <w:p>
      <w:r>
        <w:t>SEND learners access a challenging curriculum with meaningful progression routes.</w:t>
      </w:r>
    </w:p>
    <w:p>
      <w:r>
        <w:t>Trauma-Informed Practice</w:t>
      </w:r>
    </w:p>
    <w:p>
      <w:r>
        <w:t>Recognising emotional regulation needs, attachment issues and behaviour linked to trauma.</w:t>
      </w:r>
    </w:p>
    <w:p>
      <w:r>
        <w:t>Personalisation</w:t>
      </w:r>
    </w:p>
    <w:p>
      <w:r>
        <w:t>Individual plans, timetables, learning strategies and interventions.</w:t>
      </w:r>
    </w:p>
    <w:p>
      <w:r>
        <w:t>Flexibility</w:t>
      </w:r>
    </w:p>
    <w:p>
      <w:r>
        <w:t>Alternative pathways, reduced timetables where needed, community sessions, online</w:t>
      </w:r>
    </w:p>
    <w:p>
      <w:r>
        <w:t>learning, vocational adaptations.</w:t>
      </w:r>
    </w:p>
    <w:p>
      <w:r>
        <w:t>Partnership</w:t>
      </w:r>
    </w:p>
    <w:p>
      <w:r>
        <w:br w:type="page"/>
      </w:r>
    </w:p>
    <w:p>
      <w:r>
        <w:t>Close collaboration with families, carers, social care, Virtual Schools, CAMHS, Youth Justice,</w:t>
      </w:r>
    </w:p>
    <w:p>
      <w:r>
        <w:t>LAs, NHS professionals and other agencies.</w:t>
      </w:r>
    </w:p>
    <w:p>
      <w:r>
        <w:t>Preparation for Adulthood</w:t>
      </w:r>
    </w:p>
    <w:p>
      <w:r>
        <w:t>Independence, careers, wellbeing and functional skills embedded across pathways.</w:t>
      </w:r>
    </w:p>
    <w:p>
      <w:r>
        <w:rPr>
          <w:b/>
        </w:rPr>
        <w:t>4. LEGISLATION &amp; GUIDANCE</w:t>
      </w:r>
    </w:p>
    <w:p>
      <w:r>
        <w:t>This policy follows:</w:t>
      </w:r>
    </w:p>
    <w:p>
      <w:pPr>
        <w:pStyle w:val="ListBullet"/>
      </w:pPr>
      <w:r>
        <w:t>SEND Code of Practice 2015​</w:t>
      </w:r>
    </w:p>
    <w:p>
      <w:pPr>
        <w:pStyle w:val="ListBullet"/>
      </w:pPr>
      <w:r>
        <w:t>Children &amp; Families Act 2014​</w:t>
      </w:r>
    </w:p>
    <w:p>
      <w:pPr>
        <w:pStyle w:val="ListBullet"/>
      </w:pPr>
      <w:r>
        <w:t>Equality Act 2010​</w:t>
      </w:r>
    </w:p>
    <w:p>
      <w:pPr>
        <w:pStyle w:val="ListBullet"/>
      </w:pPr>
      <w:r>
        <w:t>Mental Capacity Act 2005 (for adults)​</w:t>
      </w:r>
    </w:p>
    <w:p>
      <w:pPr>
        <w:pStyle w:val="ListBullet"/>
      </w:pPr>
      <w:r>
        <w:t>Education Act 1996​</w:t>
      </w:r>
    </w:p>
    <w:p>
      <w:pPr>
        <w:pStyle w:val="ListBullet"/>
      </w:pPr>
      <w:r>
        <w:t>Ofsted EIF and AP expectations​</w:t>
      </w:r>
    </w:p>
    <w:p>
      <w:r>
        <w:rPr>
          <w:b/>
        </w:rPr>
        <w:t>• KCSIE 2026​</w:t>
      </w:r>
    </w:p>
    <w:p>
      <w:pPr>
        <w:pStyle w:val="ListBullet"/>
      </w:pPr>
      <w:r>
        <w:t>Working Together to Safeguard Children 2026​</w:t>
      </w:r>
    </w:p>
    <w:p>
      <w:pPr>
        <w:pStyle w:val="ListBullet"/>
      </w:pPr>
      <w:r>
        <w:t>Local Authority AP referral and SEND requirements​</w:t>
      </w:r>
    </w:p>
    <w:p>
      <w:pPr>
        <w:pStyle w:val="ListBullet"/>
      </w:pPr>
      <w:r>
        <w:t>Awarding body policies on Reasonable Adjustments</w:t>
      </w:r>
    </w:p>
    <w:p>
      <w:r>
        <w:rPr>
          <w:b/>
        </w:rPr>
        <w:t>5. ROLES &amp; RESPONSIBILITIES</w:t>
      </w:r>
    </w:p>
    <w:p>
      <w:r>
        <w:t>Director</w:t>
      </w:r>
    </w:p>
    <w:p>
      <w:pPr>
        <w:pStyle w:val="ListBullet"/>
      </w:pPr>
      <w:r>
        <w:t>Strategic lead for SEND​</w:t>
      </w:r>
    </w:p>
    <w:p>
      <w:pPr>
        <w:pStyle w:val="ListBullet"/>
      </w:pPr>
      <w:r>
        <w:t>Ensures compliance with legislation​</w:t>
      </w:r>
    </w:p>
    <w:p>
      <w:pPr>
        <w:pStyle w:val="ListBullet"/>
      </w:pPr>
      <w:r>
        <w:t>Oversees quality assurance​</w:t>
      </w:r>
    </w:p>
    <w:p>
      <w:pPr>
        <w:pStyle w:val="ListBullet"/>
      </w:pPr>
      <w:r>
        <w:t>Ensures adequate staffing and provision</w:t>
      </w:r>
    </w:p>
    <w:p>
      <w:r>
        <w:t>DSL / Deputy DSL</w:t>
      </w:r>
    </w:p>
    <w:p>
      <w:pPr>
        <w:pStyle w:val="ListBullet"/>
      </w:pPr>
      <w:r>
        <w:t>Ensures SEND intersects with safeguarding​</w:t>
      </w:r>
    </w:p>
    <w:p>
      <w:pPr>
        <w:pStyle w:val="ListBullet"/>
      </w:pPr>
      <w:r>
        <w:t>Oversees SEND risk assessments​</w:t>
      </w:r>
    </w:p>
    <w:p>
      <w:pPr>
        <w:pStyle w:val="ListBullet"/>
      </w:pPr>
      <w:r>
        <w:t>Leads on EHCP safeguarding elements</w:t>
      </w:r>
    </w:p>
    <w:p>
      <w:r>
        <w:t>SEND Lead</w:t>
      </w:r>
    </w:p>
    <w:p>
      <w:pPr>
        <w:pStyle w:val="ListBullet"/>
      </w:pPr>
      <w:r>
        <w:t>Coordinates SEND support​</w:t>
      </w:r>
    </w:p>
    <w:p>
      <w:pPr>
        <w:pStyle w:val="ListBullet"/>
      </w:pPr>
      <w:r>
        <w:t>Oversees EHCP delivery​</w:t>
      </w:r>
    </w:p>
    <w:p>
      <w:r>
        <w:br w:type="page"/>
      </w:r>
    </w:p>
    <w:p>
      <w:pPr>
        <w:pStyle w:val="ListBullet"/>
      </w:pPr>
      <w:r>
        <w:t>Liaises with LAs, schools and parents​</w:t>
      </w:r>
    </w:p>
    <w:p>
      <w:pPr>
        <w:pStyle w:val="ListBullet"/>
      </w:pPr>
      <w:r>
        <w:t>Develops personalised timetables and plans​</w:t>
      </w:r>
    </w:p>
    <w:p>
      <w:pPr>
        <w:pStyle w:val="ListBullet"/>
      </w:pPr>
      <w:r>
        <w:t>Leads review meetings</w:t>
      </w:r>
    </w:p>
    <w:p>
      <w:r>
        <w:t>Tutors / Assessors</w:t>
      </w:r>
    </w:p>
    <w:p>
      <w:pPr>
        <w:pStyle w:val="ListBullet"/>
      </w:pPr>
      <w:r>
        <w:t>Adapt teaching to individual needs​</w:t>
      </w:r>
    </w:p>
    <w:p>
      <w:pPr>
        <w:pStyle w:val="ListBullet"/>
      </w:pPr>
      <w:r>
        <w:t>Follow SEND strategies and plans​</w:t>
      </w:r>
    </w:p>
    <w:p>
      <w:pPr>
        <w:pStyle w:val="ListBullet"/>
      </w:pPr>
      <w:r>
        <w:t>Manage sensory/behaviour triggers​</w:t>
      </w:r>
    </w:p>
    <w:p>
      <w:pPr>
        <w:pStyle w:val="ListBullet"/>
      </w:pPr>
      <w:r>
        <w:t>Deliver differentiated learning​</w:t>
      </w:r>
    </w:p>
    <w:p>
      <w:pPr>
        <w:pStyle w:val="ListBullet"/>
      </w:pPr>
      <w:r>
        <w:t>Record progress and concerns</w:t>
      </w:r>
    </w:p>
    <w:p>
      <w:r>
        <w:t>Support Staff</w:t>
      </w:r>
    </w:p>
    <w:p>
      <w:pPr>
        <w:pStyle w:val="ListBullet"/>
      </w:pPr>
      <w:r>
        <w:t>Provide 1:1 or small-group support​</w:t>
      </w:r>
    </w:p>
    <w:p>
      <w:pPr>
        <w:pStyle w:val="ListBullet"/>
      </w:pPr>
      <w:r>
        <w:t>Monitor emotional regulation​</w:t>
      </w:r>
    </w:p>
    <w:p>
      <w:pPr>
        <w:pStyle w:val="ListBullet"/>
      </w:pPr>
      <w:r>
        <w:t>Assist with transitions and routines</w:t>
      </w:r>
    </w:p>
    <w:p>
      <w:r>
        <w:t>Parents / Carers</w:t>
      </w:r>
    </w:p>
    <w:p>
      <w:pPr>
        <w:pStyle w:val="ListBullet"/>
      </w:pPr>
      <w:r>
        <w:t>Share information and support plans​</w:t>
      </w:r>
    </w:p>
    <w:p>
      <w:pPr>
        <w:pStyle w:val="ListBullet"/>
      </w:pPr>
      <w:r>
        <w:t>Attend reviews and meetings</w:t>
      </w:r>
    </w:p>
    <w:p>
      <w:r>
        <w:t>Adult Learners</w:t>
      </w:r>
    </w:p>
    <w:p>
      <w:pPr>
        <w:pStyle w:val="ListBullet"/>
      </w:pPr>
      <w:r>
        <w:t>Participate in planning​</w:t>
      </w:r>
    </w:p>
    <w:p>
      <w:pPr>
        <w:pStyle w:val="ListBullet"/>
      </w:pPr>
      <w:r>
        <w:t>Declare SEND needs and reasonable adjustments​</w:t>
      </w:r>
    </w:p>
    <w:p>
      <w:pPr>
        <w:pStyle w:val="ListBullet"/>
      </w:pPr>
      <w:r>
        <w:t>Engage with support systems</w:t>
      </w:r>
    </w:p>
    <w:p>
      <w:r>
        <w:rPr>
          <w:b/>
        </w:rPr>
        <w:t>6. IDENTIFICATION OF SEND</w:t>
      </w:r>
    </w:p>
    <w:p>
      <w:r>
        <w:t>EFAP identifies SEND via:</w:t>
      </w:r>
    </w:p>
    <w:p>
      <w:r>
        <w:t>A. Pre-admission</w:t>
      </w:r>
    </w:p>
    <w:p>
      <w:pPr>
        <w:pStyle w:val="ListBullet"/>
      </w:pPr>
      <w:r>
        <w:t>Review of referral paperwork​</w:t>
      </w:r>
    </w:p>
    <w:p>
      <w:pPr>
        <w:pStyle w:val="ListBullet"/>
      </w:pPr>
      <w:r>
        <w:t>EHCP documentation (if applicable)​</w:t>
      </w:r>
    </w:p>
    <w:p>
      <w:pPr>
        <w:pStyle w:val="ListBullet"/>
      </w:pPr>
      <w:r>
        <w:t>Baseline assessment (Maths, English, Digital)​</w:t>
      </w:r>
    </w:p>
    <w:p>
      <w:pPr>
        <w:pStyle w:val="ListBullet"/>
      </w:pPr>
      <w:r>
        <w:t>Behaviour and SEMH information​</w:t>
      </w:r>
    </w:p>
    <w:p>
      <w:pPr>
        <w:pStyle w:val="ListBullet"/>
      </w:pPr>
      <w:r>
        <w:t>Risk assessments</w:t>
      </w:r>
    </w:p>
    <w:p>
      <w:r>
        <w:t>B. On admission</w:t>
      </w:r>
    </w:p>
    <w:p>
      <w:r>
        <w:br w:type="page"/>
      </w:r>
    </w:p>
    <w:p>
      <w:pPr>
        <w:pStyle w:val="ListBullet"/>
      </w:pPr>
      <w:r>
        <w:t>Academic screening​</w:t>
      </w:r>
    </w:p>
    <w:p>
      <w:pPr>
        <w:pStyle w:val="ListBullet"/>
      </w:pPr>
      <w:r>
        <w:t>Wellbeing check​</w:t>
      </w:r>
    </w:p>
    <w:p>
      <w:pPr>
        <w:pStyle w:val="ListBullet"/>
      </w:pPr>
      <w:r>
        <w:t>Learning style assessment​</w:t>
      </w:r>
    </w:p>
    <w:p>
      <w:pPr>
        <w:pStyle w:val="ListBullet"/>
      </w:pPr>
      <w:r>
        <w:t>Vocational suitability assessment</w:t>
      </w:r>
    </w:p>
    <w:p>
      <w:r>
        <w:t>C. Ongoing identification</w:t>
      </w:r>
    </w:p>
    <w:p>
      <w:pPr>
        <w:pStyle w:val="ListBullet"/>
      </w:pPr>
      <w:r>
        <w:t>Daily staff observations​</w:t>
      </w:r>
    </w:p>
    <w:p>
      <w:pPr>
        <w:pStyle w:val="ListBullet"/>
      </w:pPr>
      <w:r>
        <w:t>Tutor assessment​</w:t>
      </w:r>
    </w:p>
    <w:p>
      <w:pPr>
        <w:pStyle w:val="ListBullet"/>
      </w:pPr>
      <w:r>
        <w:t>Emotional regulation incidents​</w:t>
      </w:r>
    </w:p>
    <w:p>
      <w:pPr>
        <w:pStyle w:val="ListBullet"/>
      </w:pPr>
      <w:r>
        <w:t>Participation in practical sessions​</w:t>
      </w:r>
    </w:p>
    <w:p>
      <w:pPr>
        <w:pStyle w:val="ListBullet"/>
      </w:pPr>
      <w:r>
        <w:t>Engagement in online learning​</w:t>
      </w:r>
    </w:p>
    <w:p>
      <w:pPr>
        <w:pStyle w:val="ListBullet"/>
      </w:pPr>
      <w:r>
        <w:t>Multi-agency feedback</w:t>
      </w:r>
    </w:p>
    <w:p>
      <w:r>
        <w:t>D. Adult learners</w:t>
      </w:r>
    </w:p>
    <w:p>
      <w:pPr>
        <w:pStyle w:val="ListBullet"/>
      </w:pPr>
      <w:r>
        <w:t>Self-declared SEND​</w:t>
      </w:r>
    </w:p>
    <w:p>
      <w:pPr>
        <w:pStyle w:val="ListBullet"/>
      </w:pPr>
      <w:r>
        <w:t>Screening assessments​</w:t>
      </w:r>
    </w:p>
    <w:p>
      <w:pPr>
        <w:pStyle w:val="ListBullet"/>
      </w:pPr>
      <w:r>
        <w:t>Reasonable adjustment requests​</w:t>
      </w:r>
    </w:p>
    <w:p>
      <w:pPr>
        <w:pStyle w:val="ListBullet"/>
      </w:pPr>
      <w:r>
        <w:t>Mental health disclosures</w:t>
      </w:r>
    </w:p>
    <w:p>
      <w:r>
        <w:t>EFAP follows the graduated approach (Assess–Plan–Do–Review).</w:t>
      </w:r>
    </w:p>
    <w:p>
      <w:r>
        <w:rPr>
          <w:b/>
        </w:rPr>
        <w:t>7. SUPPORT FOR SEND LEARNERS</w:t>
      </w:r>
    </w:p>
    <w:p>
      <w:r>
        <w:t>Support includes:</w:t>
      </w:r>
    </w:p>
    <w:p>
      <w:r>
        <w:rPr>
          <w:b/>
        </w:rPr>
        <w:t>1. Personalised timetables</w:t>
      </w:r>
    </w:p>
    <w:p>
      <w:r>
        <w:t>Including reduced hours, phased returns, 1:1 support, online alternatives.</w:t>
      </w:r>
    </w:p>
    <w:p>
      <w:r>
        <w:rPr>
          <w:b/>
        </w:rPr>
        <w:t>2. Differentiated teaching</w:t>
      </w:r>
    </w:p>
    <w:p>
      <w:r>
        <w:t>Task breakdown, visual resources, scaffolded learning, sensory supports.</w:t>
      </w:r>
    </w:p>
    <w:p>
      <w:r>
        <w:rPr>
          <w:b/>
        </w:rPr>
        <w:t>3. Behaviour and SEMH support</w:t>
      </w:r>
    </w:p>
    <w:p>
      <w:r>
        <w:t>Safe spaces, regulation strategies, pastoral mentoring.</w:t>
      </w:r>
    </w:p>
    <w:p>
      <w:r>
        <w:rPr>
          <w:b/>
        </w:rPr>
        <w:t>4. Curriculum flexibility</w:t>
      </w:r>
    </w:p>
    <w:p>
      <w:r>
        <w:t>Learners can choose vocational pathways suited to strengths.</w:t>
      </w:r>
    </w:p>
    <w:p>
      <w:r>
        <w:rPr>
          <w:b/>
        </w:rPr>
        <w:t>5. Adapted vocational delivery</w:t>
      </w:r>
    </w:p>
    <w:p>
      <w:r>
        <w:br w:type="page"/>
      </w:r>
    </w:p>
    <w:p>
      <w:r>
        <w:t>Beauty/Nails:​</w:t>
      </w:r>
    </w:p>
    <w:p>
      <w:pPr>
        <w:pStyle w:val="ListBullet"/>
      </w:pPr>
      <w:r>
        <w:t>Sensory breaks​</w:t>
      </w:r>
    </w:p>
    <w:p>
      <w:pPr>
        <w:pStyle w:val="ListBullet"/>
      </w:pPr>
      <w:r>
        <w:t>Quiet rooms​</w:t>
      </w:r>
    </w:p>
    <w:p>
      <w:pPr>
        <w:pStyle w:val="ListBullet"/>
      </w:pPr>
      <w:r>
        <w:t>Reduced chemical exposure​</w:t>
      </w:r>
    </w:p>
    <w:p>
      <w:pPr>
        <w:pStyle w:val="ListBullet"/>
      </w:pPr>
      <w:r>
        <w:t>Instructor-led adaptations</w:t>
      </w:r>
    </w:p>
    <w:p>
      <w:r>
        <w:t>Sports/Fitness:​</w:t>
      </w:r>
    </w:p>
    <w:p>
      <w:pPr>
        <w:pStyle w:val="ListBullet"/>
      </w:pPr>
      <w:r>
        <w:t>Modified activities​</w:t>
      </w:r>
    </w:p>
    <w:p>
      <w:pPr>
        <w:pStyle w:val="ListBullet"/>
      </w:pPr>
      <w:r>
        <w:t>Safe supervision ratios​</w:t>
      </w:r>
    </w:p>
    <w:p>
      <w:pPr>
        <w:pStyle w:val="ListBullet"/>
      </w:pPr>
      <w:r>
        <w:t>Health plans</w:t>
      </w:r>
    </w:p>
    <w:p>
      <w:r>
        <w:rPr>
          <w:b/>
        </w:rPr>
        <w:t>6. Online learning adaptations</w:t>
      </w:r>
    </w:p>
    <w:p>
      <w:pPr>
        <w:pStyle w:val="ListBullet"/>
      </w:pPr>
      <w:r>
        <w:t>Camera flexibility for anxious learners​</w:t>
      </w:r>
    </w:p>
    <w:p>
      <w:pPr>
        <w:pStyle w:val="ListBullet"/>
      </w:pPr>
      <w:r>
        <w:t>Breakout mentoring​</w:t>
      </w:r>
    </w:p>
    <w:p>
      <w:pPr>
        <w:pStyle w:val="ListBullet"/>
      </w:pPr>
      <w:r>
        <w:t>Shorter sessions​</w:t>
      </w:r>
    </w:p>
    <w:p>
      <w:pPr>
        <w:pStyle w:val="ListBullet"/>
      </w:pPr>
      <w:r>
        <w:t>Accessible materials​</w:t>
      </w:r>
    </w:p>
    <w:p>
      <w:pPr>
        <w:pStyle w:val="ListBullet"/>
      </w:pPr>
      <w:r>
        <w:t>Risk assessment for home environments</w:t>
      </w:r>
    </w:p>
    <w:p>
      <w:r>
        <w:rPr>
          <w:b/>
        </w:rPr>
        <w:t>7. Adult learner adjustments</w:t>
      </w:r>
    </w:p>
    <w:p>
      <w:pPr>
        <w:pStyle w:val="ListBullet"/>
      </w:pPr>
      <w:r>
        <w:t>Additional time​</w:t>
      </w:r>
    </w:p>
    <w:p>
      <w:pPr>
        <w:pStyle w:val="ListBullet"/>
      </w:pPr>
      <w:r>
        <w:t>Alternative assessments​</w:t>
      </w:r>
    </w:p>
    <w:p>
      <w:pPr>
        <w:pStyle w:val="ListBullet"/>
      </w:pPr>
      <w:r>
        <w:t>Modified practicals​</w:t>
      </w:r>
    </w:p>
    <w:p>
      <w:pPr>
        <w:pStyle w:val="ListBullet"/>
      </w:pPr>
      <w:r>
        <w:t>Accessibility tools​</w:t>
      </w:r>
    </w:p>
    <w:p>
      <w:pPr>
        <w:pStyle w:val="ListBullet"/>
      </w:pPr>
      <w:r>
        <w:t>Mental health support signposting</w:t>
      </w:r>
    </w:p>
    <w:p>
      <w:r>
        <w:rPr>
          <w:b/>
        </w:rPr>
        <w:t>8. Multi-agency support</w:t>
      </w:r>
    </w:p>
    <w:p>
      <w:pPr>
        <w:pStyle w:val="ListBullet"/>
      </w:pPr>
      <w:r>
        <w:t>Social Care​</w:t>
      </w:r>
    </w:p>
    <w:p>
      <w:r>
        <w:rPr>
          <w:b/>
        </w:rPr>
        <w:t>• CAMHS​</w:t>
      </w:r>
    </w:p>
    <w:p>
      <w:pPr>
        <w:pStyle w:val="ListBullet"/>
      </w:pPr>
      <w:r>
        <w:t>Youth Justice​</w:t>
      </w:r>
    </w:p>
    <w:p>
      <w:pPr>
        <w:pStyle w:val="ListBullet"/>
      </w:pPr>
      <w:r>
        <w:t>Virtual School​</w:t>
      </w:r>
    </w:p>
    <w:p>
      <w:pPr>
        <w:pStyle w:val="ListBullet"/>
      </w:pPr>
      <w:r>
        <w:t>Educational Psychology​</w:t>
      </w:r>
    </w:p>
    <w:p>
      <w:r>
        <w:rPr>
          <w:b/>
        </w:rPr>
        <w:t>• SENDIASS</w:t>
      </w:r>
    </w:p>
    <w:p>
      <w:r>
        <w:rPr>
          <w:b/>
        </w:rPr>
        <w:t>8. EHCP DELIVERY &amp; REVIEW</w:t>
      </w:r>
    </w:p>
    <w:p>
      <w:r>
        <w:t>For learners with EHCPs EFAP:</w:t>
      </w:r>
    </w:p>
    <w:p>
      <w:pPr>
        <w:pStyle w:val="ListBullet"/>
      </w:pPr>
      <w:r>
        <w:t>Delivers provision in Section F​</w:t>
      </w:r>
    </w:p>
    <w:p>
      <w:pPr>
        <w:pStyle w:val="ListBullet"/>
      </w:pPr>
      <w:r>
        <w:t>Provides evidence of progress​</w:t>
      </w:r>
    </w:p>
    <w:p>
      <w:pPr>
        <w:pStyle w:val="ListBullet"/>
      </w:pPr>
      <w:r>
        <w:t>Contributes to annual reviews​</w:t>
      </w:r>
    </w:p>
    <w:p>
      <w:pPr>
        <w:pStyle w:val="ListBullet"/>
      </w:pPr>
      <w:r>
        <w:t>Tracks outcomes​</w:t>
      </w:r>
    </w:p>
    <w:p>
      <w:r>
        <w:br w:type="page"/>
      </w:r>
    </w:p>
    <w:p>
      <w:pPr>
        <w:pStyle w:val="ListBullet"/>
      </w:pPr>
      <w:r>
        <w:t>Communicates regularly with LAs​</w:t>
      </w:r>
    </w:p>
    <w:p>
      <w:pPr>
        <w:pStyle w:val="ListBullet"/>
      </w:pPr>
      <w:r>
        <w:t>Adjusts provision based on updated needs</w:t>
      </w:r>
    </w:p>
    <w:p>
      <w:r>
        <w:t>Where EFAP identifies potential EHCP needs, we:</w:t>
      </w:r>
    </w:p>
    <w:p>
      <w:pPr>
        <w:pStyle w:val="ListBullet"/>
      </w:pPr>
      <w:r>
        <w:t>Gather evidence​</w:t>
      </w:r>
    </w:p>
    <w:p>
      <w:pPr>
        <w:pStyle w:val="ListBullet"/>
      </w:pPr>
      <w:r>
        <w:t>Work with parents/carers​</w:t>
      </w:r>
    </w:p>
    <w:p>
      <w:pPr>
        <w:pStyle w:val="ListBullet"/>
      </w:pPr>
      <w:r>
        <w:t>Support the LA in statutory assessment processes</w:t>
      </w:r>
    </w:p>
    <w:p>
      <w:r>
        <w:rPr>
          <w:b/>
        </w:rPr>
        <w:t>9. SEND IN VOCATIONAL SETTINGS</w:t>
      </w:r>
    </w:p>
    <w:p>
      <w:r>
        <w:t>Beauty, Hair, Nails:</w:t>
      </w:r>
    </w:p>
    <w:p>
      <w:pPr>
        <w:pStyle w:val="ListBullet"/>
      </w:pPr>
      <w:r>
        <w:t>Sensory overload management​</w:t>
      </w:r>
    </w:p>
    <w:p>
      <w:pPr>
        <w:pStyle w:val="ListBullet"/>
      </w:pPr>
      <w:r>
        <w:t>Clear safety instructions​</w:t>
      </w:r>
    </w:p>
    <w:p>
      <w:pPr>
        <w:pStyle w:val="ListBullet"/>
      </w:pPr>
      <w:r>
        <w:t>Alternative tools​</w:t>
      </w:r>
    </w:p>
    <w:p>
      <w:pPr>
        <w:pStyle w:val="ListBullet"/>
      </w:pPr>
      <w:r>
        <w:t>Tutor modelling​</w:t>
      </w:r>
    </w:p>
    <w:p>
      <w:pPr>
        <w:pStyle w:val="ListBullet"/>
      </w:pPr>
      <w:r>
        <w:t>Short, supported practicals</w:t>
      </w:r>
    </w:p>
    <w:p>
      <w:r>
        <w:t>Sports &amp; Fitness:</w:t>
      </w:r>
    </w:p>
    <w:p>
      <w:pPr>
        <w:pStyle w:val="ListBullet"/>
      </w:pPr>
      <w:r>
        <w:t>Medical risk assessments​</w:t>
      </w:r>
    </w:p>
    <w:p>
      <w:pPr>
        <w:pStyle w:val="ListBullet"/>
      </w:pPr>
      <w:r>
        <w:t>Injury-prevention adaptations​</w:t>
      </w:r>
    </w:p>
    <w:p>
      <w:pPr>
        <w:pStyle w:val="ListBullet"/>
      </w:pPr>
      <w:r>
        <w:t>Breaks and hydration management​</w:t>
      </w:r>
    </w:p>
    <w:p>
      <w:pPr>
        <w:pStyle w:val="ListBullet"/>
      </w:pPr>
      <w:r>
        <w:t>Activities broken down step-by-step</w:t>
      </w:r>
    </w:p>
    <w:p>
      <w:r>
        <w:t>Business / Customer Service:</w:t>
      </w:r>
    </w:p>
    <w:p>
      <w:pPr>
        <w:pStyle w:val="ListBullet"/>
      </w:pPr>
      <w:r>
        <w:t>Simplified communication​</w:t>
      </w:r>
    </w:p>
    <w:p>
      <w:pPr>
        <w:pStyle w:val="ListBullet"/>
      </w:pPr>
      <w:r>
        <w:t>Workplace scenario modelling​</w:t>
      </w:r>
    </w:p>
    <w:p>
      <w:pPr>
        <w:pStyle w:val="ListBullet"/>
      </w:pPr>
      <w:r>
        <w:t>Functional literacy support</w:t>
      </w:r>
    </w:p>
    <w:p>
      <w:r>
        <w:rPr>
          <w:b/>
        </w:rPr>
        <w:t>10. SEND IN ONLINE / HYBRID</w:t>
      </w:r>
    </w:p>
    <w:p>
      <w:r>
        <w:rPr>
          <w:b/>
        </w:rPr>
        <w:t>LEARNING</w:t>
      </w:r>
    </w:p>
    <w:p>
      <w:r>
        <w:t>EFAP ensures:</w:t>
      </w:r>
    </w:p>
    <w:p>
      <w:pPr>
        <w:pStyle w:val="ListBullet"/>
      </w:pPr>
      <w:r>
        <w:t>Sessions are inclusive and differentiated​</w:t>
      </w:r>
    </w:p>
    <w:p>
      <w:pPr>
        <w:pStyle w:val="ListBullet"/>
      </w:pPr>
      <w:r>
        <w:t>Online distress is monitored​</w:t>
      </w:r>
    </w:p>
    <w:p>
      <w:pPr>
        <w:pStyle w:val="ListBullet"/>
      </w:pPr>
      <w:r>
        <w:t>DSL notified of any safeguarding concerns​</w:t>
      </w:r>
    </w:p>
    <w:p>
      <w:r>
        <w:br w:type="page"/>
      </w:r>
    </w:p>
    <w:p>
      <w:pPr>
        <w:pStyle w:val="ListBullet"/>
      </w:pPr>
      <w:r>
        <w:t>Learners can request camera/mic adjustments​</w:t>
      </w:r>
    </w:p>
    <w:p>
      <w:pPr>
        <w:pStyle w:val="ListBullet"/>
      </w:pPr>
      <w:r>
        <w:t>SEND learners receive personalised digital access plans</w:t>
      </w:r>
    </w:p>
    <w:p>
      <w:r>
        <w:t>Staff follow the Online Safety Policy and Cyber Security Policy.</w:t>
      </w:r>
    </w:p>
    <w:p>
      <w:r>
        <w:rPr>
          <w:b/>
        </w:rPr>
        <w:t>11. REASONABLE ADJUSTMENTS &amp;</w:t>
      </w:r>
    </w:p>
    <w:p>
      <w:r>
        <w:t>ASSESSMENT ACCESS (Awarding</w:t>
      </w:r>
    </w:p>
    <w:p>
      <w:r>
        <w:t>Bodies)</w:t>
      </w:r>
    </w:p>
    <w:p>
      <w:r>
        <w:t>EFAP complies with all reasonable adjustment expectations for vocational and academic</w:t>
      </w:r>
    </w:p>
    <w:p>
      <w:r>
        <w:t>qualifications.</w:t>
      </w:r>
    </w:p>
    <w:p>
      <w:r>
        <w:t>Adjustments may include:</w:t>
      </w:r>
    </w:p>
    <w:p>
      <w:pPr>
        <w:pStyle w:val="ListBullet"/>
      </w:pPr>
      <w:r>
        <w:t>Extra time​</w:t>
      </w:r>
    </w:p>
    <w:p>
      <w:pPr>
        <w:pStyle w:val="ListBullet"/>
      </w:pPr>
      <w:r>
        <w:t>Modified tasks​</w:t>
      </w:r>
    </w:p>
    <w:p>
      <w:pPr>
        <w:pStyle w:val="ListBullet"/>
      </w:pPr>
      <w:r>
        <w:t>Alternative evidence formats​</w:t>
      </w:r>
    </w:p>
    <w:p>
      <w:pPr>
        <w:pStyle w:val="ListBullet"/>
      </w:pPr>
      <w:r>
        <w:t>Use of assistive technology​</w:t>
      </w:r>
    </w:p>
    <w:p>
      <w:pPr>
        <w:pStyle w:val="ListBullet"/>
      </w:pPr>
      <w:r>
        <w:t>Breaks during practicals​</w:t>
      </w:r>
    </w:p>
    <w:p>
      <w:pPr>
        <w:pStyle w:val="ListBullet"/>
      </w:pPr>
      <w:r>
        <w:t>Reader/scribe support​</w:t>
      </w:r>
    </w:p>
    <w:p>
      <w:pPr>
        <w:pStyle w:val="ListBullet"/>
      </w:pPr>
      <w:r>
        <w:t>Adapted equipment</w:t>
      </w:r>
    </w:p>
    <w:p>
      <w:r>
        <w:t>Requests are processed through:</w:t>
      </w:r>
    </w:p>
    <w:p>
      <w:pPr>
        <w:pStyle w:val="ListBullet"/>
      </w:pPr>
      <w:r>
        <w:t>SEND Lead​</w:t>
      </w:r>
    </w:p>
    <w:p>
      <w:pPr>
        <w:pStyle w:val="ListBullet"/>
      </w:pPr>
      <w:r>
        <w:t>Internal Quality Assurer (IQA)​</w:t>
      </w:r>
    </w:p>
    <w:p>
      <w:pPr>
        <w:pStyle w:val="ListBullet"/>
      </w:pPr>
      <w:r>
        <w:t>Awarding Body guidance</w:t>
      </w:r>
    </w:p>
    <w:p>
      <w:r>
        <w:rPr>
          <w:b/>
        </w:rPr>
        <w:t>12. SEND &amp; SAFEGUARDING</w:t>
      </w:r>
    </w:p>
    <w:p>
      <w:r>
        <w:t>EFAP recognises SEND learners are statistically more vulnerable to:</w:t>
      </w:r>
    </w:p>
    <w:p>
      <w:pPr>
        <w:pStyle w:val="ListBullet"/>
      </w:pPr>
      <w:r>
        <w:t>Grooming​</w:t>
      </w:r>
    </w:p>
    <w:p>
      <w:pPr>
        <w:pStyle w:val="ListBullet"/>
      </w:pPr>
      <w:r>
        <w:t>Exploitation (CSE/CCE)​</w:t>
      </w:r>
    </w:p>
    <w:p>
      <w:pPr>
        <w:pStyle w:val="ListBullet"/>
      </w:pPr>
      <w:r>
        <w:t>Online harm​</w:t>
      </w:r>
    </w:p>
    <w:p>
      <w:pPr>
        <w:pStyle w:val="ListBullet"/>
      </w:pPr>
      <w:r>
        <w:t>Bullying​</w:t>
      </w:r>
    </w:p>
    <w:p>
      <w:pPr>
        <w:pStyle w:val="ListBullet"/>
      </w:pPr>
      <w:r>
        <w:t>Missing episodes​</w:t>
      </w:r>
    </w:p>
    <w:p>
      <w:pPr>
        <w:pStyle w:val="ListBullet"/>
      </w:pPr>
      <w:r>
        <w:t>Emotional dysregulation​</w:t>
      </w:r>
    </w:p>
    <w:p>
      <w:pPr>
        <w:pStyle w:val="ListBullet"/>
      </w:pPr>
      <w:r>
        <w:t>Mental health crises</w:t>
      </w:r>
    </w:p>
    <w:p>
      <w:r>
        <w:br w:type="page"/>
      </w:r>
    </w:p>
    <w:p>
      <w:r>
        <w:t>All staff receive training to:</w:t>
      </w:r>
    </w:p>
    <w:p>
      <w:pPr>
        <w:pStyle w:val="ListBullet"/>
      </w:pPr>
      <w:r>
        <w:t>Identify SEND-linked safeguarding concerns​</w:t>
      </w:r>
    </w:p>
    <w:p>
      <w:pPr>
        <w:pStyle w:val="ListBullet"/>
      </w:pPr>
      <w:r>
        <w:t>Respond appropriately​</w:t>
      </w:r>
    </w:p>
    <w:p>
      <w:pPr>
        <w:pStyle w:val="ListBullet"/>
      </w:pPr>
      <w:r>
        <w:t>Liaise with DSL immediately​</w:t>
      </w:r>
    </w:p>
    <w:p>
      <w:pPr>
        <w:pStyle w:val="ListBullet"/>
      </w:pPr>
      <w:r>
        <w:t>Adjust safety plans and risk assessments</w:t>
      </w:r>
    </w:p>
    <w:p>
      <w:r>
        <w:t>Individual Safeguarding Plans are created where needed.</w:t>
      </w:r>
    </w:p>
    <w:p>
      <w:r>
        <w:rPr>
          <w:b/>
        </w:rPr>
        <w:t>13. MONITORING PROGRESS</w:t>
      </w:r>
    </w:p>
    <w:p>
      <w:r>
        <w:t>Progress is monitored through:</w:t>
      </w:r>
    </w:p>
    <w:p>
      <w:pPr>
        <w:pStyle w:val="ListBullet"/>
      </w:pPr>
      <w:r>
        <w:t>Baseline testing​</w:t>
      </w:r>
    </w:p>
    <w:p>
      <w:pPr>
        <w:pStyle w:val="ListBullet"/>
      </w:pPr>
      <w:r>
        <w:t>Tutor assessment​</w:t>
      </w:r>
    </w:p>
    <w:p>
      <w:pPr>
        <w:pStyle w:val="ListBullet"/>
      </w:pPr>
      <w:r>
        <w:t>Vocational portfolios​</w:t>
      </w:r>
    </w:p>
    <w:p>
      <w:pPr>
        <w:pStyle w:val="ListBullet"/>
      </w:pPr>
      <w:r>
        <w:t>Functional skills tracking​</w:t>
      </w:r>
    </w:p>
    <w:p>
      <w:pPr>
        <w:pStyle w:val="ListBullet"/>
      </w:pPr>
      <w:r>
        <w:t>Behaviour and SEMH logs​</w:t>
      </w:r>
    </w:p>
    <w:p>
      <w:pPr>
        <w:pStyle w:val="ListBullet"/>
      </w:pPr>
      <w:r>
        <w:t>Attendance analysis​</w:t>
      </w:r>
    </w:p>
    <w:p>
      <w:pPr>
        <w:pStyle w:val="ListBullet"/>
      </w:pPr>
      <w:r>
        <w:t>LA and parental feedback​</w:t>
      </w:r>
    </w:p>
    <w:p>
      <w:pPr>
        <w:pStyle w:val="ListBullet"/>
      </w:pPr>
      <w:r>
        <w:t>Half-termly review meetings</w:t>
      </w:r>
    </w:p>
    <w:p>
      <w:r>
        <w:t>Interventions are adapted as needed.</w:t>
      </w:r>
    </w:p>
    <w:p>
      <w:r>
        <w:rPr>
          <w:b/>
        </w:rPr>
        <w:t>14. TRANSITIONS &amp; DESTINATIONS</w:t>
      </w:r>
    </w:p>
    <w:p>
      <w:r>
        <w:t>EFAP supports transitions:</w:t>
      </w:r>
    </w:p>
    <w:p>
      <w:pPr>
        <w:pStyle w:val="ListBullet"/>
      </w:pPr>
      <w:r>
        <w:t>Back to mainstream or specialist provision​</w:t>
      </w:r>
    </w:p>
    <w:p>
      <w:pPr>
        <w:pStyle w:val="ListBullet"/>
      </w:pPr>
      <w:r>
        <w:t>Into apprenticeships​</w:t>
      </w:r>
    </w:p>
    <w:p>
      <w:pPr>
        <w:pStyle w:val="ListBullet"/>
      </w:pPr>
      <w:r>
        <w:t>Into college​</w:t>
      </w:r>
    </w:p>
    <w:p>
      <w:pPr>
        <w:pStyle w:val="ListBullet"/>
      </w:pPr>
      <w:r>
        <w:t>Into employment in beauty, sports, business or customer service​</w:t>
      </w:r>
    </w:p>
    <w:p>
      <w:pPr>
        <w:pStyle w:val="ListBullet"/>
      </w:pPr>
      <w:r>
        <w:t>Into adult courses​</w:t>
      </w:r>
    </w:p>
    <w:p>
      <w:pPr>
        <w:pStyle w:val="ListBullet"/>
      </w:pPr>
      <w:r>
        <w:t>Into semi-independent living</w:t>
      </w:r>
    </w:p>
    <w:p>
      <w:r>
        <w:t>All SEND transitions are planned with:</w:t>
      </w:r>
    </w:p>
    <w:p>
      <w:pPr>
        <w:pStyle w:val="ListBullet"/>
      </w:pPr>
      <w:r>
        <w:t>Families​</w:t>
      </w:r>
    </w:p>
    <w:p>
      <w:pPr>
        <w:pStyle w:val="ListBullet"/>
      </w:pPr>
      <w:r>
        <w:t>LAs​</w:t>
      </w:r>
    </w:p>
    <w:p>
      <w:pPr>
        <w:pStyle w:val="ListBullet"/>
      </w:pPr>
      <w:r>
        <w:t>Careers Advisors​</w:t>
      </w:r>
    </w:p>
    <w:p>
      <w:pPr>
        <w:pStyle w:val="ListBullet"/>
      </w:pPr>
      <w:r>
        <w:t>External agencies</w:t>
      </w:r>
    </w:p>
    <w:p>
      <w:r>
        <w:br w:type="page"/>
      </w:r>
    </w:p>
    <w:p>
      <w:r>
        <w:rPr>
          <w:b/>
        </w:rPr>
        <w:t>15. POLICY REVIEW</w:t>
      </w:r>
    </w:p>
    <w:p>
      <w:r>
        <w:t>This policy will be reviewed annually or earlier if:</w:t>
      </w:r>
    </w:p>
    <w:p>
      <w:pPr>
        <w:pStyle w:val="ListBullet"/>
      </w:pPr>
      <w:r>
        <w:t>Legislation changes​</w:t>
      </w:r>
    </w:p>
    <w:p>
      <w:pPr>
        <w:pStyle w:val="ListBullet"/>
      </w:pPr>
      <w:r>
        <w:t>Ofsted provides feedback​</w:t>
      </w:r>
    </w:p>
    <w:p>
      <w:pPr>
        <w:pStyle w:val="ListBullet"/>
      </w:pPr>
      <w:r>
        <w:t>LA commissioning changes​</w:t>
      </w:r>
    </w:p>
    <w:p>
      <w:pPr>
        <w:pStyle w:val="ListBullet"/>
      </w:pPr>
      <w:r>
        <w:t>SEND needs within EFAP evolve</w:t>
      </w:r>
    </w:p>
    <w:p>
      <w:r>
        <w:t>Approved by:​</w:t>
      </w:r>
    </w:p>
    <w:p>
      <w:r>
        <w:t>Rhean White – Director &amp; Lead DSL</w:t>
      </w:r>
    </w:p>
    <w:p>
      <w:r>
        <w:rPr>
          <w:b/>
        </w:rPr>
        <w:t>EFAP SEND LOCAL OFFER</w:t>
      </w:r>
    </w:p>
    <w:p>
      <w:r>
        <w:rPr>
          <w:b/>
        </w:rPr>
        <w:t>1. What we offer SEND learners</w:t>
      </w:r>
    </w:p>
    <w:p>
      <w:r>
        <w:t>EFAP provides:</w:t>
      </w:r>
    </w:p>
    <w:p>
      <w:pPr>
        <w:pStyle w:val="ListBullet"/>
      </w:pPr>
      <w:r>
        <w:t>Small group teaching​</w:t>
      </w:r>
    </w:p>
    <w:p>
      <w:pPr>
        <w:pStyle w:val="ListBullet"/>
      </w:pPr>
      <w:r>
        <w:t>1:1 support​</w:t>
      </w:r>
    </w:p>
    <w:p>
      <w:pPr>
        <w:pStyle w:val="ListBullet"/>
      </w:pPr>
      <w:r>
        <w:t>Trauma-informed environments​</w:t>
      </w:r>
    </w:p>
    <w:p>
      <w:pPr>
        <w:pStyle w:val="ListBullet"/>
      </w:pPr>
      <w:r>
        <w:t>Flexible timetables​</w:t>
      </w:r>
    </w:p>
    <w:p>
      <w:pPr>
        <w:pStyle w:val="ListBullet"/>
      </w:pPr>
      <w:r>
        <w:t>Online learning support​</w:t>
      </w:r>
    </w:p>
    <w:p>
      <w:pPr>
        <w:pStyle w:val="ListBullet"/>
      </w:pPr>
      <w:r>
        <w:t>Vocational skills development​</w:t>
      </w:r>
    </w:p>
    <w:p>
      <w:pPr>
        <w:pStyle w:val="ListBullet"/>
      </w:pPr>
      <w:r>
        <w:t>Emotional wellbeing and pastoral mentoring​</w:t>
      </w:r>
    </w:p>
    <w:p>
      <w:pPr>
        <w:pStyle w:val="ListBullet"/>
      </w:pPr>
      <w:r>
        <w:t>Multi-agency coordination​</w:t>
      </w:r>
    </w:p>
    <w:p>
      <w:pPr>
        <w:pStyle w:val="ListBullet"/>
      </w:pPr>
      <w:r>
        <w:t>High supervision ratios</w:t>
      </w:r>
    </w:p>
    <w:p>
      <w:r>
        <w:rPr>
          <w:b/>
        </w:rPr>
        <w:t>2. Types of SEND we support</w:t>
      </w:r>
    </w:p>
    <w:p>
      <w:r>
        <w:t>We regularly support learners with:</w:t>
      </w:r>
    </w:p>
    <w:p>
      <w:r>
        <w:rPr>
          <w:b/>
        </w:rPr>
        <w:t>• ASD​</w:t>
      </w:r>
    </w:p>
    <w:p>
      <w:r>
        <w:rPr>
          <w:b/>
        </w:rPr>
        <w:t>• ADHD​</w:t>
      </w:r>
    </w:p>
    <w:p>
      <w:pPr>
        <w:pStyle w:val="ListBullet"/>
      </w:pPr>
      <w:r>
        <w:t>Dyslexia/Dyspraxia​</w:t>
      </w:r>
    </w:p>
    <w:p>
      <w:pPr>
        <w:pStyle w:val="ListBullet"/>
      </w:pPr>
      <w:r>
        <w:t>Speech &amp; language needs​</w:t>
      </w:r>
    </w:p>
    <w:p>
      <w:pPr>
        <w:pStyle w:val="ListBullet"/>
      </w:pPr>
      <w:r>
        <w:t>SEMH &amp; trauma​</w:t>
      </w:r>
    </w:p>
    <w:p>
      <w:pPr>
        <w:pStyle w:val="ListBullet"/>
      </w:pPr>
      <w:r>
        <w:t>Learning difficulties​</w:t>
      </w:r>
    </w:p>
    <w:p>
      <w:r>
        <w:br w:type="page"/>
      </w:r>
    </w:p>
    <w:p>
      <w:pPr>
        <w:pStyle w:val="ListBullet"/>
      </w:pPr>
      <w:r>
        <w:t>Anxiety​</w:t>
      </w:r>
    </w:p>
    <w:p>
      <w:pPr>
        <w:pStyle w:val="ListBullet"/>
      </w:pPr>
      <w:r>
        <w:t>Medical needs​</w:t>
      </w:r>
    </w:p>
    <w:p>
      <w:pPr>
        <w:pStyle w:val="ListBullet"/>
      </w:pPr>
      <w:r>
        <w:t>Sensory needs​</w:t>
      </w:r>
    </w:p>
    <w:p>
      <w:pPr>
        <w:pStyle w:val="ListBullet"/>
      </w:pPr>
      <w:r>
        <w:t>Behaviour linked to SEND​</w:t>
      </w:r>
    </w:p>
    <w:p>
      <w:pPr>
        <w:pStyle w:val="ListBullet"/>
      </w:pPr>
      <w:r>
        <w:t>Vulnerable adults (adult learning)</w:t>
      </w:r>
    </w:p>
    <w:p>
      <w:r>
        <w:rPr>
          <w:b/>
        </w:rPr>
        <w:t>3. Identifying needs</w:t>
      </w:r>
    </w:p>
    <w:p>
      <w:r>
        <w:t>EFAP identifies needs through:</w:t>
      </w:r>
    </w:p>
    <w:p>
      <w:pPr>
        <w:pStyle w:val="ListBullet"/>
      </w:pPr>
      <w:r>
        <w:t>Referral information​</w:t>
      </w:r>
    </w:p>
    <w:p>
      <w:pPr>
        <w:pStyle w:val="ListBullet"/>
      </w:pPr>
      <w:r>
        <w:t>EHCPs​</w:t>
      </w:r>
    </w:p>
    <w:p>
      <w:pPr>
        <w:pStyle w:val="ListBullet"/>
      </w:pPr>
      <w:r>
        <w:t>Baseline assessments​</w:t>
      </w:r>
    </w:p>
    <w:p>
      <w:pPr>
        <w:pStyle w:val="ListBullet"/>
      </w:pPr>
      <w:r>
        <w:t>Tutor observations​</w:t>
      </w:r>
    </w:p>
    <w:p>
      <w:pPr>
        <w:pStyle w:val="ListBullet"/>
      </w:pPr>
      <w:r>
        <w:t>Parental information​</w:t>
      </w:r>
    </w:p>
    <w:p>
      <w:pPr>
        <w:pStyle w:val="ListBullet"/>
      </w:pPr>
      <w:r>
        <w:t>Online engagement monitoring</w:t>
      </w:r>
    </w:p>
    <w:p>
      <w:r>
        <w:rPr>
          <w:b/>
        </w:rPr>
        <w:t>4. Supporting learning</w:t>
      </w:r>
    </w:p>
    <w:p>
      <w:r>
        <w:t>We provide:</w:t>
      </w:r>
    </w:p>
    <w:p>
      <w:pPr>
        <w:pStyle w:val="ListBullet"/>
      </w:pPr>
      <w:r>
        <w:t>Differentiated lessons​</w:t>
      </w:r>
    </w:p>
    <w:p>
      <w:pPr>
        <w:pStyle w:val="ListBullet"/>
      </w:pPr>
      <w:r>
        <w:t>Sensory breaks​</w:t>
      </w:r>
    </w:p>
    <w:p>
      <w:pPr>
        <w:pStyle w:val="ListBullet"/>
      </w:pPr>
      <w:r>
        <w:t>Visual resources​</w:t>
      </w:r>
    </w:p>
    <w:p>
      <w:pPr>
        <w:pStyle w:val="ListBullet"/>
      </w:pPr>
      <w:r>
        <w:t>Personalised teaching​</w:t>
      </w:r>
    </w:p>
    <w:p>
      <w:pPr>
        <w:pStyle w:val="ListBullet"/>
      </w:pPr>
      <w:r>
        <w:t>Adapted vocational tasks​</w:t>
      </w:r>
    </w:p>
    <w:p>
      <w:pPr>
        <w:pStyle w:val="ListBullet"/>
      </w:pPr>
      <w:r>
        <w:t>Alternative certification routes​</w:t>
      </w:r>
    </w:p>
    <w:p>
      <w:pPr>
        <w:pStyle w:val="ListBullet"/>
      </w:pPr>
      <w:r>
        <w:t>Reasonable adjustments for assessments</w:t>
      </w:r>
    </w:p>
    <w:p>
      <w:r>
        <w:rPr>
          <w:b/>
        </w:rPr>
        <w:t>5. Supporting emotional wellbeing</w:t>
      </w:r>
    </w:p>
    <w:p>
      <w:pPr>
        <w:pStyle w:val="ListBullet"/>
      </w:pPr>
      <w:r>
        <w:t>Safe spaces​</w:t>
      </w:r>
    </w:p>
    <w:p>
      <w:pPr>
        <w:pStyle w:val="ListBullet"/>
      </w:pPr>
      <w:r>
        <w:t>Mentoring​</w:t>
      </w:r>
    </w:p>
    <w:p>
      <w:pPr>
        <w:pStyle w:val="ListBullet"/>
      </w:pPr>
      <w:r>
        <w:t>Regulation strategies​</w:t>
      </w:r>
    </w:p>
    <w:p>
      <w:pPr>
        <w:pStyle w:val="ListBullet"/>
      </w:pPr>
      <w:r>
        <w:t>SEMH-linked risk assessments​</w:t>
      </w:r>
    </w:p>
    <w:p>
      <w:pPr>
        <w:pStyle w:val="ListBullet"/>
      </w:pPr>
      <w:r>
        <w:t>Online wellbeing checks</w:t>
      </w:r>
    </w:p>
    <w:p>
      <w:r>
        <w:rPr>
          <w:b/>
        </w:rPr>
        <w:t>6. Working with families &amp; LAs</w:t>
      </w:r>
    </w:p>
    <w:p>
      <w:r>
        <w:br w:type="page"/>
      </w:r>
    </w:p>
    <w:p>
      <w:r>
        <w:t>We work closely with:</w:t>
      </w:r>
    </w:p>
    <w:p>
      <w:pPr>
        <w:pStyle w:val="ListBullet"/>
      </w:pPr>
      <w:r>
        <w:t>Coventry, Birmingham, Walsall and Dudley SEND teams​</w:t>
      </w:r>
    </w:p>
    <w:p>
      <w:pPr>
        <w:pStyle w:val="ListBullet"/>
      </w:pPr>
      <w:r>
        <w:t>Virtual Schools​</w:t>
      </w:r>
    </w:p>
    <w:p>
      <w:pPr>
        <w:pStyle w:val="ListBullet"/>
      </w:pPr>
      <w:r>
        <w:t>Social care​</w:t>
      </w:r>
    </w:p>
    <w:p>
      <w:r>
        <w:rPr>
          <w:b/>
        </w:rPr>
        <w:t>• CAMHS​</w:t>
      </w:r>
    </w:p>
    <w:p>
      <w:pPr>
        <w:pStyle w:val="ListBullet"/>
      </w:pPr>
      <w:r>
        <w:t>EHCP coordinators</w:t>
      </w:r>
    </w:p>
    <w:p>
      <w:r>
        <w:t>Parents/carers are notified promptly of changes or concerns.</w:t>
      </w:r>
    </w:p>
    <w:p>
      <w:r>
        <w:rPr>
          <w:b/>
        </w:rPr>
        <w:t>7. Preparing for adulthood</w:t>
      </w:r>
    </w:p>
    <w:p>
      <w:r>
        <w:t>We help SEND learners transition into:</w:t>
      </w:r>
    </w:p>
    <w:p>
      <w:pPr>
        <w:pStyle w:val="ListBullet"/>
      </w:pPr>
      <w:r>
        <w:t>Work-based learning​</w:t>
      </w:r>
    </w:p>
    <w:p>
      <w:pPr>
        <w:pStyle w:val="ListBullet"/>
      </w:pPr>
      <w:r>
        <w:t>Apprenticeships (including beauty &amp; sport)​</w:t>
      </w:r>
    </w:p>
    <w:p>
      <w:pPr>
        <w:pStyle w:val="ListBullet"/>
      </w:pPr>
      <w:r>
        <w:t>Further education​</w:t>
      </w:r>
    </w:p>
    <w:p>
      <w:pPr>
        <w:pStyle w:val="ListBullet"/>
      </w:pPr>
      <w:r>
        <w:t>Adult courses​</w:t>
      </w:r>
    </w:p>
    <w:p>
      <w:pPr>
        <w:pStyle w:val="ListBullet"/>
      </w:pPr>
      <w:r>
        <w:t>Life skills development</w:t>
      </w:r>
    </w:p>
    <w:p>
      <w:r>
        <w:rPr>
          <w:b/>
        </w:rPr>
        <w:t>8. Feedback &amp; complaints</w:t>
      </w:r>
    </w:p>
    <w:p>
      <w:r>
        <w:t>Parents/carers can give feedback or make complaints through the EFAP Complaints Policy.</w:t>
      </w:r>
    </w:p>
    <w:p>
      <w:r>
        <w:br w:type="page"/>
      </w:r>
    </w:p>
    <w:p>
      <w:r>
        <w:rPr>
          <w:b/>
        </w:rPr>
        <w:t>2026–27 POLICY ALIGNMENT</w:t>
      </w:r>
    </w:p>
    <w:p>
      <w:r>
        <w:t>This policy applies consistently across Empowering Futures sites in Coventry, Birmingham, Walsall and Dudley, including on-site, off-site, community, vocational, remote and hybrid delivery.</w:t>
      </w:r>
    </w:p>
    <w:p>
      <w:r>
        <w:t>The policy is aligned with the SEND Code of Practice 2015, Children and Families Act 2014, Equality Act 2010, Mental Capacity Act 2005 where applicable, KCSIE 2026 and Working Together to Safeguard Children 2026, together with applicable Local Authority commissioning, EHCP and awarding-body requirements.</w:t>
      </w:r>
    </w:p>
    <w:p>
      <w:r>
        <w:t>SEND provision will remain person-centred, inclusive, trauma-informed and outcomes-focused. Reasonable adjustments will be identified and implemented in response to individual needs, EHCP outcomes, healthcare information, risk assessments and learner voice. Adjustments will be reviewed where needs or circumstances change.</w:t>
      </w:r>
    </w:p>
    <w:p>
      <w:r>
        <w:t>Safeguarding remains integral to SEND provision. Where SEND, communication, behaviour, vulnerability or online activity indicates a safeguarding concern, staff must follow the safeguarding escalation pathway without delay. Information will be shared lawfully and on a need-to-know basis in accordance with the Data Protection Policy.</w:t>
      </w:r>
    </w:p>
    <w:p>
      <w:r>
        <w:t>EHCP provision will be delivered in accordance with the learner's specified provision and outcomes, with evidence maintained to support annual reviews and Local Authority monitoring. Where EFAP identifies emerging or changing SEND needs, the graduated approach of Assess–Plan–Do–Review will be used.</w:t>
      </w:r>
    </w:p>
    <w:p>
      <w:r>
        <w:t>The SEND Local Offer contained within this policy remains part of EFAP's published offer and will be reviewed alongside the main policy and updated when provision, referral routes or partnership arrangements change.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