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EXCLUSIONS &amp; SUSPENSIONS POLICY</w:t>
      </w:r>
    </w:p>
    <w:p>
      <w:r>
        <w:t>Version 2.0</w:t>
      </w:r>
    </w:p>
    <w:p>
      <w:r>
        <w:t>Issue Date: August 2026</w:t>
      </w:r>
    </w:p>
    <w:p>
      <w:r>
        <w:t>Effective Date: 1 September 2026</w:t>
      </w:r>
    </w:p>
    <w:p>
      <w:r>
        <w:t>Policy Cycle: September 2026 – August 2027</w:t>
      </w:r>
    </w:p>
    <w:p>
      <w:r>
        <w:t>Next Review: August 2027</w:t>
      </w:r>
    </w:p>
    <w:p>
      <w:r>
        <w:t>Policy Owner / Director: Rhean White</w:t>
      </w:r>
    </w:p>
    <w:p>
      <w:r>
        <w:t>Operational Manager: Rena Sparks</w:t>
      </w:r>
    </w:p>
    <w:p>
      <w:r>
        <w:t>Designated Safeguarding Lead (DSL): Rhean White</w:t>
      </w:r>
    </w:p>
    <w:p>
      <w:r>
        <w:t>Site Coverage: Coventry, Birmingham, Walsall and Dudley</w:t>
      </w:r>
    </w:p>
    <w:p>
      <w:r>
        <w:t>Applies to: All learners placed at Empowering Futures through Local Authority commissioning, school referral, or other agreed arrangements.</w:t>
      </w:r>
    </w:p>
    <w:p>
      <w:r>
        <w:rPr>
          <w:b/>
        </w:rPr>
        <w:t>EXCLUSIONS &amp; SUSPENSIONS POLICY</w:t>
      </w:r>
    </w:p>
    <w:p>
      <w:r>
        <w:t>All learners placed at Empowering Futures through Local Authority commissioning, school</w:t>
      </w:r>
    </w:p>
    <w:p>
      <w:r>
        <w:t>referral, or other agreed arrangements.</w:t>
      </w:r>
    </w:p>
    <w:p>
      <w:r>
        <w:t>Review Cycle: Annually or sooner if statutory guidance changes</w:t>
      </w:r>
    </w:p>
    <w:p>
      <w:r>
        <w:t>Policy Name</w:t>
      </w:r>
    </w:p>
    <w:p>
      <w:r>
        <w:t>Exclusions and</w:t>
      </w:r>
    </w:p>
    <w:p>
      <w:r>
        <w:t>Site</w:t>
      </w:r>
    </w:p>
    <w:p>
      <w:r>
        <w:t>Birmingham</w:t>
      </w:r>
    </w:p>
    <w:p>
      <w:r>
        <w:t>Version</w:t>
      </w:r>
    </w:p>
    <w:p>
      <w:r>
        <w:t>1.0</w:t>
      </w:r>
    </w:p>
    <w:p>
      <w:r>
        <w:t>Approved By</w:t>
      </w:r>
    </w:p>
    <w:p>
      <w:r>
        <w:t>Director / DSL</w:t>
      </w:r>
    </w:p>
    <w:p>
      <w:r>
        <w:t>Next Review Due</w:t>
      </w:r>
    </w:p>
    <w:p>
      <w:r>
        <w:t>January 2027</w:t>
      </w:r>
    </w:p>
    <w:p>
      <w:r>
        <w:rPr>
          <w:b/>
        </w:rPr>
        <w:t>1. INTRODUCTION</w:t>
      </w:r>
    </w:p>
    <w:p>
      <w:r>
        <w:t>Empowering Futures is an independent Alternative Provision delivering commissioned,</w:t>
      </w:r>
    </w:p>
    <w:p>
      <w:r>
        <w:t>bespoke and vocational education for children and young people, many of whom present</w:t>
      </w:r>
    </w:p>
    <w:p>
      <w:r>
        <w:t>with SEND, SEMH needs, trauma histories, and complex vulnerabilities.</w:t>
      </w:r>
    </w:p>
    <w:p>
      <w:r>
        <w:t>We recognise that exclusion from education can significantly increase safeguarding risk,</w:t>
      </w:r>
    </w:p>
    <w:p>
      <w:r>
        <w:t>including risks relating to:</w:t>
      </w:r>
    </w:p>
    <w:p>
      <w:pPr>
        <w:pStyle w:val="ListBullet"/>
      </w:pPr>
      <w:r>
        <w:t>children missing education</w:t>
      </w:r>
    </w:p>
    <w:p>
      <w:r>
        <w:br w:type="page"/>
      </w:r>
    </w:p>
    <w:p>
      <w:pPr>
        <w:pStyle w:val="ListBullet"/>
      </w:pPr>
      <w:r>
        <w:t>exploitation</w:t>
      </w:r>
    </w:p>
    <w:p>
      <w:pPr>
        <w:pStyle w:val="ListBullet"/>
      </w:pPr>
      <w:r>
        <w:t>disengagement</w:t>
      </w:r>
    </w:p>
    <w:p>
      <w:pPr>
        <w:pStyle w:val="ListBullet"/>
      </w:pPr>
      <w:r>
        <w:t>mental health deterioration</w:t>
      </w:r>
    </w:p>
    <w:p>
      <w:pPr>
        <w:pStyle w:val="ListBullet"/>
      </w:pPr>
      <w:r>
        <w:t>escalation of behaviours</w:t>
      </w:r>
    </w:p>
    <w:p>
      <w:r>
        <w:t>As such, exclusion is considered a serious measure of last resort and is only used where</w:t>
      </w:r>
    </w:p>
    <w:p>
      <w:r>
        <w:t>all reasonable strategies to support the learner have been exhausted, or where safety</w:t>
      </w:r>
    </w:p>
    <w:p>
      <w:r>
        <w:t>cannot be maintained.</w:t>
      </w:r>
    </w:p>
    <w:p>
      <w:r>
        <w:t>This policy sets out how Empowering Futures manages suspensions, managed moves, and</w:t>
      </w:r>
    </w:p>
    <w:p>
      <w:r>
        <w:t>permanent withdrawal of placements in a manner that is:</w:t>
      </w:r>
    </w:p>
    <w:p>
      <w:pPr>
        <w:pStyle w:val="ListBullet"/>
      </w:pPr>
      <w:r>
        <w:t>lawful</w:t>
      </w:r>
    </w:p>
    <w:p>
      <w:pPr>
        <w:pStyle w:val="ListBullet"/>
      </w:pPr>
      <w:r>
        <w:t>proportionate</w:t>
      </w:r>
    </w:p>
    <w:p>
      <w:pPr>
        <w:pStyle w:val="ListBullet"/>
      </w:pPr>
      <w:r>
        <w:t>safeguarding-led</w:t>
      </w:r>
    </w:p>
    <w:p>
      <w:pPr>
        <w:pStyle w:val="ListBullet"/>
      </w:pPr>
      <w:r>
        <w:t>transparent</w:t>
      </w:r>
    </w:p>
    <w:p>
      <w:pPr>
        <w:pStyle w:val="ListBullet"/>
      </w:pPr>
      <w:r>
        <w:t>compliant with Local Authority expectations</w:t>
      </w:r>
    </w:p>
    <w:p>
      <w:r>
        <w:rPr>
          <w:b/>
        </w:rPr>
        <w:t>2. LEGAL AND STATUTORY CONTEXT</w:t>
      </w:r>
    </w:p>
    <w:p>
      <w:r>
        <w:t>Although Empowering Futures is not a maintained school and is not bound by the statutory</w:t>
      </w:r>
    </w:p>
    <w:p>
      <w:r>
        <w:t>school exclusion regulations, this policy is informed by and aligned with:</w:t>
      </w:r>
    </w:p>
    <w:p>
      <w:pPr>
        <w:pStyle w:val="ListBullet"/>
      </w:pPr>
      <w:r>
        <w:t>Keeping Children Safe in Education (KCSIE) 2026</w:t>
      </w:r>
    </w:p>
    <w:p>
      <w:pPr>
        <w:pStyle w:val="ListBullet"/>
      </w:pPr>
      <w:r>
        <w:t>Working Together to Safeguard Children 2026</w:t>
      </w:r>
    </w:p>
    <w:p>
      <w:pPr>
        <w:pStyle w:val="ListBullet"/>
      </w:pPr>
      <w:r>
        <w:t>Children Act 1989 &amp; 2004</w:t>
      </w:r>
    </w:p>
    <w:p>
      <w:pPr>
        <w:pStyle w:val="ListBullet"/>
      </w:pPr>
      <w:r>
        <w:t>Education Act 2002</w:t>
      </w:r>
    </w:p>
    <w:p>
      <w:pPr>
        <w:pStyle w:val="ListBullet"/>
      </w:pPr>
      <w:r>
        <w:t>SEND Code of Practice</w:t>
      </w:r>
    </w:p>
    <w:p>
      <w:pPr>
        <w:pStyle w:val="ListBullet"/>
      </w:pPr>
      <w:r>
        <w:t>Local Authority Alternative Provision guidance and applicable commissioning requirements</w:t>
      </w:r>
    </w:p>
    <w:p>
      <w:r>
        <w:br w:type="page"/>
      </w:r>
    </w:p>
    <w:p>
      <w:r>
        <w:t>Empowering Futures applies equivalent safeguards to those expected within maintained</w:t>
      </w:r>
    </w:p>
    <w:p>
      <w:r>
        <w:t>settings, recognising that Alternative Provision learners are often more vulnerable.</w:t>
      </w:r>
    </w:p>
    <w:p>
      <w:r>
        <w:rPr>
          <w:b/>
        </w:rPr>
        <w:t>3. PRINCIPLES</w:t>
      </w:r>
    </w:p>
    <w:p>
      <w:r>
        <w:t>The following principles underpin this policy:</w:t>
      </w:r>
    </w:p>
    <w:p>
      <w:pPr>
        <w:pStyle w:val="ListBullet"/>
      </w:pPr>
      <w:r>
        <w:t>Exclusion is not a behaviour-management strategy</w:t>
      </w:r>
    </w:p>
    <w:p>
      <w:pPr>
        <w:pStyle w:val="ListBullet"/>
      </w:pPr>
      <w:r>
        <w:t>Behaviour is understood within the context of need, trauma and vulnerability</w:t>
      </w:r>
    </w:p>
    <w:p>
      <w:pPr>
        <w:pStyle w:val="ListBullet"/>
      </w:pPr>
      <w:r>
        <w:t>Decisions are made in the best interests of the child</w:t>
      </w:r>
    </w:p>
    <w:p>
      <w:pPr>
        <w:pStyle w:val="ListBullet"/>
      </w:pPr>
      <w:r>
        <w:t>Safeguarding considerations take precedence over operational convenience</w:t>
      </w:r>
    </w:p>
    <w:p>
      <w:pPr>
        <w:pStyle w:val="ListBullet"/>
      </w:pPr>
      <w:r>
        <w:t>Local Authorities and commissioning bodies are fully involved in decisions ●</w:t>
      </w:r>
    </w:p>
    <w:p>
      <w:r>
        <w:t>All actions are recorded, justified and reviewable</w:t>
      </w:r>
    </w:p>
    <w:p>
      <w:r>
        <w:rPr>
          <w:b/>
        </w:rPr>
        <w:t>4. TYPES OF EXCLUSION / REMOVAL FROM</w:t>
      </w:r>
    </w:p>
    <w:p>
      <w:r>
        <w:rPr>
          <w:b/>
        </w:rPr>
        <w:t>PROVISION</w:t>
      </w:r>
    </w:p>
    <w:p>
      <w:r>
        <w:t>Empowering Futures recognises the following forms of exclusion or</w:t>
      </w:r>
    </w:p>
    <w:p>
      <w:r>
        <w:t>removal: 4.1 Suspension (Fixed-Term Exclusion Equivalent)</w:t>
      </w:r>
    </w:p>
    <w:p>
      <w:r>
        <w:t>A short-term suspension from attending provision, used only where:</w:t>
      </w:r>
    </w:p>
    <w:p>
      <w:pPr>
        <w:pStyle w:val="ListBullet"/>
      </w:pPr>
      <w:r>
        <w:t>there is a serious breach of behaviour expectations</w:t>
      </w:r>
    </w:p>
    <w:p>
      <w:pPr>
        <w:pStyle w:val="ListBullet"/>
      </w:pPr>
      <w:r>
        <w:t>safety of the learner or others is compromised</w:t>
      </w:r>
    </w:p>
    <w:p>
      <w:pPr>
        <w:pStyle w:val="ListBullet"/>
      </w:pPr>
      <w:r>
        <w:t>immediate de-escalation is required</w:t>
      </w:r>
    </w:p>
    <w:p>
      <w:r>
        <w:t>Suspensions are:</w:t>
      </w:r>
    </w:p>
    <w:p>
      <w:pPr>
        <w:pStyle w:val="ListBullet"/>
      </w:pPr>
      <w:r>
        <w:t>time-limited</w:t>
      </w:r>
    </w:p>
    <w:p>
      <w:r>
        <w:br w:type="page"/>
      </w:r>
    </w:p>
    <w:p>
      <w:pPr>
        <w:pStyle w:val="ListBullet"/>
      </w:pPr>
      <w:r>
        <w:t>proportionate</w:t>
      </w:r>
    </w:p>
    <w:p>
      <w:pPr>
        <w:pStyle w:val="ListBullet"/>
      </w:pPr>
      <w:r>
        <w:t>reviewed promptly</w:t>
      </w:r>
    </w:p>
    <w:p>
      <w:pPr>
        <w:pStyle w:val="ListBullet"/>
      </w:pPr>
      <w:r>
        <w:t>agreed in consultation with the commissioning body</w:t>
      </w:r>
    </w:p>
    <w:p>
      <w:r>
        <w:rPr>
          <w:b/>
        </w:rPr>
        <w:t>4.2 Managed Break or Reduced Attendance</w:t>
      </w:r>
    </w:p>
    <w:p>
      <w:r>
        <w:t>In some circumstances, a temporary managed break, adjusted timetable or reduced</w:t>
      </w:r>
    </w:p>
    <w:p>
      <w:r>
        <w:t>attendance may be agreed as part of a planned safeguarding or reintegration</w:t>
      </w:r>
    </w:p>
    <w:p>
      <w:r>
        <w:t>strategy, not as a punitive measure.</w:t>
      </w:r>
    </w:p>
    <w:p>
      <w:r>
        <w:t>This must:</w:t>
      </w:r>
    </w:p>
    <w:p>
      <w:pPr>
        <w:pStyle w:val="ListBullet"/>
      </w:pPr>
      <w:r>
        <w:t>be time-limited</w:t>
      </w:r>
    </w:p>
    <w:p>
      <w:pPr>
        <w:pStyle w:val="ListBullet"/>
      </w:pPr>
      <w:r>
        <w:t>be formally agreed with the Local Authority</w:t>
      </w:r>
    </w:p>
    <w:p>
      <w:pPr>
        <w:pStyle w:val="ListBullet"/>
      </w:pPr>
      <w:r>
        <w:t>include safeguarding oversight</w:t>
      </w:r>
    </w:p>
    <w:p>
      <w:pPr>
        <w:pStyle w:val="ListBullet"/>
      </w:pPr>
      <w:r>
        <w:t>not result in unlawful exclusion or CME</w:t>
      </w:r>
    </w:p>
    <w:p>
      <w:r>
        <w:rPr>
          <w:b/>
        </w:rPr>
        <w:t>4.3 Permanent Withdrawal of Placement</w:t>
      </w:r>
    </w:p>
    <w:p>
      <w:r>
        <w:t>Permanent withdrawal of a placement may be considered only where: ●</w:t>
      </w:r>
    </w:p>
    <w:p>
      <w:r>
        <w:t>Empowering Futures can no longer meet the learner’s needs safely ●</w:t>
      </w:r>
    </w:p>
    <w:p>
      <w:r>
        <w:t>the placement presents an ongoing risk that cannot be mitigated</w:t>
      </w:r>
    </w:p>
    <w:p>
      <w:pPr>
        <w:pStyle w:val="ListBullet"/>
      </w:pPr>
      <w:r>
        <w:t>all reasonable strategies have been exhausted</w:t>
      </w:r>
    </w:p>
    <w:p>
      <w:pPr>
        <w:pStyle w:val="ListBullet"/>
      </w:pPr>
      <w:r>
        <w:t>continued placement would compromise safeguarding</w:t>
      </w:r>
    </w:p>
    <w:p>
      <w:r>
        <w:t>Permanent withdrawal is never immediate, except in extreme safeguarding circumstances.</w:t>
      </w:r>
    </w:p>
    <w:p>
      <w:r>
        <w:rPr>
          <w:b/>
        </w:rPr>
        <w:t>5. BEHAVIOURS THAT MAY LEAD TO EXCLUSION</w:t>
      </w:r>
    </w:p>
    <w:p>
      <w:r>
        <w:br w:type="page"/>
      </w:r>
    </w:p>
    <w:p>
      <w:r>
        <w:rPr>
          <w:b/>
        </w:rPr>
        <w:t>CONSIDERATION</w:t>
      </w:r>
    </w:p>
    <w:p>
      <w:r>
        <w:t>Behaviours that may trigger consideration include (not exhaustive):</w:t>
      </w:r>
    </w:p>
    <w:p>
      <w:pPr>
        <w:pStyle w:val="ListBullet"/>
      </w:pPr>
      <w:r>
        <w:t>serious or persistent violence</w:t>
      </w:r>
    </w:p>
    <w:p>
      <w:pPr>
        <w:pStyle w:val="ListBullet"/>
      </w:pPr>
      <w:r>
        <w:t>possession of weapons</w:t>
      </w:r>
    </w:p>
    <w:p>
      <w:pPr>
        <w:pStyle w:val="ListBullet"/>
      </w:pPr>
      <w:r>
        <w:t>serious safeguarding incidents</w:t>
      </w:r>
    </w:p>
    <w:p>
      <w:pPr>
        <w:pStyle w:val="ListBullet"/>
      </w:pPr>
      <w:r>
        <w:t>behaviour placing others at significant risk</w:t>
      </w:r>
    </w:p>
    <w:p>
      <w:pPr>
        <w:pStyle w:val="ListBullet"/>
      </w:pPr>
      <w:r>
        <w:t>serious criminal behaviour</w:t>
      </w:r>
    </w:p>
    <w:p>
      <w:pPr>
        <w:pStyle w:val="ListBullet"/>
      </w:pPr>
      <w:r>
        <w:t>repeated incidents despite intensive support</w:t>
      </w:r>
    </w:p>
    <w:p>
      <w:r>
        <w:t>SEND, trauma, mental health needs and contextual factors are always considered before</w:t>
      </w:r>
    </w:p>
    <w:p>
      <w:r>
        <w:t>any decision.</w:t>
      </w:r>
    </w:p>
    <w:p>
      <w:r>
        <w:rPr>
          <w:b/>
        </w:rPr>
        <w:t>6. SAFEGUARDING CONSIDERATIONS</w:t>
      </w:r>
    </w:p>
    <w:p>
      <w:r>
        <w:t>Before any exclusion decision, Empowering Futures will</w:t>
      </w:r>
    </w:p>
    <w:p>
      <w:r>
        <w:t>consider: ● whether the behaviour indicates unmet need</w:t>
      </w:r>
    </w:p>
    <w:p>
      <w:pPr>
        <w:pStyle w:val="ListBullet"/>
      </w:pPr>
      <w:r>
        <w:t>whether safeguarding thresholds are met</w:t>
      </w:r>
    </w:p>
    <w:p>
      <w:pPr>
        <w:pStyle w:val="ListBullet"/>
      </w:pPr>
      <w:r>
        <w:t>whether the learner is at risk of harm</w:t>
      </w:r>
    </w:p>
    <w:p>
      <w:pPr>
        <w:pStyle w:val="ListBullet"/>
      </w:pPr>
      <w:r>
        <w:t>whether exclusion would increase vulnerability</w:t>
      </w:r>
    </w:p>
    <w:p>
      <w:pPr>
        <w:pStyle w:val="ListBullet"/>
      </w:pPr>
      <w:r>
        <w:t>whether Children’s Social Care involvement is required</w:t>
      </w:r>
    </w:p>
    <w:p>
      <w:r>
        <w:t>The Designated Safeguarding Lead must be involved in all exclusion decisions.</w:t>
      </w:r>
    </w:p>
    <w:p>
      <w:r>
        <w:rPr>
          <w:b/>
        </w:rPr>
        <w:t>7. DECISION-MAKING PROCESS</w:t>
      </w:r>
    </w:p>
    <w:p>
      <w:r>
        <w:t>No learner will be excluded without:</w:t>
      </w:r>
    </w:p>
    <w:p>
      <w:r>
        <w:rPr>
          <w:b/>
        </w:rPr>
        <w:t>1. A review of incident records and behaviour history</w:t>
      </w:r>
    </w:p>
    <w:p>
      <w:r>
        <w:rPr>
          <w:b/>
        </w:rPr>
        <w:t>2. Consideration of reasonable adjustments and SEND needs</w:t>
      </w:r>
    </w:p>
    <w:p>
      <w:r>
        <w:br w:type="page"/>
      </w:r>
    </w:p>
    <w:p>
      <w:r>
        <w:rPr>
          <w:b/>
        </w:rPr>
        <w:t>3. A safeguarding risk assessment</w:t>
      </w:r>
    </w:p>
    <w:p>
      <w:r>
        <w:rPr>
          <w:b/>
        </w:rPr>
        <w:t>4. Consultation with the commissioning Local Authority</w:t>
      </w:r>
    </w:p>
    <w:p>
      <w:r>
        <w:rPr>
          <w:b/>
        </w:rPr>
        <w:t>5. Senior leadership authorisation (Director / DSL)</w:t>
      </w:r>
    </w:p>
    <w:p>
      <w:r>
        <w:t>Decisions are recorded with:</w:t>
      </w:r>
    </w:p>
    <w:p>
      <w:pPr>
        <w:pStyle w:val="ListBullet"/>
      </w:pPr>
      <w:r>
        <w:t>rationale</w:t>
      </w:r>
    </w:p>
    <w:p>
      <w:pPr>
        <w:pStyle w:val="ListBullet"/>
      </w:pPr>
      <w:r>
        <w:t>alternatives considered</w:t>
      </w:r>
    </w:p>
    <w:p>
      <w:pPr>
        <w:pStyle w:val="ListBullet"/>
      </w:pPr>
      <w:r>
        <w:t>safeguarding considerations</w:t>
      </w:r>
    </w:p>
    <w:p>
      <w:pPr>
        <w:pStyle w:val="ListBullet"/>
      </w:pPr>
      <w:r>
        <w:t>agreed next steps</w:t>
      </w:r>
    </w:p>
    <w:p>
      <w:r>
        <w:rPr>
          <w:b/>
        </w:rPr>
        <w:t>8. NOTIFICATION AND RECORDING</w:t>
      </w:r>
    </w:p>
    <w:p>
      <w:r>
        <w:t>Where a suspension or withdrawal is implemented:</w:t>
      </w:r>
    </w:p>
    <w:p>
      <w:pPr>
        <w:pStyle w:val="ListBullet"/>
      </w:pPr>
      <w:r>
        <w:t>the commissioning body is notified immediately</w:t>
      </w:r>
    </w:p>
    <w:p>
      <w:pPr>
        <w:pStyle w:val="ListBullet"/>
      </w:pPr>
      <w:r>
        <w:t>parents/carers are informed (unless unsafe)</w:t>
      </w:r>
    </w:p>
    <w:p>
      <w:pPr>
        <w:pStyle w:val="ListBullet"/>
      </w:pPr>
      <w:r>
        <w:t>records are maintained securely</w:t>
      </w:r>
    </w:p>
    <w:p>
      <w:pPr>
        <w:pStyle w:val="ListBullet"/>
      </w:pPr>
      <w:r>
        <w:t>attendance and CME implications are addressed</w:t>
      </w:r>
    </w:p>
    <w:p>
      <w:pPr>
        <w:pStyle w:val="ListBullet"/>
      </w:pPr>
      <w:r>
        <w:t>safeguarding records are updated</w:t>
      </w:r>
    </w:p>
    <w:p>
      <w:r>
        <w:t>Empowering Futures does not exclude learners informally or without documentation.</w:t>
      </w:r>
    </w:p>
    <w:p>
      <w:r>
        <w:rPr>
          <w:b/>
        </w:rPr>
        <w:t>9. SUPPORT DURING SUSPENSION</w:t>
      </w:r>
    </w:p>
    <w:p>
      <w:r>
        <w:t>During any suspension:</w:t>
      </w:r>
    </w:p>
    <w:p>
      <w:pPr>
        <w:pStyle w:val="ListBullet"/>
      </w:pPr>
      <w:r>
        <w:t>safeguarding contact is maintained</w:t>
      </w:r>
    </w:p>
    <w:p>
      <w:pPr>
        <w:pStyle w:val="ListBullet"/>
      </w:pPr>
      <w:r>
        <w:t>welfare checks are considered where appropriate</w:t>
      </w:r>
    </w:p>
    <w:p>
      <w:pPr>
        <w:pStyle w:val="ListBullet"/>
      </w:pPr>
      <w:r>
        <w:t>reintegration planning begins immediately</w:t>
      </w:r>
    </w:p>
    <w:p>
      <w:pPr>
        <w:pStyle w:val="ListBullet"/>
      </w:pPr>
      <w:r>
        <w:t>risk is reviewed prior to return</w:t>
      </w:r>
    </w:p>
    <w:p>
      <w:r>
        <w:br w:type="page"/>
      </w:r>
    </w:p>
    <w:p>
      <w:r>
        <w:t>Suspensions are not used to off-roll learners.</w:t>
      </w:r>
    </w:p>
    <w:p>
      <w:r>
        <w:rPr>
          <w:b/>
        </w:rPr>
        <w:t>10. REINTEGRATION FOLLOWING SUSPENSION</w:t>
      </w:r>
    </w:p>
    <w:p>
      <w:r>
        <w:t>Where a learner returns:</w:t>
      </w:r>
    </w:p>
    <w:p>
      <w:pPr>
        <w:pStyle w:val="ListBullet"/>
      </w:pPr>
      <w:r>
        <w:t>a reintegration meeting is held</w:t>
      </w:r>
    </w:p>
    <w:p>
      <w:pPr>
        <w:pStyle w:val="ListBullet"/>
      </w:pPr>
      <w:r>
        <w:t>expectations and support strategies are reviewed</w:t>
      </w:r>
    </w:p>
    <w:p>
      <w:pPr>
        <w:pStyle w:val="ListBullet"/>
      </w:pPr>
      <w:r>
        <w:t>risk management plans are updated</w:t>
      </w:r>
    </w:p>
    <w:p>
      <w:pPr>
        <w:pStyle w:val="ListBullet"/>
      </w:pPr>
      <w:r>
        <w:t>behaviour support strategies are adjusted</w:t>
      </w:r>
    </w:p>
    <w:p>
      <w:r>
        <w:t>The aim is always successful reintegration, not removal.</w:t>
      </w:r>
    </w:p>
    <w:p>
      <w:r>
        <w:rPr>
          <w:b/>
        </w:rPr>
        <w:t>11. PERMANENT WITHDRAWAL PROCESS</w:t>
      </w:r>
    </w:p>
    <w:p>
      <w:r>
        <w:t>Where permanent withdrawal is being considered:</w:t>
      </w:r>
    </w:p>
    <w:p>
      <w:pPr>
        <w:pStyle w:val="ListBullet"/>
      </w:pPr>
      <w:r>
        <w:t>a multi-agency discussion takes place</w:t>
      </w:r>
    </w:p>
    <w:p>
      <w:pPr>
        <w:pStyle w:val="ListBullet"/>
      </w:pPr>
      <w:r>
        <w:t>the Local Authority leads on alternative arrangements</w:t>
      </w:r>
    </w:p>
    <w:p>
      <w:pPr>
        <w:pStyle w:val="ListBullet"/>
      </w:pPr>
      <w:r>
        <w:t>Empowering Futures supports transition planning</w:t>
      </w:r>
    </w:p>
    <w:p>
      <w:pPr>
        <w:pStyle w:val="ListBullet"/>
      </w:pPr>
      <w:r>
        <w:t>safeguarding risks are escalated appropriately</w:t>
      </w:r>
    </w:p>
    <w:p>
      <w:pPr>
        <w:pStyle w:val="ListBullet"/>
      </w:pPr>
      <w:r>
        <w:t>no learner is left without education due to unilateral action</w:t>
      </w:r>
    </w:p>
    <w:p>
      <w:r>
        <w:t>Empowering Futures will not:</w:t>
      </w:r>
    </w:p>
    <w:p>
      <w:pPr>
        <w:pStyle w:val="ListBullet"/>
      </w:pPr>
      <w:r>
        <w:t>off-roll learners</w:t>
      </w:r>
    </w:p>
    <w:p>
      <w:pPr>
        <w:pStyle w:val="ListBullet"/>
      </w:pPr>
      <w:r>
        <w:t>withdraw placements without LA agreement</w:t>
      </w:r>
    </w:p>
    <w:p>
      <w:pPr>
        <w:pStyle w:val="ListBullet"/>
      </w:pPr>
      <w:r>
        <w:t>create children missing education</w:t>
      </w:r>
    </w:p>
    <w:p>
      <w:r>
        <w:br w:type="page"/>
      </w:r>
    </w:p>
    <w:p>
      <w:r>
        <w:rPr>
          <w:b/>
        </w:rPr>
        <w:t>12. CHILDREN WITH SEND / EHCPs</w:t>
      </w:r>
    </w:p>
    <w:p>
      <w:r>
        <w:t>For learners with SEND or EHCPs:</w:t>
      </w:r>
    </w:p>
    <w:p>
      <w:pPr>
        <w:pStyle w:val="ListBullet"/>
      </w:pPr>
      <w:r>
        <w:t>exclusion is a last resort</w:t>
      </w:r>
    </w:p>
    <w:p>
      <w:pPr>
        <w:pStyle w:val="ListBullet"/>
      </w:pPr>
      <w:r>
        <w:t>reasonable adjustments are reviewed</w:t>
      </w:r>
    </w:p>
    <w:p>
      <w:pPr>
        <w:pStyle w:val="ListBullet"/>
      </w:pPr>
      <w:r>
        <w:t>EHCP outcomes are considered</w:t>
      </w:r>
    </w:p>
    <w:p>
      <w:pPr>
        <w:pStyle w:val="ListBullet"/>
      </w:pPr>
      <w:r>
        <w:t>SEND teams are consulted</w:t>
      </w:r>
    </w:p>
    <w:p>
      <w:pPr>
        <w:pStyle w:val="ListBullet"/>
      </w:pPr>
      <w:r>
        <w:t>behaviour is viewed as communication</w:t>
      </w:r>
    </w:p>
    <w:p>
      <w:r>
        <w:rPr>
          <w:b/>
        </w:rPr>
        <w:t>13. COMPLAINTS AND CHALLENGE</w:t>
      </w:r>
    </w:p>
    <w:p>
      <w:r>
        <w:t>Parents/carers and Local Authorities may raise concerns</w:t>
      </w:r>
    </w:p>
    <w:p>
      <w:r>
        <w:t>through: ● commissioning review processes</w:t>
      </w:r>
    </w:p>
    <w:p>
      <w:pPr>
        <w:pStyle w:val="ListBullet"/>
      </w:pPr>
      <w:r>
        <w:t>formal complaint procedures</w:t>
      </w:r>
    </w:p>
    <w:p>
      <w:r>
        <w:t>All exclusion decisions are subject to review and scrutiny.</w:t>
      </w:r>
    </w:p>
    <w:p>
      <w:r>
        <w:rPr>
          <w:b/>
        </w:rPr>
        <w:t>14. MONITORING AND REVIEW</w:t>
      </w:r>
    </w:p>
    <w:p>
      <w:r>
        <w:t>Empowering Futures monitors:</w:t>
      </w:r>
    </w:p>
    <w:p>
      <w:pPr>
        <w:pStyle w:val="ListBullet"/>
      </w:pPr>
      <w:r>
        <w:t>frequency of exclusions</w:t>
      </w:r>
    </w:p>
    <w:p>
      <w:pPr>
        <w:pStyle w:val="ListBullet"/>
      </w:pPr>
      <w:r>
        <w:t>patterns by need or cohort</w:t>
      </w:r>
    </w:p>
    <w:p>
      <w:pPr>
        <w:pStyle w:val="ListBullet"/>
      </w:pPr>
      <w:r>
        <w:t>safeguarding outcomes</w:t>
      </w:r>
    </w:p>
    <w:p>
      <w:pPr>
        <w:pStyle w:val="ListBullet"/>
      </w:pPr>
      <w:r>
        <w:t>equality impacts</w:t>
      </w:r>
    </w:p>
    <w:p>
      <w:r>
        <w:t>This policy is reviewed annually or following significant incidents.</w:t>
      </w:r>
    </w:p>
    <w:p>
      <w:r>
        <w:br w:type="page"/>
      </w:r>
    </w:p>
    <w:p>
      <w:r>
        <w:rPr>
          <w:b/>
        </w:rPr>
        <w:t>15. FINAL STATEMENT</w:t>
      </w:r>
    </w:p>
    <w:p>
      <w:r>
        <w:t>Empowering Futures is committed to inclusion, safety, and positive outcomes.</w:t>
      </w:r>
    </w:p>
    <w:p>
      <w:r>
        <w:t>Exclusion is never used lightly and is always managed with professional judgement,</w:t>
      </w:r>
    </w:p>
    <w:p>
      <w:r>
        <w:t>safeguarding oversight, and Local Authority partnership.</w:t>
      </w:r>
    </w:p>
    <w:p>
      <w:r>
        <w:br w:type="page"/>
      </w:r>
    </w:p>
    <w:p>
      <w:r>
        <w:rPr>
          <w:b/>
        </w:rPr>
        <w:t>2026–27 POLICY ALIGNMENT</w:t>
      </w:r>
      <w:r>
        <w:br/>
        <w:t>Keeping Children Safe in Education (KCSIE) 2026</w:t>
      </w:r>
    </w:p>
    <w:p>
      <w:r>
        <w:t>This policy applies consistently across Empowering Futures sites in Coventry, Birmingham, Walsall and Dudley. It applies to all learners placed through Local Authority commissioning, school referral or other agreed arrangements, including on-site, off-site, community, vocational, remote and hybrid delivery.</w:t>
      </w:r>
    </w:p>
    <w:p>
      <w:r>
        <w:t>The policy is aligned with Keeping Children Safe in Education (KCSIE) 2026, Working Together to Safeguard Children 2026, the SEND Code of Practice, Children Act 1989 and 2004, Education Act 2002, Equality Act 2010 and relevant Local Authority alternative provision and commissioning arrangements.</w:t>
      </w:r>
    </w:p>
    <w:p>
      <w:r>
        <w:t>As an independent Alternative Provision provider, Empowering Futures does not treat this policy as a claim that maintained-school statutory exclusion regulations directly apply to EFAP. Instead, the organisation applies equivalent safeguarding, fairness, documentation, consultation and reintegration safeguards appropriate to its provision and commissioning arrangements.</w:t>
      </w:r>
    </w:p>
    <w:p>
      <w:r>
        <w:t>Before any suspension or permanent withdrawal decision, the learner's SEND, EHCP outcomes, reasonable adjustments, trauma, mental health, safeguarding context and unmet needs must be considered. The DSL must be involved in decisions where safeguarding risk is relevant.</w:t>
      </w:r>
    </w:p>
    <w:p>
      <w:r>
        <w:t>No decision may be used to unlawfully off-roll a learner or create a child missing education. Where a placement can no longer safely continue, Empowering Futures will work with the commissioning Local Authority and relevant partners to secure appropriate alternative education and safeguarding arrangements.</w:t>
      </w:r>
    </w:p>
    <w:p>
      <w:r>
        <w:t>Any suspension, managed break or reduced attendance arrangement must be time-limited, documented, risk assessed and agreed through the appropriate commissioning route. Reintegration planning must begin promptly and the learner's risk and support plan must be reviewed before return.</w:t>
      </w:r>
    </w:p>
    <w:p>
      <w:r>
        <w:t>All exclusion and withdrawal decisions will be monitored for equality impacts and patterns affecting SEND, vulnerable learners or particular cohorts. Records will be retained securely in accordance with the Data Protection Policy.</w:t>
      </w:r>
    </w:p>
    <w:p>
      <w:r>
        <w:rPr>
          <w:b/>
        </w:rPr>
        <w:t>KCSIE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