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CAREERS EDUCATION, INFORMATION, ADVICE AND GUIDANCE (CEIAG)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compulsory school-age and post-16 learners where applicable, including full-time, part-time, phased, blended and vocational provision.</w:t>
      </w:r>
    </w:p>
    <w:p>
      <w:r>
        <w:t>CEIAG Policy</w:t>
      </w:r>
    </w:p>
    <w:p>
      <w:r>
        <w:t>Site</w:t>
      </w:r>
    </w:p>
    <w:p>
      <w:r>
        <w:t>Birmingham</w:t>
      </w:r>
    </w:p>
    <w:p>
      <w:r>
        <w:t>1.0</w:t>
      </w:r>
    </w:p>
    <w:p>
      <w:r>
        <w:t>Director / DSL</w:t>
      </w:r>
    </w:p>
    <w:p>
      <w:r>
        <w:rPr>
          <w:b/>
        </w:rPr>
        <w:t>18 January 2026</w:t>
      </w:r>
    </w:p>
    <w:p>
      <w:r>
        <w:t>January 2027</w:t>
      </w:r>
    </w:p>
    <w:p>
      <w:r>
        <w:rPr>
          <w:b/>
        </w:rPr>
        <w:t>1. Policy Statement</w:t>
      </w:r>
    </w:p>
    <w:p>
      <w:r>
        <w:t>high-quality, impartial Careers Education, Information, Advice and Guidance (CEIAG) to</w:t>
      </w:r>
    </w:p>
    <w:p>
      <w:r>
        <w:t>all learners accessing our Alternative Provision. We recognise that learners referred</w:t>
      </w:r>
    </w:p>
    <w:p>
      <w:r>
        <w:t>through Local Authority and school-commissioned routes may have experienced disrupted</w:t>
      </w:r>
    </w:p>
    <w:p>
      <w:r>
        <w:t>education, SEND, SEMH needs, trauma, or barriers to engagement and progression.</w:t>
      </w:r>
    </w:p>
    <w:p>
      <w:r>
        <w:t>Our CEIAG provision is personalised, trauma-informed, safeguarding-led, and</w:t>
      </w:r>
    </w:p>
    <w:p>
      <w:r>
        <w:t>progression-focused, supporting learners to make informed decisions about education,</w:t>
      </w:r>
    </w:p>
    <w:p>
      <w:r>
        <w:t>training, apprenticeships, employment, or supported pathways. CEIAG is embedded across</w:t>
      </w:r>
    </w:p>
    <w:p>
      <w:r>
        <w:t>our curriculum and aligned with Local Authority commissioning expectations, including</w:t>
      </w:r>
    </w:p>
    <w:p>
      <w:r>
        <w:t>Coventry CAP and Birmingham pathways.</w:t>
      </w:r>
    </w:p>
    <w:p>
      <w:r>
        <w:rPr>
          <w:b/>
        </w:rPr>
        <w:t>2. Scope of the Policy</w:t>
      </w:r>
    </w:p>
    <w:p>
      <w:r>
        <w:t>This policy applies to:</w:t>
      </w:r>
    </w:p>
    <w:p>
      <w:pPr>
        <w:pStyle w:val="ListBullet"/>
      </w:pPr>
      <w:r>
        <w:t>Learners of compulsory school age and post-16 learners (where applicable)</w:t>
      </w:r>
    </w:p>
    <w:p>
      <w:r>
        <w:br w:type="page"/>
      </w:r>
    </w:p>
    <w:p>
      <w:pPr>
        <w:pStyle w:val="ListBullet"/>
      </w:pPr>
      <w:r>
        <w:t>Learners commissioned by Coventry City Council, Birmingham City Council, and</w:t>
      </w:r>
    </w:p>
    <w:p>
      <w:r>
        <w:t>Walsall Council</w:t>
      </w:r>
    </w:p>
    <w:p>
      <w:pPr>
        <w:pStyle w:val="ListBullet"/>
      </w:pPr>
      <w:r>
        <w:t>Learners referred by schools under Alternative Provision arrangements ●</w:t>
      </w:r>
    </w:p>
    <w:p>
      <w:r>
        <w:t>Learners attending full-time, part-time, phased, or blended programmes</w:t>
      </w:r>
    </w:p>
    <w:p>
      <w:r>
        <w:t>The policy applies across all Empowering Futures delivery sites:</w:t>
      </w:r>
    </w:p>
    <w:p>
      <w:pPr>
        <w:pStyle w:val="ListBullet"/>
      </w:pPr>
      <w:r>
        <w:t>WEETC – Coventry</w:t>
      </w:r>
    </w:p>
    <w:p>
      <w:pPr>
        <w:pStyle w:val="ListBullet"/>
      </w:pPr>
      <w:r>
        <w:t>Evolve Centre – Birmingham</w:t>
      </w:r>
    </w:p>
    <w:p>
      <w:pPr>
        <w:pStyle w:val="ListBullet"/>
      </w:pPr>
      <w:r>
        <w:t>Argyle House - Coventry</w:t>
      </w:r>
    </w:p>
    <w:p>
      <w:r>
        <w:rPr>
          <w:b/>
        </w:rPr>
        <w:t>3. Legal and Statutory Framework</w:t>
      </w:r>
    </w:p>
    <w:p>
      <w:r>
        <w:t>This policy aligns with:</w:t>
      </w:r>
    </w:p>
    <w:p>
      <w:pPr>
        <w:pStyle w:val="ListBullet"/>
      </w:pPr>
      <w:r>
        <w:t>Education Act 1997 (Section 42A)</w:t>
      </w:r>
    </w:p>
    <w:p>
      <w:pPr>
        <w:pStyle w:val="ListBullet"/>
      </w:pPr>
      <w:r>
        <w:t>Education and Skills Act 2008</w:t>
      </w:r>
    </w:p>
    <w:p>
      <w:pPr>
        <w:pStyle w:val="ListBullet"/>
      </w:pPr>
      <w:r>
        <w:t>Keeping Children Safe in Education (KCSIE) 2026</w:t>
      </w:r>
    </w:p>
    <w:p>
      <w:pPr>
        <w:pStyle w:val="ListBullet"/>
      </w:pPr>
      <w:r>
        <w:t>Working Together to Safeguard Children 2026</w:t>
      </w:r>
    </w:p>
    <w:p>
      <w:pPr>
        <w:pStyle w:val="ListBullet"/>
      </w:pPr>
      <w:r>
        <w:t>DfE Statutory Guidance: Careers guidance and access for education and</w:t>
      </w:r>
    </w:p>
    <w:p>
      <w:r>
        <w:t>training providers</w:t>
      </w:r>
    </w:p>
    <w:p>
      <w:pPr>
        <w:pStyle w:val="ListBullet"/>
      </w:pPr>
      <w:r>
        <w:t>Local Authority Alternative Provision commissioning requirements</w:t>
      </w:r>
    </w:p>
    <w:p>
      <w:pPr>
        <w:pStyle w:val="ListBullet"/>
      </w:pPr>
      <w:r>
        <w:t>Equality Act 2010</w:t>
      </w:r>
    </w:p>
    <w:p>
      <w:r>
        <w:t>CEIAG is delivered in a manner that promotes safeguarding, inclusion, and equality</w:t>
      </w:r>
    </w:p>
    <w:p>
      <w:r>
        <w:t>of opportunity.</w:t>
      </w:r>
    </w:p>
    <w:p>
      <w:r>
        <w:rPr>
          <w:b/>
        </w:rPr>
        <w:t>4. Gatsby Benchmarks Mapping</w:t>
      </w:r>
    </w:p>
    <w:p>
      <w:r>
        <w:br w:type="page"/>
      </w:r>
    </w:p>
    <w:p>
      <w:r>
        <w:t>Empowering Futures aligns its CEIAG provision to the Gatsby Benchmarks, adapted</w:t>
      </w:r>
    </w:p>
    <w:p>
      <w:r>
        <w:t>appropriately for an Alternative Provision context.</w:t>
      </w:r>
    </w:p>
    <w:p>
      <w:r>
        <w:t>Gatsby Benchmark 1 – A Stable Careers Programme ●</w:t>
      </w:r>
    </w:p>
    <w:p>
      <w:r>
        <w:t>CEIAG is embedded within all Empowering Futures programmes.</w:t>
      </w:r>
    </w:p>
    <w:p>
      <w:pPr>
        <w:pStyle w:val="ListBullet"/>
      </w:pPr>
      <w:r>
        <w:t>Careers learning is documented within learner placement plans, reviews, and</w:t>
      </w:r>
    </w:p>
    <w:p>
      <w:r>
        <w:t>progress reports.</w:t>
      </w:r>
    </w:p>
    <w:p>
      <w:pPr>
        <w:pStyle w:val="ListBullet"/>
      </w:pPr>
      <w:r>
        <w:t>Provision is quality-assured through leadership oversight and LA reporting.</w:t>
      </w:r>
    </w:p>
    <w:p>
      <w:r>
        <w:t>Gatsby Benchmark 2 – Learning from Career and Labour Market</w:t>
      </w:r>
    </w:p>
    <w:p>
      <w:r>
        <w:t>Information</w:t>
      </w:r>
    </w:p>
    <w:p>
      <w:pPr>
        <w:pStyle w:val="ListBullet"/>
      </w:pPr>
      <w:r>
        <w:t>Learners access up-to-date information on:</w:t>
      </w:r>
    </w:p>
    <w:p>
      <w:r>
        <w:t>○ Local labour markets (Coventry, Birmingham, Walsall, Dudley and wider West Midlands)</w:t>
      </w:r>
    </w:p>
    <w:p>
      <w:r>
        <w:t>○ Skills shortages and growth sectors</w:t>
      </w:r>
    </w:p>
    <w:p>
      <w:r>
        <w:t>○ Vocational and technical routes</w:t>
      </w:r>
    </w:p>
    <w:p>
      <w:pPr>
        <w:pStyle w:val="ListBullet"/>
      </w:pPr>
      <w:r>
        <w:t>Information is delivered in accessible, learner-friendly formats appropriate to need.</w:t>
      </w:r>
    </w:p>
    <w:p>
      <w:r>
        <w:t>Gatsby Benchmark 3 – Addressing the Needs of Each Learner</w:t>
      </w:r>
    </w:p>
    <w:p>
      <w:pPr>
        <w:pStyle w:val="ListBullet"/>
      </w:pPr>
      <w:r>
        <w:t>CEIAG is fully personalised.</w:t>
      </w:r>
    </w:p>
    <w:p>
      <w:pPr>
        <w:pStyle w:val="ListBullet"/>
      </w:pPr>
      <w:r>
        <w:t>Learners with SEND, EHCPs, SEMH needs, or anxiety receive tailored guidance.</w:t>
      </w:r>
    </w:p>
    <w:p>
      <w:pPr>
        <w:pStyle w:val="ListBullet"/>
      </w:pPr>
      <w:r>
        <w:t>Careers planning aligns with EHCP outcomes where applicable.</w:t>
      </w:r>
    </w:p>
    <w:p>
      <w:pPr>
        <w:pStyle w:val="ListBullet"/>
      </w:pPr>
      <w:r>
        <w:t>Barriers to progression (attendance, confidence, regulation) are addressed alongside</w:t>
      </w:r>
    </w:p>
    <w:p>
      <w:r>
        <w:t>careers planning.</w:t>
      </w:r>
    </w:p>
    <w:p>
      <w:r>
        <w:t>Gatsby Benchmark 4 – Linking Curriculum Learning to Careers</w:t>
      </w:r>
    </w:p>
    <w:p>
      <w:pPr>
        <w:pStyle w:val="ListBullet"/>
      </w:pPr>
      <w:r>
        <w:t>Careers learning is embedded across:</w:t>
      </w:r>
    </w:p>
    <w:p>
      <w:r>
        <w:br w:type="page"/>
      </w:r>
    </w:p>
    <w:p>
      <w:r>
        <w:t>○ Vocational pathways</w:t>
      </w:r>
    </w:p>
    <w:p>
      <w:r>
        <w:t>○ Employability and life-skills delivery</w:t>
      </w:r>
    </w:p>
    <w:p>
      <w:r>
        <w:t>○ Project-based and practical learning</w:t>
      </w:r>
    </w:p>
    <w:p>
      <w:pPr>
        <w:pStyle w:val="ListBullet"/>
      </w:pPr>
      <w:r>
        <w:t>Learners understand how skills gained link to real-world progression routes.</w:t>
      </w:r>
    </w:p>
    <w:p>
      <w:r>
        <w:t>Gatsby Benchmark 5 – Encounters with Employers and</w:t>
      </w:r>
    </w:p>
    <w:p>
      <w:r>
        <w:t>Employees</w:t>
      </w:r>
    </w:p>
    <w:p>
      <w:pPr>
        <w:pStyle w:val="ListBullet"/>
      </w:pPr>
      <w:r>
        <w:t>Where appropriate and safe, learners are supported to engage with:</w:t>
      </w:r>
    </w:p>
    <w:p>
      <w:r>
        <w:t>○ Employers</w:t>
      </w:r>
    </w:p>
    <w:p>
      <w:r>
        <w:t>○ Training providers</w:t>
      </w:r>
    </w:p>
    <w:p>
      <w:r>
        <w:t>○ Apprenticeship pathways</w:t>
      </w:r>
    </w:p>
    <w:p>
      <w:pPr>
        <w:pStyle w:val="ListBullet"/>
      </w:pPr>
      <w:r>
        <w:t>Encounters may be virtual, on-site, or supported introductions, reflecting learner</w:t>
      </w:r>
    </w:p>
    <w:p>
      <w:r>
        <w:t>readiness.</w:t>
      </w:r>
    </w:p>
    <w:p>
      <w:r>
        <w:t>Gatsby Benchmark 6 – Experiences of Workplaces</w:t>
      </w:r>
    </w:p>
    <w:p>
      <w:pPr>
        <w:pStyle w:val="ListBullet"/>
      </w:pPr>
      <w:r>
        <w:t>Work-related learning is adapted to learner need and risk profile.</w:t>
      </w:r>
    </w:p>
    <w:p>
      <w:pPr>
        <w:pStyle w:val="ListBullet"/>
      </w:pPr>
      <w:r>
        <w:t>This may include:</w:t>
      </w:r>
    </w:p>
    <w:p>
      <w:r>
        <w:t>○ Vocational tasters</w:t>
      </w:r>
    </w:p>
    <w:p>
      <w:r>
        <w:t>○ Simulated work activities</w:t>
      </w:r>
    </w:p>
    <w:p>
      <w:r>
        <w:br w:type="page"/>
      </w:r>
    </w:p>
    <w:p>
      <w:r>
        <w:t>○ Supported work-readiness experiences</w:t>
      </w:r>
    </w:p>
    <w:p>
      <w:pPr>
        <w:pStyle w:val="ListBullet"/>
      </w:pPr>
      <w:r>
        <w:t>All activities are risk-assessed and approved.</w:t>
      </w:r>
    </w:p>
    <w:p>
      <w:r>
        <w:t>Gatsby Benchmark 7 – Encounters with Further and Higher Education</w:t>
      </w:r>
    </w:p>
    <w:p>
      <w:pPr>
        <w:pStyle w:val="ListBullet"/>
      </w:pPr>
      <w:r>
        <w:t>Learners are supported to explore:</w:t>
      </w:r>
    </w:p>
    <w:p>
      <w:r>
        <w:t>○ Colleges and training providers</w:t>
      </w:r>
    </w:p>
    <w:p>
      <w:r>
        <w:t>○ Apprenticeships</w:t>
      </w:r>
    </w:p>
    <w:p>
      <w:r>
        <w:t>○ Supported internships</w:t>
      </w:r>
    </w:p>
    <w:p>
      <w:r>
        <w:t>○ Alternative progression routes</w:t>
      </w:r>
    </w:p>
    <w:p>
      <w:pPr>
        <w:pStyle w:val="ListBullet"/>
      </w:pPr>
      <w:r>
        <w:t>Information is shared in collaboration with schools and LAs.</w:t>
      </w:r>
    </w:p>
    <w:p>
      <w:r>
        <w:t>Gatsby Benchmark 8 – Personal Guidance</w:t>
      </w:r>
    </w:p>
    <w:p>
      <w:pPr>
        <w:pStyle w:val="ListBullet"/>
      </w:pPr>
      <w:r>
        <w:t>Learners receive 1:1 careers guidance appropriate to age, need, and placement</w:t>
      </w:r>
    </w:p>
    <w:p>
      <w:r>
        <w:t>duration.</w:t>
      </w:r>
    </w:p>
    <w:p>
      <w:pPr>
        <w:pStyle w:val="ListBullet"/>
      </w:pPr>
      <w:r>
        <w:t>Guidance is impartial, supportive, and outcome-focused.</w:t>
      </w:r>
    </w:p>
    <w:p>
      <w:pPr>
        <w:pStyle w:val="ListBullet"/>
      </w:pPr>
      <w:r>
        <w:t>Careers discussions are documented and shared with commissioning partners where</w:t>
      </w:r>
    </w:p>
    <w:p>
      <w:r>
        <w:t>required.</w:t>
      </w:r>
    </w:p>
    <w:p>
      <w:r>
        <w:rPr>
          <w:b/>
        </w:rPr>
        <w:t>5. CEIAG Delivery Model</w:t>
      </w:r>
    </w:p>
    <w:p>
      <w:r>
        <w:t>CEIAG is delivered through:</w:t>
      </w:r>
    </w:p>
    <w:p>
      <w:pPr>
        <w:pStyle w:val="ListBullet"/>
      </w:pPr>
      <w:r>
        <w:t>1:1 careers guidance sessions</w:t>
      </w:r>
    </w:p>
    <w:p>
      <w:pPr>
        <w:pStyle w:val="ListBullet"/>
      </w:pPr>
      <w:r>
        <w:t>Group employability and careers workshops</w:t>
      </w:r>
    </w:p>
    <w:p>
      <w:pPr>
        <w:pStyle w:val="ListBullet"/>
      </w:pPr>
      <w:r>
        <w:t>Vocational tasters and practical learning</w:t>
      </w:r>
    </w:p>
    <w:p>
      <w:pPr>
        <w:pStyle w:val="ListBullet"/>
      </w:pPr>
      <w:r>
        <w:t>CV writing and application support</w:t>
      </w:r>
    </w:p>
    <w:p>
      <w:r>
        <w:br w:type="page"/>
      </w:r>
    </w:p>
    <w:p>
      <w:pPr>
        <w:pStyle w:val="ListBullet"/>
      </w:pPr>
      <w:r>
        <w:t>Interview preparation and confidence building</w:t>
      </w:r>
    </w:p>
    <w:p>
      <w:pPr>
        <w:pStyle w:val="ListBullet"/>
      </w:pPr>
      <w:r>
        <w:t>Progression and transition planning</w:t>
      </w:r>
    </w:p>
    <w:p>
      <w:r>
        <w:t>Delivery is flexible and responsive to engagement, wellbeing, and safeguarding</w:t>
      </w:r>
    </w:p>
    <w:p>
      <w:r>
        <w:t>considerations.</w:t>
      </w:r>
    </w:p>
    <w:p>
      <w:r>
        <w:rPr>
          <w:b/>
        </w:rPr>
        <w:t>6. Impartiality and Equality</w:t>
      </w:r>
    </w:p>
    <w:p>
      <w:pPr>
        <w:pStyle w:val="ListBullet"/>
      </w:pPr>
      <w:r>
        <w:t>CEIAG at Empowering Futures is impartial and unbiased.</w:t>
      </w:r>
    </w:p>
    <w:p>
      <w:pPr>
        <w:pStyle w:val="ListBullet"/>
      </w:pPr>
      <w:r>
        <w:t>Learners are supported to consider all appropriate routes, including:</w:t>
      </w:r>
    </w:p>
    <w:p>
      <w:r>
        <w:t>○ Further education</w:t>
      </w:r>
    </w:p>
    <w:p>
      <w:r>
        <w:t>○ Apprenticeships</w:t>
      </w:r>
    </w:p>
    <w:p>
      <w:r>
        <w:t>○ Training providers</w:t>
      </w:r>
    </w:p>
    <w:p>
      <w:r>
        <w:t>○ Supported pathways</w:t>
      </w:r>
    </w:p>
    <w:p>
      <w:r>
        <w:t>○ Employment routes</w:t>
      </w:r>
    </w:p>
    <w:p>
      <w:r>
        <w:t>Reasonable adjustments are made in line with the Equality Act 2010.</w:t>
      </w:r>
    </w:p>
    <w:p>
      <w:r>
        <w:rPr>
          <w:b/>
        </w:rPr>
        <w:t>7. Safeguarding and CEIAG</w:t>
      </w:r>
    </w:p>
    <w:p>
      <w:pPr>
        <w:pStyle w:val="ListBullet"/>
      </w:pPr>
      <w:r>
        <w:t>CEIAG is delivered within a safeguarding framework.</w:t>
      </w:r>
    </w:p>
    <w:p>
      <w:pPr>
        <w:pStyle w:val="ListBullet"/>
      </w:pPr>
      <w:r>
        <w:t>Careers discussions may identify safeguarding or wellbeing concerns. ● All concerns</w:t>
      </w:r>
    </w:p>
    <w:p>
      <w:r>
        <w:t>are escalated in line with the Safeguarding and Child Protection Policy.</w:t>
      </w:r>
    </w:p>
    <w:p>
      <w:r>
        <w:rPr>
          <w:b/>
        </w:rPr>
        <w:t>8. Roles and Responsibilities</w:t>
      </w:r>
    </w:p>
    <w:p>
      <w:r>
        <w:br w:type="page"/>
      </w:r>
    </w:p>
    <w:p>
      <w:r>
        <w:t>Careers Lead</w:t>
      </w:r>
    </w:p>
    <w:p>
      <w:r>
        <w:t>Rhean White – Director</w:t>
      </w:r>
    </w:p>
    <w:p>
      <w:pPr>
        <w:pStyle w:val="ListBullet"/>
      </w:pPr>
      <w:r>
        <w:t>Overall responsibility for CEIAG strategy and quality</w:t>
      </w:r>
    </w:p>
    <w:p>
      <w:pPr>
        <w:pStyle w:val="ListBullet"/>
      </w:pPr>
      <w:r>
        <w:t>Ensures compliance with statutory guidance, Gatsby Benchmarks, and LA</w:t>
      </w:r>
    </w:p>
    <w:p>
      <w:r>
        <w:t>expectations</w:t>
      </w:r>
    </w:p>
    <w:p>
      <w:pPr>
        <w:pStyle w:val="ListBullet"/>
      </w:pPr>
      <w:r>
        <w:t>Oversees progression tracking and reporting</w:t>
      </w:r>
    </w:p>
    <w:p>
      <w:r>
        <w:t>Designated Safeguarding Lead (DSL)</w:t>
      </w:r>
    </w:p>
    <w:p>
      <w:r>
        <w:t>Rhean White – Director</w:t>
      </w:r>
    </w:p>
    <w:p>
      <w:pPr>
        <w:pStyle w:val="ListBullet"/>
      </w:pPr>
      <w:r>
        <w:t>Ensures CEIAG delivery aligns with safeguarding requirements</w:t>
      </w:r>
    </w:p>
    <w:p>
      <w:pPr>
        <w:pStyle w:val="ListBullet"/>
      </w:pPr>
      <w:r>
        <w:t>Leads on escalation where careers discussions raise safeguarding concerns</w:t>
      </w:r>
    </w:p>
    <w:p>
      <w:r>
        <w:t>Deputy Designated Safeguarding Lead (DDSL)</w:t>
      </w:r>
    </w:p>
    <w:p>
      <w:r>
        <w:t>Ra</w:t>
      </w:r>
    </w:p>
    <w:p>
      <w:pPr>
        <w:pStyle w:val="ListBullet"/>
      </w:pPr>
      <w:r>
        <w:t>Supports the DSL</w:t>
      </w:r>
    </w:p>
    <w:p>
      <w:pPr>
        <w:pStyle w:val="ListBullet"/>
      </w:pPr>
      <w:r>
        <w:t>Acts in the DSL’s absence</w:t>
      </w:r>
    </w:p>
    <w:p>
      <w:r>
        <w:t>Staff and Tutors</w:t>
      </w:r>
    </w:p>
    <w:p>
      <w:pPr>
        <w:pStyle w:val="ListBullet"/>
      </w:pPr>
      <w:r>
        <w:t>Embed careers learning within delivery</w:t>
      </w:r>
    </w:p>
    <w:p>
      <w:pPr>
        <w:pStyle w:val="ListBullet"/>
      </w:pPr>
      <w:r>
        <w:t>Support learners to explore realistic and aspirational pathways</w:t>
      </w:r>
    </w:p>
    <w:p>
      <w:pPr>
        <w:pStyle w:val="ListBullet"/>
      </w:pPr>
      <w:r>
        <w:t>Signpost learners to additional guidance where needed</w:t>
      </w:r>
    </w:p>
    <w:p>
      <w:r>
        <w:rPr>
          <w:b/>
        </w:rPr>
        <w:t>9. Local Authority Alignment</w:t>
      </w:r>
    </w:p>
    <w:p>
      <w:r>
        <w:br w:type="page"/>
      </w:r>
    </w:p>
    <w:p>
      <w:r>
        <w:t>Coventry CAP</w:t>
      </w:r>
    </w:p>
    <w:p>
      <w:pPr>
        <w:pStyle w:val="ListBullet"/>
      </w:pPr>
      <w:r>
        <w:t>CEIAG supports re-engagement, progression, and reintegration objectives</w:t>
      </w:r>
    </w:p>
    <w:p>
      <w:pPr>
        <w:pStyle w:val="ListBullet"/>
      </w:pPr>
      <w:r>
        <w:t>Careers outcomes are shared through CAP reviews and reports</w:t>
      </w:r>
    </w:p>
    <w:p>
      <w:pPr>
        <w:pStyle w:val="ListBullet"/>
      </w:pPr>
      <w:r>
        <w:t>Provision aligns with Coventry’s focus on reducing NEET and improving post-16</w:t>
      </w:r>
    </w:p>
    <w:p>
      <w:r>
        <w:t>readiness</w:t>
      </w:r>
    </w:p>
    <w:p>
      <w:r>
        <w:t>Birmingham Commissioning</w:t>
      </w:r>
    </w:p>
    <w:p>
      <w:pPr>
        <w:pStyle w:val="ListBullet"/>
      </w:pPr>
      <w:r>
        <w:t>CEIAG supports employability, vocational progression, and transition planning ●</w:t>
      </w:r>
    </w:p>
    <w:p>
      <w:r>
        <w:t>Careers guidance aligns with Birmingham safeguarding and inclusion priorities ●</w:t>
      </w:r>
    </w:p>
    <w:p>
      <w:r>
        <w:t>Progression planning supports commissioning outcomes and reporting requirements</w:t>
      </w:r>
    </w:p>
    <w:p>
      <w:r>
        <w:rPr>
          <w:b/>
        </w:rPr>
        <w:t>10. Information Sharing and Partnerships</w:t>
      </w:r>
    </w:p>
    <w:p>
      <w:pPr>
        <w:pStyle w:val="ListBullet"/>
      </w:pPr>
      <w:r>
        <w:t>Careers information is shared appropriately with:</w:t>
      </w:r>
    </w:p>
    <w:p>
      <w:r>
        <w:t>○ Referring schools</w:t>
      </w:r>
    </w:p>
    <w:p>
      <w:r>
        <w:t>○ Local Authorities</w:t>
      </w:r>
    </w:p>
    <w:p>
      <w:r>
        <w:t>○ Parents/carers (where appropriate)</w:t>
      </w:r>
    </w:p>
    <w:p>
      <w:pPr>
        <w:pStyle w:val="ListBullet"/>
      </w:pPr>
      <w:r>
        <w:t>Empowering Futures works with:</w:t>
      </w:r>
    </w:p>
    <w:p>
      <w:r>
        <w:t>○ Colleges and training providers</w:t>
      </w:r>
    </w:p>
    <w:p>
      <w:r>
        <w:t>○ Apprenticeship providers</w:t>
      </w:r>
    </w:p>
    <w:p>
      <w:r>
        <w:t>○ Employers and community partners</w:t>
      </w:r>
    </w:p>
    <w:p>
      <w:r>
        <w:t>All information sharing complies with GDPR and data protection legislation.</w:t>
      </w:r>
    </w:p>
    <w:p>
      <w:r>
        <w:rPr>
          <w:b/>
        </w:rPr>
        <w:t>11. Monitoring and Review</w:t>
      </w:r>
    </w:p>
    <w:p>
      <w:r>
        <w:br w:type="page"/>
      </w:r>
    </w:p>
    <w:p>
      <w:pPr>
        <w:pStyle w:val="ListBullet"/>
      </w:pPr>
      <w:r>
        <w:t>CEIAG provision is reviewed regularly.</w:t>
      </w:r>
    </w:p>
    <w:p>
      <w:pPr>
        <w:pStyle w:val="ListBullet"/>
      </w:pPr>
      <w:r>
        <w:t>Learner engagement, destinations, and progression outcomes are monitored.</w:t>
      </w:r>
    </w:p>
    <w:p>
      <w:pPr>
        <w:pStyle w:val="ListBullet"/>
      </w:pPr>
      <w:r>
        <w:t>Feedback informs continuous improvement.</w:t>
      </w:r>
    </w:p>
    <w:p>
      <w:r>
        <w:rPr>
          <w:b/>
        </w:rPr>
        <w:t>12. Policy Review</w:t>
      </w:r>
    </w:p>
    <w:p>
      <w:r>
        <w:t>This policy is reviewed annually or sooner if:</w:t>
      </w:r>
    </w:p>
    <w:p>
      <w:pPr>
        <w:pStyle w:val="ListBullet"/>
      </w:pPr>
      <w:r>
        <w:t>Statutory guidance changes</w:t>
      </w:r>
    </w:p>
    <w:p>
      <w:pPr>
        <w:pStyle w:val="ListBullet"/>
      </w:pPr>
      <w:r>
        <w:t>Local Authority commissioning requirements are updated</w:t>
      </w:r>
    </w:p>
    <w:p>
      <w:pPr>
        <w:pStyle w:val="ListBullet"/>
      </w:pPr>
      <w:r>
        <w:t>Quality assurance processes identify the need for review</w:t>
      </w:r>
    </w:p>
    <w:p>
      <w:r>
        <w:rPr>
          <w:b/>
        </w:rPr>
        <w:t>13. Related Policies</w:t>
      </w:r>
    </w:p>
    <w:p>
      <w:pPr>
        <w:pStyle w:val="ListBullet"/>
      </w:pPr>
      <w:r>
        <w:t>Safeguarding and Child Protection Policy</w:t>
      </w:r>
    </w:p>
    <w:p>
      <w:pPr>
        <w:pStyle w:val="ListBullet"/>
      </w:pPr>
      <w:r>
        <w:t>Attendance Policy</w:t>
      </w:r>
    </w:p>
    <w:p>
      <w:pPr>
        <w:pStyle w:val="ListBullet"/>
      </w:pPr>
      <w:r>
        <w:t>SEND Policy</w:t>
      </w:r>
    </w:p>
    <w:p>
      <w:pPr>
        <w:pStyle w:val="ListBullet"/>
      </w:pPr>
      <w:r>
        <w:t>Behaviour Policy</w:t>
      </w:r>
    </w:p>
    <w:p>
      <w:pPr>
        <w:pStyle w:val="ListBullet"/>
      </w:pPr>
      <w:r>
        <w:t>Equality and Diversity Policy</w:t>
      </w:r>
    </w:p>
    <w:p>
      <w:pPr>
        <w:pStyle w:val="ListBullet"/>
      </w:pPr>
      <w:r>
        <w:t>Data Protection Policy</w:t>
      </w:r>
    </w:p>
    <w:p>
      <w:r>
        <w:br w:type="page"/>
      </w:r>
    </w:p>
    <w:p>
      <w:r>
        <w:rPr>
          <w:b/>
        </w:rPr>
        <w:t>2026–27 POLICY ALIGNMENT</w:t>
      </w:r>
    </w:p>
    <w:p>
      <w:r>
        <w:t>This policy applies consistently across Empowering Futures sites in Coventry, Birmingham, Walsall and Dudley, including full-time, part-time, phased, blended, vocational, community and post-16 provision where applicable.</w:t>
      </w:r>
    </w:p>
    <w:p>
      <w:r>
        <w:t>The policy is aligned with the Education Act 1997 (including Section 42A), Education and Skills Act 2008, Equality Act 2010, Keeping Children Safe in Education (KCSIE) 2026, Working Together to Safeguard Children 2026, current DfE statutory careers guidance and access requirements, Gatsby Benchmarks and applicable Local Authority Alternative Provision commissioning requirements.</w:t>
      </w:r>
    </w:p>
    <w:p>
      <w:r>
        <w:t>CEIAG will be impartial, personalised, accessible and progression-focused. Learners will be supported to consider appropriate education, training, apprenticeships, employment, supported internships and other progression routes without being directed towards a particular provider for reasons unrelated to their needs or interests.</w:t>
      </w:r>
    </w:p>
    <w:p>
      <w:r>
        <w:t>Careers planning will take account of individual learner circumstances, including SEND, EHCP outcomes, SEMH, anxiety, disrupted education, attendance, confidence, communication needs and other barriers to progression.</w:t>
      </w:r>
    </w:p>
    <w:p>
      <w:r>
        <w:t>The eight Gatsby Benchmarks remain the organising framework for CEIAG, adapted appropriately for Alternative Provision. Provision will be documented through learner placement plans, reviews, progress reports and progression records and quality-assured through leadership oversight.</w:t>
      </w:r>
    </w:p>
    <w:p>
      <w:r>
        <w:t>Labour-market information will be kept current and presented in accessible formats. Where appropriate, learners will be supported to understand local and regional employment sectors, skills shortages, vocational and technical routes, apprenticeships and progression opportunities.</w:t>
      </w:r>
    </w:p>
    <w:p>
      <w:r>
        <w:t>Employer, employee, college and training-provider encounters will be risk assessed and safeguarding checked where appropriate. Work-related learning, vocational tasters, simulated work activities and supported workplace experiences will be matched to learner readiness and risk.</w:t>
      </w:r>
    </w:p>
    <w:p>
      <w:r>
        <w:t>Personal careers guidance will be offered in a way that is appropriate to age, need and placement duration. Careers discussions will be recorded appropriately and shared with commissioning partners where there is a lawful and legitimate basis for doing so.</w:t>
      </w:r>
    </w:p>
    <w:p>
      <w:r>
        <w:t>Where CEIAG identifies a safeguarding, welfare or wellbeing concern, staff must follow the Safeguarding and Child Protection Policy immediately. Careers guidance must never be used to overlook a safeguarding concern.</w:t>
      </w:r>
    </w:p>
    <w:p>
      <w:r>
        <w:t>Information may be shared with referring schools, Local Authorities, parents/carers, colleges, training providers, apprenticeship providers, employers and community partners where appropriate and lawful. Information sharing will comply with data-protection requirements and be proportionate to the purpose.</w:t>
      </w:r>
    </w:p>
    <w:p>
      <w:r>
        <w:t>CEIAG outcomes will be monitored through learner engagement, destination data, progression outcomes, feedback, reviews and quality assurance. Where a learner is at risk of becoming NEET, additional targeted progression support will be considered.</w:t>
      </w:r>
    </w:p>
    <w:p>
      <w:r>
        <w:t>This policy will be reviewed annually, or sooner where statutory careers guidance, safeguarding guidance, Gatsby expectations, Local Authority commissioning requirements or quality-assurance findings change.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