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9F42B">
      <w:pPr>
        <w:pStyle w:val="2"/>
        <w:keepNext w:val="0"/>
        <w:keepLines w:val="0"/>
        <w:widowControl/>
        <w:suppressLineNumbers w:val="0"/>
        <w:jc w:val="center"/>
        <w:rPr>
          <w:rFonts w:hint="default" w:ascii="Calibri" w:hAnsi="Calibri" w:cs="Calibri"/>
          <w:color w:val="203864" w:themeColor="accent5" w:themeShade="80"/>
        </w:rPr>
      </w:pPr>
      <w:r>
        <w:rPr>
          <w:rStyle w:val="10"/>
          <w:rFonts w:hint="default" w:ascii="Calibri" w:hAnsi="Calibri" w:cs="Calibri"/>
          <w:b/>
          <w:bCs/>
          <w:color w:val="203864" w:themeColor="accent5" w:themeShade="80"/>
        </w:rPr>
        <w:t>LHC Revenue Solutions</w:t>
      </w:r>
    </w:p>
    <w:p w14:paraId="061FE752">
      <w:pPr>
        <w:pStyle w:val="3"/>
        <w:keepNext w:val="0"/>
        <w:keepLines w:val="0"/>
        <w:widowControl/>
        <w:suppressLineNumbers w:val="0"/>
        <w:jc w:val="center"/>
        <w:rPr>
          <w:rFonts w:hint="default" w:ascii="Calibri" w:hAnsi="Calibri" w:cs="Calibri"/>
          <w:i w:val="0"/>
          <w:iCs w:val="0"/>
          <w:color w:val="203864" w:themeColor="accent5" w:themeShade="80"/>
        </w:rPr>
      </w:pPr>
      <w:r>
        <w:rPr>
          <w:rStyle w:val="6"/>
          <w:rFonts w:hint="default" w:ascii="Calibri" w:hAnsi="Calibri" w:cs="Calibri"/>
          <w:i w:val="0"/>
          <w:iCs w:val="0"/>
          <w:color w:val="203864" w:themeColor="accent5" w:themeShade="80"/>
        </w:rPr>
        <w:t>Medical Billing Solutions</w:t>
      </w:r>
    </w:p>
    <w:p w14:paraId="1733EC0D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color w:val="203864" w:themeColor="accent5" w:themeShade="80"/>
        </w:rPr>
      </w:pPr>
      <w:r>
        <w:rPr>
          <w:rStyle w:val="10"/>
          <w:rFonts w:hint="default" w:ascii="Calibri" w:hAnsi="Calibri" w:cs="Calibri"/>
          <w:b/>
          <w:bCs/>
          <w:color w:val="203864" w:themeColor="accent5" w:themeShade="80"/>
        </w:rPr>
        <w:t>The Challenge</w:t>
      </w:r>
    </w:p>
    <w:p w14:paraId="625A7955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Most medical practices lose thousands each year to avoidable issues:</w:t>
      </w:r>
    </w:p>
    <w:p w14:paraId="692B16EA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Denied or delayed claims</w:t>
      </w:r>
    </w:p>
    <w:p w14:paraId="729BC952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Inconsistent follow-up</w:t>
      </w:r>
    </w:p>
    <w:p w14:paraId="5D2E59A0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Understaffed billing departments</w:t>
      </w:r>
    </w:p>
    <w:p w14:paraId="6EAD02BF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Complex payer rules and compliance changes</w:t>
      </w:r>
    </w:p>
    <w:p w14:paraId="65B65430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These obstacles block cash flow, overwhelm staff, and limit your practice’s growth potential.</w:t>
      </w:r>
    </w:p>
    <w:p w14:paraId="69BEBEB0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color w:val="203864" w:themeColor="accent5" w:themeShade="80"/>
        </w:rPr>
      </w:pPr>
      <w:r>
        <w:rPr>
          <w:rStyle w:val="10"/>
          <w:rFonts w:hint="default" w:ascii="Calibri" w:hAnsi="Calibri" w:cs="Calibri"/>
          <w:b/>
          <w:bCs/>
          <w:color w:val="203864" w:themeColor="accent5" w:themeShade="80"/>
        </w:rPr>
        <w:t>How I Help</w:t>
      </w:r>
    </w:p>
    <w:p w14:paraId="6590E68B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With 22 years of healthcare experience — including medical assisting, instruction, and revenue cycle management — I simplify your billing process from claim to payment.</w:t>
      </w:r>
    </w:p>
    <w:p w14:paraId="5770C4DA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• </w:t>
      </w:r>
      <w:r>
        <w:rPr>
          <w:rStyle w:val="10"/>
          <w:rFonts w:hint="default" w:ascii="Calibri" w:hAnsi="Calibri" w:cs="Calibri"/>
        </w:rPr>
        <w:t>Clean Claims = Faster Payments</w:t>
      </w:r>
      <w:r>
        <w:rPr>
          <w:rFonts w:hint="default" w:ascii="Calibri" w:hAnsi="Calibri" w:cs="Calibri"/>
        </w:rPr>
        <w:t xml:space="preserve"> — Every claim is coded, submitted, and tracked accurately.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• </w:t>
      </w:r>
      <w:r>
        <w:rPr>
          <w:rStyle w:val="10"/>
          <w:rFonts w:hint="default" w:ascii="Calibri" w:hAnsi="Calibri" w:cs="Calibri"/>
        </w:rPr>
        <w:t>Active Follow-Up</w:t>
      </w:r>
      <w:r>
        <w:rPr>
          <w:rFonts w:hint="default" w:ascii="Calibri" w:hAnsi="Calibri" w:cs="Calibri"/>
        </w:rPr>
        <w:t xml:space="preserve"> — Denials are managed, appealed, and resolved quickly.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• </w:t>
      </w:r>
      <w:r>
        <w:rPr>
          <w:rStyle w:val="10"/>
          <w:rFonts w:hint="default" w:ascii="Calibri" w:hAnsi="Calibri" w:cs="Calibri"/>
        </w:rPr>
        <w:t>Transparent Reporting</w:t>
      </w:r>
      <w:r>
        <w:rPr>
          <w:rFonts w:hint="default" w:ascii="Calibri" w:hAnsi="Calibri" w:cs="Calibri"/>
        </w:rPr>
        <w:t xml:space="preserve"> — You always know where your revenue stands.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• </w:t>
      </w:r>
      <w:r>
        <w:rPr>
          <w:rStyle w:val="10"/>
          <w:rFonts w:hint="default" w:ascii="Calibri" w:hAnsi="Calibri" w:cs="Calibri"/>
        </w:rPr>
        <w:t>Compliance You Can Trust</w:t>
      </w:r>
      <w:r>
        <w:rPr>
          <w:rFonts w:hint="default" w:ascii="Calibri" w:hAnsi="Calibri" w:cs="Calibri"/>
        </w:rPr>
        <w:t xml:space="preserve"> — HIPAA-aligned processes that protect your patients and your business.</w:t>
      </w:r>
    </w:p>
    <w:p w14:paraId="7FA902C9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color w:val="203864" w:themeColor="accent5" w:themeShade="80"/>
        </w:rPr>
      </w:pPr>
      <w:r>
        <w:rPr>
          <w:rStyle w:val="10"/>
          <w:rFonts w:hint="default" w:ascii="Calibri" w:hAnsi="Calibri" w:cs="Calibri"/>
          <w:b/>
          <w:bCs/>
          <w:color w:val="203864" w:themeColor="accent5" w:themeShade="80"/>
        </w:rPr>
        <w:t>What You Can Expect</w:t>
      </w:r>
    </w:p>
    <w:p w14:paraId="1A5D3AAD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✔ Predictable, consistent cash flow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✔ Reduced denials and faster reimbursements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✔ Clear visibility into your financial health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✔ More time to focus on patient care</w:t>
      </w:r>
    </w:p>
    <w:p w14:paraId="70BF89AB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color w:val="203864" w:themeColor="accent5" w:themeShade="80"/>
        </w:rPr>
      </w:pPr>
      <w:r>
        <w:rPr>
          <w:rStyle w:val="10"/>
          <w:rFonts w:hint="default" w:ascii="Calibri" w:hAnsi="Calibri" w:cs="Calibri"/>
          <w:b/>
          <w:bCs/>
          <w:color w:val="203864" w:themeColor="accent5" w:themeShade="80"/>
        </w:rPr>
        <w:t>Let’s Elevate Your Revenue</w:t>
      </w:r>
    </w:p>
    <w:p w14:paraId="535BC7CC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Your practice deserves systems that bring ease, flow, and abundance.</w:t>
      </w:r>
    </w:p>
    <w:p w14:paraId="18C7C529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10"/>
          <w:rFonts w:hint="default" w:ascii="Calibri" w:hAnsi="Calibri" w:cs="Calibri"/>
        </w:rPr>
        <w:t>Book a Cash-Flow Review</w:t>
      </w:r>
      <w:r>
        <w:rPr>
          <w:rFonts w:hint="default" w:ascii="Calibri" w:hAnsi="Calibri" w:cs="Calibri"/>
        </w:rPr>
        <w:t xml:space="preserve"> to identify where you can recover lost revenue and create financial clarity.</w:t>
      </w:r>
    </w:p>
    <w:p w14:paraId="3758A030"/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BA6A">
    <w:pPr>
      <w:pStyle w:val="7"/>
      <w:rPr>
        <w:color w:val="auto"/>
      </w:rPr>
    </w:pPr>
    <w:r>
      <w:rPr>
        <w:rStyle w:val="10"/>
        <w:rFonts w:ascii="SimSun" w:hAnsi="SimSun" w:eastAsia="SimSun" w:cs="SimSun"/>
        <w:color w:val="auto"/>
        <w:sz w:val="24"/>
        <w:szCs w:val="24"/>
      </w:rPr>
      <w:t>LHC Revenue Solutions</w:t>
    </w:r>
    <w:r>
      <w:rPr>
        <w:rStyle w:val="10"/>
        <w:rFonts w:hint="default" w:ascii="SimSun" w:hAnsi="SimSun" w:eastAsia="SimSun" w:cs="SimSun"/>
        <w:color w:val="auto"/>
        <w:sz w:val="24"/>
        <w:szCs w:val="24"/>
        <w:lang w:val="en-US"/>
      </w:rPr>
      <w:t xml:space="preserve">  </w:t>
    </w:r>
    <w:r>
      <w:rPr>
        <w:rFonts w:ascii="SimSun" w:hAnsi="SimSun" w:eastAsia="SimSun" w:cs="SimSun"/>
        <w:color w:val="auto"/>
        <w:sz w:val="24"/>
        <w:szCs w:val="24"/>
      </w:rPr>
      <w:t>linaheredialc@gmail.com | 📞 862-261-2261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E28BD">
    <w:pPr>
      <w:pStyle w:val="8"/>
    </w:pPr>
    <w:bookmarkStart w:id="0" w:name="_GoBack"/>
  </w:p>
  <w:bookmarkEnd w:id="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35126E"/>
    <w:multiLevelType w:val="singleLevel"/>
    <w:tmpl w:val="C635126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137C8"/>
    <w:rsid w:val="185137C8"/>
    <w:rsid w:val="3369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2025-11-09T21:25:00Z</dcterms:created>
  <dc:creator>google1562808890</dc:creator>
  <cp:lastModifiedBy>google1562808890</cp:lastModifiedBy>
  <dcterms:modified xsi:type="dcterms:W3CDTF">2025-11-09T21:45:02Z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E24DBE8B8AE24D7294FC0C0ED7F154CA_11</vt:lpwstr>
  </property>
</Properties>
</file>