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White Paper 1: Revolutionizing Education with the Dual AI Flipped Classroom Model</w:t>
      </w:r>
    </w:p>
    <w:p w:rsidR="00000000" w:rsidDel="00000000" w:rsidP="00000000" w:rsidRDefault="00000000" w:rsidRPr="00000000" w14:paraId="00000002">
      <w:pPr>
        <w:rPr/>
      </w:pPr>
      <w:r w:rsidDel="00000000" w:rsidR="00000000" w:rsidRPr="00000000">
        <w:rPr>
          <w:rtl w:val="0"/>
        </w:rPr>
        <w:t xml:space="preserve">Executive Summary</w:t>
        <w:br w:type="textWrapping"/>
      </w:r>
    </w:p>
    <w:p w:rsidR="00000000" w:rsidDel="00000000" w:rsidP="00000000" w:rsidRDefault="00000000" w:rsidRPr="00000000" w14:paraId="00000003">
      <w:pPr>
        <w:spacing w:after="240" w:before="240" w:lineRule="auto"/>
        <w:rPr/>
      </w:pPr>
      <w:r w:rsidDel="00000000" w:rsidR="00000000" w:rsidRPr="00000000">
        <w:rPr>
          <w:rtl w:val="0"/>
        </w:rPr>
        <w:t xml:space="preserve">The Dual AI Flipped Classroom Model integrates the flipped classroom approach with dual artificial intelligence (AI) systems—a knowledgeable Teacher AI (trained AI) and a Learner AI (Untrained Transformer AI)—to enhance learning through active teaching. Learners prepare with self-paced materials outside class, then train the Learner AI in sessions, consulting the Teacher AI for guidance. This leverages the principle of learning by teaching, aiming for the Learner AI to pass a mastery test, thereby demonstrating the learner's competence. Applicable to K-12 schools, universities, and lifelong learners, the model boosts engagement, retention, and personalization amid 2025 AI education trends. Challenges like technical access and motivation are addressed via intuitive platforms and gamification. As AI reshapes education with personalized tools and predictive analytics, this model fosters deeper, inclusive learning.</w:t>
      </w:r>
    </w:p>
    <w:p w:rsidR="00000000" w:rsidDel="00000000" w:rsidP="00000000" w:rsidRDefault="00000000" w:rsidRPr="00000000" w14:paraId="00000004">
      <w:pPr>
        <w:rPr/>
      </w:pPr>
      <w:r w:rsidDel="00000000" w:rsidR="00000000" w:rsidRPr="00000000">
        <w:rPr>
          <w:rtl w:val="0"/>
        </w:rPr>
        <w:t xml:space="preserve">Introduction</w:t>
        <w:br w:type="textWrapping"/>
      </w:r>
    </w:p>
    <w:p w:rsidR="00000000" w:rsidDel="00000000" w:rsidP="00000000" w:rsidRDefault="00000000" w:rsidRPr="00000000" w14:paraId="00000005">
      <w:pPr>
        <w:spacing w:after="240" w:before="240" w:lineRule="auto"/>
        <w:rPr/>
      </w:pPr>
      <w:r w:rsidDel="00000000" w:rsidR="00000000" w:rsidRPr="00000000">
        <w:rPr>
          <w:rtl w:val="0"/>
        </w:rPr>
        <w:t xml:space="preserve">Passive learning in traditional models limits engagement and personalization. The flipped classroom shifts content delivery to pre-class activities, enabling interactive application in class. Amid 2025 trends, AI enhances this with intelligent tutoring, immersive experiences, and data-driven insights, addressing educational challenges like equity and skill gaps [1]. This white paper explores the Dual AI model, targeting schools for core skills, universities for specialized topics, and lifelong learners for ongoing development.</w:t>
      </w:r>
    </w:p>
    <w:p w:rsidR="00000000" w:rsidDel="00000000" w:rsidP="00000000" w:rsidRDefault="00000000" w:rsidRPr="00000000" w14:paraId="00000006">
      <w:pPr>
        <w:rPr/>
      </w:pPr>
      <w:r w:rsidDel="00000000" w:rsidR="00000000" w:rsidRPr="00000000">
        <w:rPr>
          <w:rtl w:val="0"/>
        </w:rPr>
        <w:t xml:space="preserve">The Flipped Classroom Foundation</w:t>
        <w:br w:type="textWrapping"/>
      </w:r>
    </w:p>
    <w:p w:rsidR="00000000" w:rsidDel="00000000" w:rsidP="00000000" w:rsidRDefault="00000000" w:rsidRPr="00000000" w14:paraId="00000007">
      <w:pPr>
        <w:spacing w:after="240" w:before="240" w:lineRule="auto"/>
        <w:rPr/>
      </w:pPr>
      <w:r w:rsidDel="00000000" w:rsidR="00000000" w:rsidRPr="00000000">
        <w:rPr>
          <w:rtl w:val="0"/>
        </w:rPr>
        <w:t xml:space="preserve">In flipped classrooms, students access lectures via videos or readings at home, using class time for collaboration and problem-solving. Benefits include increased satisfaction, self-directed learning, better retention, and active engagement, with research showing improved outcomes in knowledge application and critical thinking [2]. A meta-analysis of 95 studies found that flipped classrooms have a moderate positive effect on student performance, equivalent to half a standard deviation improvement [3]. It supports flexibility in hybrid environments and fosters collaboration. Additional evidence from health professional programs indicates enhanced academic performance and student satisfaction [4].</w:t>
      </w:r>
    </w:p>
    <w:p w:rsidR="00000000" w:rsidDel="00000000" w:rsidP="00000000" w:rsidRDefault="00000000" w:rsidRPr="00000000" w14:paraId="00000008">
      <w:pPr>
        <w:rPr/>
      </w:pPr>
      <w:r w:rsidDel="00000000" w:rsidR="00000000" w:rsidRPr="00000000">
        <w:rPr>
          <w:rtl w:val="0"/>
        </w:rPr>
        <w:t xml:space="preserve">Integrating Dual AI: The Teacher and Learner Framework</w:t>
        <w:br w:type="textWrapping"/>
      </w:r>
    </w:p>
    <w:p w:rsidR="00000000" w:rsidDel="00000000" w:rsidP="00000000" w:rsidRDefault="00000000" w:rsidRPr="00000000" w14:paraId="00000009">
      <w:pPr>
        <w:spacing w:after="240" w:before="240" w:lineRule="auto"/>
        <w:rPr/>
      </w:pPr>
      <w:r w:rsidDel="00000000" w:rsidR="00000000" w:rsidRPr="00000000">
        <w:rPr>
          <w:rtl w:val="0"/>
        </w:rPr>
        <w:t xml:space="preserve">The Teacher AI (trained AI), equipped with expert knowledge, monitors the Learner AI's progress and collaborates with learners to create tailored teaching plans based on skills and gaps. The Learner AI (Untrained Transformer AI), starting untrained, learns exclusively from learner inputs like explanations and responses to its questions. This Learner AI is based on transformer architectures, such as those underlying models like GPT variants, which use self-attention mechanisms to process sequential data and generate context-aware responses, enabling it to adapt dynamically during interactions [5]. Learners may pursue concurrent training but consult the Teacher AI if stumped before teaching the Learner AI. This aligns with 2025 AI trends like personalized paths and intelligent systems, where AI-driven tutoring systems are increasingly used for adaptive learning in K-12 and higher education [6]. The Learner AI's test evaluates mastery, reflecting the learner's understanding, with studies showing that learning by teaching enhances retention and understanding more effectively than passive methods [7].</w:t>
      </w:r>
    </w:p>
    <w:p w:rsidR="00000000" w:rsidDel="00000000" w:rsidP="00000000" w:rsidRDefault="00000000" w:rsidRPr="00000000" w14:paraId="0000000A">
      <w:pPr>
        <w:spacing w:after="240" w:before="240" w:lineRule="auto"/>
        <w:rPr/>
      </w:pPr>
      <w:r w:rsidDel="00000000" w:rsidR="00000000" w:rsidRPr="00000000">
        <w:rPr>
          <w:rtl w:val="0"/>
        </w:rPr>
        <w:t xml:space="preserve">How It Works</w:t>
      </w:r>
    </w:p>
    <w:p w:rsidR="00000000" w:rsidDel="00000000" w:rsidP="00000000" w:rsidRDefault="00000000" w:rsidRPr="00000000" w14:paraId="0000000B">
      <w:pPr>
        <w:spacing w:after="240" w:before="240" w:lineRule="auto"/>
        <w:rPr/>
      </w:pPr>
      <w:r w:rsidDel="00000000" w:rsidR="00000000" w:rsidRPr="00000000">
        <w:rPr>
          <w:rtl w:val="0"/>
        </w:rPr>
        <w:t xml:space="preserve">Below is a text-based flowchart illustrating the process flow for clarity:</w:t>
      </w:r>
    </w:p>
    <w:p w:rsidR="00000000" w:rsidDel="00000000" w:rsidP="00000000" w:rsidRDefault="00000000" w:rsidRPr="00000000" w14:paraId="0000000C">
      <w:pPr>
        <w:rPr/>
      </w:pPr>
      <w:r w:rsidDel="00000000" w:rsidR="00000000" w:rsidRPr="00000000">
        <w:rPr>
          <w:rtl w:val="0"/>
        </w:rPr>
        <w:t xml:space="preserve">text</w:t>
      </w:r>
    </w:p>
    <w:p w:rsidR="00000000" w:rsidDel="00000000" w:rsidP="00000000" w:rsidRDefault="00000000" w:rsidRPr="00000000" w14:paraId="0000000D">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      +-------------------+</w:t>
      </w:r>
    </w:p>
    <w:p w:rsidR="00000000" w:rsidDel="00000000" w:rsidP="00000000" w:rsidRDefault="00000000" w:rsidRPr="00000000" w14:paraId="0000000E">
      <w:pPr>
        <w:spacing w:line="360" w:lineRule="auto"/>
        <w:rPr>
          <w:rFonts w:ascii="Roboto Mono" w:cs="Roboto Mono" w:eastAsia="Roboto Mono" w:hAnsi="Roboto Mono"/>
          <w:color w:val="188038"/>
          <w:sz w:val="20"/>
          <w:szCs w:val="20"/>
        </w:rPr>
      </w:pPr>
      <w:r w:rsidDel="00000000" w:rsidR="00000000" w:rsidRPr="00000000">
        <w:rPr>
          <w:rtl w:val="0"/>
        </w:rPr>
      </w:r>
    </w:p>
    <w:p w:rsidR="00000000" w:rsidDel="00000000" w:rsidP="00000000" w:rsidRDefault="00000000" w:rsidRPr="00000000" w14:paraId="0000000F">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Pre-Class         |      | In-Class          |      | Guidance Loop     |</w:t>
      </w:r>
    </w:p>
    <w:p w:rsidR="00000000" w:rsidDel="00000000" w:rsidP="00000000" w:rsidRDefault="00000000" w:rsidRPr="00000000" w14:paraId="00000010">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Preparation       | ---&gt; | Training          | ---&gt; | (Teacher AI)      |</w:t>
      </w:r>
    </w:p>
    <w:p w:rsidR="00000000" w:rsidDel="00000000" w:rsidP="00000000" w:rsidRDefault="00000000" w:rsidRPr="00000000" w14:paraId="00000011">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Engage with       |      | Teach Learner AI  |      | Assess progress,  |</w:t>
      </w:r>
    </w:p>
    <w:p w:rsidR="00000000" w:rsidDel="00000000" w:rsidP="00000000" w:rsidRDefault="00000000" w:rsidRPr="00000000" w14:paraId="00000012">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materials at home |      | concepts; it poses|      | develop plans,    |</w:t>
      </w:r>
    </w:p>
    <w:p w:rsidR="00000000" w:rsidDel="00000000" w:rsidP="00000000" w:rsidRDefault="00000000" w:rsidRPr="00000000" w14:paraId="00000013">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      | questions on gaps |      | teach learner if  |</w:t>
      </w:r>
    </w:p>
    <w:p w:rsidR="00000000" w:rsidDel="00000000" w:rsidP="00000000" w:rsidRDefault="00000000" w:rsidRPr="00000000" w14:paraId="00000014">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      | needed for relay  |</w:t>
      </w:r>
    </w:p>
    <w:p w:rsidR="00000000" w:rsidDel="00000000" w:rsidP="00000000" w:rsidRDefault="00000000" w:rsidRPr="00000000" w14:paraId="00000015">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w:t>
      </w:r>
    </w:p>
    <w:p w:rsidR="00000000" w:rsidDel="00000000" w:rsidP="00000000" w:rsidRDefault="00000000" w:rsidRPr="00000000" w14:paraId="00000016">
      <w:pPr>
        <w:spacing w:line="360" w:lineRule="auto"/>
        <w:rPr>
          <w:rFonts w:ascii="Roboto Mono" w:cs="Roboto Mono" w:eastAsia="Roboto Mono" w:hAnsi="Roboto Mono"/>
          <w:color w:val="188038"/>
          <w:sz w:val="20"/>
          <w:szCs w:val="20"/>
        </w:rPr>
      </w:pPr>
      <w:r w:rsidDel="00000000" w:rsidR="00000000" w:rsidRPr="00000000">
        <w:rPr>
          <w:rtl w:val="0"/>
        </w:rPr>
      </w:r>
    </w:p>
    <w:p w:rsidR="00000000" w:rsidDel="00000000" w:rsidP="00000000" w:rsidRDefault="00000000" w:rsidRPr="00000000" w14:paraId="00000017">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w:t>
      </w:r>
    </w:p>
    <w:p w:rsidR="00000000" w:rsidDel="00000000" w:rsidP="00000000" w:rsidRDefault="00000000" w:rsidRPr="00000000" w14:paraId="00000018">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v</w:t>
      </w:r>
    </w:p>
    <w:p w:rsidR="00000000" w:rsidDel="00000000" w:rsidP="00000000" w:rsidRDefault="00000000" w:rsidRPr="00000000" w14:paraId="00000019">
      <w:pPr>
        <w:spacing w:line="360" w:lineRule="auto"/>
        <w:rPr>
          <w:rFonts w:ascii="Roboto Mono" w:cs="Roboto Mono" w:eastAsia="Roboto Mono" w:hAnsi="Roboto Mono"/>
          <w:color w:val="188038"/>
          <w:sz w:val="20"/>
          <w:szCs w:val="20"/>
        </w:rPr>
      </w:pPr>
      <w:r w:rsidDel="00000000" w:rsidR="00000000" w:rsidRPr="00000000">
        <w:rPr>
          <w:rtl w:val="0"/>
        </w:rPr>
      </w:r>
    </w:p>
    <w:p w:rsidR="00000000" w:rsidDel="00000000" w:rsidP="00000000" w:rsidRDefault="00000000" w:rsidRPr="00000000" w14:paraId="0000001A">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w:t>
      </w:r>
    </w:p>
    <w:p w:rsidR="00000000" w:rsidDel="00000000" w:rsidP="00000000" w:rsidRDefault="00000000" w:rsidRPr="00000000" w14:paraId="0000001B">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 Assessment        |</w:t>
      </w:r>
    </w:p>
    <w:p w:rsidR="00000000" w:rsidDel="00000000" w:rsidP="00000000" w:rsidRDefault="00000000" w:rsidRPr="00000000" w14:paraId="0000001C">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 Learner AI passes |</w:t>
      </w:r>
    </w:p>
    <w:p w:rsidR="00000000" w:rsidDel="00000000" w:rsidP="00000000" w:rsidRDefault="00000000" w:rsidRPr="00000000" w14:paraId="0000001D">
      <w:pPr>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 standardized test |</w:t>
      </w:r>
    </w:p>
    <w:p w:rsidR="00000000" w:rsidDel="00000000" w:rsidP="00000000" w:rsidRDefault="00000000" w:rsidRPr="00000000" w14:paraId="0000001E">
      <w:pPr>
        <w:spacing w:line="360" w:lineRule="auto"/>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rtl w:val="0"/>
        </w:rPr>
        <w:t xml:space="preserve">Pre-Class Preparation: Engage with materials at home.</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In-Class Training: Teach the Learner AI concepts; it poses questions on gaps.</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Guidance Loop: Teacher AI assesses progress, develops plans, and teaches learners if needed for relaying to the Learner AI.</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Assessment: Learner AI passes a standardized test. Use cloud-based platforms with lightweight models for accessibility. Success metrics include the Learner AI achieving at least 80% accuracy on mastery tests, learner pre- and post-test score improvements (e.g., 20-30% gains as seen in AI-assisted adaptive systems), and retention rates measured via follow-up quizzes, drawing from psychometric models in educational AI research [8].</w:t>
      </w:r>
    </w:p>
    <w:p w:rsidR="00000000" w:rsidDel="00000000" w:rsidP="00000000" w:rsidRDefault="00000000" w:rsidRPr="00000000" w14:paraId="00000023">
      <w:pPr>
        <w:spacing w:after="240" w:before="240" w:lineRule="auto"/>
        <w:rPr/>
      </w:pPr>
      <w:r w:rsidDel="00000000" w:rsidR="00000000" w:rsidRPr="00000000">
        <w:rPr>
          <w:rtl w:val="0"/>
        </w:rPr>
        <w:t xml:space="preserve">Benefits</w:t>
      </w:r>
    </w:p>
    <w:p w:rsidR="00000000" w:rsidDel="00000000" w:rsidP="00000000" w:rsidRDefault="00000000" w:rsidRPr="00000000" w14:paraId="00000024">
      <w:pPr>
        <w:numPr>
          <w:ilvl w:val="0"/>
          <w:numId w:val="1"/>
        </w:numPr>
        <w:spacing w:after="0" w:afterAutospacing="0" w:before="240" w:lineRule="auto"/>
        <w:ind w:left="720" w:hanging="360"/>
      </w:pPr>
      <w:r w:rsidDel="00000000" w:rsidR="00000000" w:rsidRPr="00000000">
        <w:rPr>
          <w:rtl w:val="0"/>
        </w:rPr>
        <w:t xml:space="preserve">Retention and Engagement: Active teaching deepens understanding, with flipped models showing enhanced retention and satisfaction [9]. Learning by teaching can lead to better knowledge retention, as students who teach others demonstrate superior long-term recall compared to those who study alone [7].</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Personalization: AI tailors experiences, predicting needs effectively, with intelligent tutoring systems in 2025 enabling customized paths that improve outcomes by adapting to individual paces [6].</w:t>
      </w:r>
    </w:p>
    <w:p w:rsidR="00000000" w:rsidDel="00000000" w:rsidP="00000000" w:rsidRDefault="00000000" w:rsidRPr="00000000" w14:paraId="00000026">
      <w:pPr>
        <w:numPr>
          <w:ilvl w:val="0"/>
          <w:numId w:val="1"/>
        </w:numPr>
        <w:spacing w:after="240" w:before="0" w:beforeAutospacing="0" w:lineRule="auto"/>
        <w:ind w:left="720" w:hanging="360"/>
      </w:pPr>
      <w:r w:rsidDel="00000000" w:rsidR="00000000" w:rsidRPr="00000000">
        <w:rPr>
          <w:rtl w:val="0"/>
        </w:rPr>
        <w:t xml:space="preserve">Efficiency and Inclusivity: Optimizes time, supports diverse learners via adaptive tools.</w:t>
      </w:r>
    </w:p>
    <w:p w:rsidR="00000000" w:rsidDel="00000000" w:rsidP="00000000" w:rsidRDefault="00000000" w:rsidRPr="00000000" w14:paraId="00000027">
      <w:pPr>
        <w:spacing w:after="240" w:before="240" w:lineRule="auto"/>
        <w:rPr/>
      </w:pPr>
      <w:r w:rsidDel="00000000" w:rsidR="00000000" w:rsidRPr="00000000">
        <w:rPr>
          <w:rtl w:val="0"/>
        </w:rPr>
        <w:t xml:space="preserve">Challenges and Solutions</w:t>
      </w:r>
    </w:p>
    <w:p w:rsidR="00000000" w:rsidDel="00000000" w:rsidP="00000000" w:rsidRDefault="00000000" w:rsidRPr="00000000" w14:paraId="00000028">
      <w:pPr>
        <w:numPr>
          <w:ilvl w:val="0"/>
          <w:numId w:val="3"/>
        </w:numPr>
        <w:spacing w:after="0" w:afterAutospacing="0" w:before="240" w:lineRule="auto"/>
        <w:ind w:left="720" w:hanging="360"/>
      </w:pPr>
      <w:r w:rsidDel="00000000" w:rsidR="00000000" w:rsidRPr="00000000">
        <w:rPr>
          <w:rtl w:val="0"/>
        </w:rPr>
        <w:t xml:space="preserve">Technical Barriers: Mitigate with user-friendly, subsidized platforms.</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Motivation: Incorporate gamification and progress tracking.</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 xml:space="preserve">Subject Fit: Start with objective areas; hybrid grading for subjective.</w:t>
      </w:r>
    </w:p>
    <w:p w:rsidR="00000000" w:rsidDel="00000000" w:rsidP="00000000" w:rsidRDefault="00000000" w:rsidRPr="00000000" w14:paraId="0000002B">
      <w:pPr>
        <w:numPr>
          <w:ilvl w:val="0"/>
          <w:numId w:val="3"/>
        </w:numPr>
        <w:spacing w:after="240" w:before="0" w:beforeAutospacing="0" w:lineRule="auto"/>
        <w:ind w:left="720" w:hanging="360"/>
      </w:pPr>
      <w:r w:rsidDel="00000000" w:rsidR="00000000" w:rsidRPr="00000000">
        <w:rPr>
          <w:rtl w:val="0"/>
        </w:rPr>
        <w:t xml:space="preserve">Equity: Ensure access through policy and infrastructure. Additionally, address AI biases by using diverse training data to prevent perpetuation of societal disparities, such as racial or socioeconomic biases in algorithms, and implement ethical guidelines for fairness and accessibility [10]. This includes regular audits for data bias and promoting AI literacy to mitigate risks in educational applications [11].</w:t>
      </w:r>
    </w:p>
    <w:p w:rsidR="00000000" w:rsidDel="00000000" w:rsidP="00000000" w:rsidRDefault="00000000" w:rsidRPr="00000000" w14:paraId="0000002C">
      <w:pPr>
        <w:spacing w:after="240" w:before="240" w:lineRule="auto"/>
        <w:rPr/>
      </w:pPr>
      <w:r w:rsidDel="00000000" w:rsidR="00000000" w:rsidRPr="00000000">
        <w:rPr>
          <w:rtl w:val="0"/>
        </w:rPr>
        <w:t xml:space="preserve">Applications</w:t>
      </w:r>
    </w:p>
    <w:p w:rsidR="00000000" w:rsidDel="00000000" w:rsidP="00000000" w:rsidRDefault="00000000" w:rsidRPr="00000000" w14:paraId="0000002D">
      <w:pPr>
        <w:numPr>
          <w:ilvl w:val="0"/>
          <w:numId w:val="4"/>
        </w:numPr>
        <w:spacing w:after="0" w:afterAutospacing="0" w:before="240" w:lineRule="auto"/>
        <w:ind w:left="720" w:hanging="360"/>
      </w:pPr>
      <w:r w:rsidDel="00000000" w:rsidR="00000000" w:rsidRPr="00000000">
        <w:rPr>
          <w:rtl w:val="0"/>
        </w:rPr>
        <w:t xml:space="preserve">Schools: Boost STEM engagement, where flipped AI models have shown improved learning outcomes [12].</w:t>
      </w:r>
    </w:p>
    <w:p w:rsidR="00000000" w:rsidDel="00000000" w:rsidP="00000000" w:rsidRDefault="00000000" w:rsidRPr="00000000" w14:paraId="0000002E">
      <w:pPr>
        <w:numPr>
          <w:ilvl w:val="0"/>
          <w:numId w:val="4"/>
        </w:numPr>
        <w:spacing w:after="0" w:afterAutospacing="0" w:before="0" w:beforeAutospacing="0" w:lineRule="auto"/>
        <w:ind w:left="720" w:hanging="360"/>
      </w:pPr>
      <w:r w:rsidDel="00000000" w:rsidR="00000000" w:rsidRPr="00000000">
        <w:rPr>
          <w:rtl w:val="0"/>
        </w:rPr>
        <w:t xml:space="preserve">Universities: Advanced simulations and analytics.</w:t>
      </w:r>
    </w:p>
    <w:p w:rsidR="00000000" w:rsidDel="00000000" w:rsidP="00000000" w:rsidRDefault="00000000" w:rsidRPr="00000000" w14:paraId="0000002F">
      <w:pPr>
        <w:numPr>
          <w:ilvl w:val="0"/>
          <w:numId w:val="4"/>
        </w:numPr>
        <w:spacing w:after="240" w:before="0" w:beforeAutospacing="0" w:lineRule="auto"/>
        <w:ind w:left="720" w:hanging="360"/>
      </w:pPr>
      <w:r w:rsidDel="00000000" w:rsidR="00000000" w:rsidRPr="00000000">
        <w:rPr>
          <w:rtl w:val="0"/>
        </w:rPr>
        <w:t xml:space="preserve">Lifelong Learners: Flexible upskilling with AI ethics focus.</w:t>
      </w:r>
    </w:p>
    <w:p w:rsidR="00000000" w:rsidDel="00000000" w:rsidP="00000000" w:rsidRDefault="00000000" w:rsidRPr="00000000" w14:paraId="00000030">
      <w:pPr>
        <w:rPr/>
      </w:pPr>
      <w:r w:rsidDel="00000000" w:rsidR="00000000" w:rsidRPr="00000000">
        <w:rPr>
          <w:rtl w:val="0"/>
        </w:rPr>
        <w:t xml:space="preserve">Conclusion</w:t>
        <w:br w:type="textWrapping"/>
      </w:r>
    </w:p>
    <w:p w:rsidR="00000000" w:rsidDel="00000000" w:rsidP="00000000" w:rsidRDefault="00000000" w:rsidRPr="00000000" w14:paraId="00000031">
      <w:pPr>
        <w:spacing w:after="240" w:before="240" w:lineRule="auto"/>
        <w:rPr/>
      </w:pPr>
      <w:r w:rsidDel="00000000" w:rsidR="00000000" w:rsidRPr="00000000">
        <w:rPr>
          <w:rtl w:val="0"/>
        </w:rPr>
        <w:t xml:space="preserve">This model transforms education into an interactive, AI-driven process, ready for 2025's demands. Pilots can refine its impact for scalable adoption.</w:t>
      </w:r>
    </w:p>
    <w:p w:rsidR="00000000" w:rsidDel="00000000" w:rsidP="00000000" w:rsidRDefault="00000000" w:rsidRPr="00000000" w14:paraId="00000032">
      <w:pPr>
        <w:rPr/>
      </w:pPr>
      <w:r w:rsidDel="00000000" w:rsidR="00000000" w:rsidRPr="00000000">
        <w:rPr>
          <w:rtl w:val="0"/>
        </w:rPr>
        <w:t xml:space="preserve">Works Cited</w:t>
        <w:br w:type="textWrapping"/>
      </w:r>
    </w:p>
    <w:p w:rsidR="00000000" w:rsidDel="00000000" w:rsidP="00000000" w:rsidRDefault="00000000" w:rsidRPr="00000000" w14:paraId="00000033">
      <w:pPr>
        <w:spacing w:after="240" w:before="240" w:lineRule="auto"/>
        <w:rPr>
          <w:color w:val="1155cc"/>
          <w:u w:val="single"/>
        </w:rPr>
      </w:pPr>
      <w:r w:rsidDel="00000000" w:rsidR="00000000" w:rsidRPr="00000000">
        <w:rPr>
          <w:rtl w:val="0"/>
        </w:rPr>
        <w:t xml:space="preserve">[1] World Economic Forum. (2025). How AI and human teachers can collaborate to transform education.</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https://www.weforum.org/stories/2025/01/how-ai-and-human-teachers-can-collaborate-to-transform-education/</w:t>
        </w:r>
      </w:hyperlink>
      <w:r w:rsidDel="00000000" w:rsidR="00000000" w:rsidRPr="00000000">
        <w:rPr>
          <w:rtl w:val="0"/>
        </w:rPr>
      </w:r>
    </w:p>
    <w:p w:rsidR="00000000" w:rsidDel="00000000" w:rsidP="00000000" w:rsidRDefault="00000000" w:rsidRPr="00000000" w14:paraId="00000034">
      <w:pPr>
        <w:spacing w:after="240" w:before="240" w:lineRule="auto"/>
        <w:rPr>
          <w:color w:val="1155cc"/>
          <w:u w:val="single"/>
        </w:rPr>
      </w:pPr>
      <w:r w:rsidDel="00000000" w:rsidR="00000000" w:rsidRPr="00000000">
        <w:rPr>
          <w:rtl w:val="0"/>
        </w:rPr>
        <w:t xml:space="preserve">[2] Gough, E., DeJong, D., Grundmeyer, T., &amp; Baron, M. (2021). Evaluating Whether Flipped Classrooms Improve Student Learning in Science Education: A Systematic Review and Meta-Analysis. Scandinavian Journal of Educational Research.</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https://www.tandfonline.com/doi/abs/10.1080/00313831.2021.1983868</w:t>
        </w:r>
      </w:hyperlink>
      <w:r w:rsidDel="00000000" w:rsidR="00000000" w:rsidRPr="00000000">
        <w:rPr>
          <w:rtl w:val="0"/>
        </w:rPr>
      </w:r>
    </w:p>
    <w:p w:rsidR="00000000" w:rsidDel="00000000" w:rsidP="00000000" w:rsidRDefault="00000000" w:rsidRPr="00000000" w14:paraId="00000035">
      <w:pPr>
        <w:spacing w:after="240" w:before="240" w:lineRule="auto"/>
        <w:rPr>
          <w:color w:val="1155cc"/>
          <w:u w:val="single"/>
        </w:rPr>
      </w:pPr>
      <w:r w:rsidDel="00000000" w:rsidR="00000000" w:rsidRPr="00000000">
        <w:rPr>
          <w:rtl w:val="0"/>
        </w:rPr>
        <w:t xml:space="preserve">[3] Shi, Y., et al. (2020). The flipped classroom: A meta-analysis of effects on student performance. International Journal of Educational Research Open.</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https://www.sciencedirect.com/science/article/pii/S1747938X19301599</w:t>
        </w:r>
      </w:hyperlink>
      <w:r w:rsidDel="00000000" w:rsidR="00000000" w:rsidRPr="00000000">
        <w:rPr>
          <w:rtl w:val="0"/>
        </w:rPr>
      </w:r>
    </w:p>
    <w:p w:rsidR="00000000" w:rsidDel="00000000" w:rsidP="00000000" w:rsidRDefault="00000000" w:rsidRPr="00000000" w14:paraId="00000036">
      <w:pPr>
        <w:spacing w:after="240" w:before="240" w:lineRule="auto"/>
        <w:rPr>
          <w:color w:val="1155cc"/>
          <w:u w:val="single"/>
        </w:rPr>
      </w:pPr>
      <w:r w:rsidDel="00000000" w:rsidR="00000000" w:rsidRPr="00000000">
        <w:rPr>
          <w:rtl w:val="0"/>
        </w:rPr>
        <w:t xml:space="preserve">[4] Hew, K. F., &amp; Lo, C. K. (2018). Flipped classroom improves student learning in health professions education: A meta-analysis. BMC Medical Education, 18(38).</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https://bmcmededuc.biomedcentral.com/articles/10.1186/s12909-018-1144-z</w:t>
        </w:r>
      </w:hyperlink>
      <w:r w:rsidDel="00000000" w:rsidR="00000000" w:rsidRPr="00000000">
        <w:rPr>
          <w:rtl w:val="0"/>
        </w:rPr>
      </w:r>
    </w:p>
    <w:p w:rsidR="00000000" w:rsidDel="00000000" w:rsidP="00000000" w:rsidRDefault="00000000" w:rsidRPr="00000000" w14:paraId="00000037">
      <w:pPr>
        <w:spacing w:after="240" w:before="240" w:lineRule="auto"/>
        <w:rPr>
          <w:color w:val="1155cc"/>
          <w:u w:val="single"/>
        </w:rPr>
      </w:pPr>
      <w:r w:rsidDel="00000000" w:rsidR="00000000" w:rsidRPr="00000000">
        <w:rPr>
          <w:rtl w:val="0"/>
        </w:rPr>
        <w:t xml:space="preserve">[5] Vaswani, A., et al. (2017). Attention Is All You Need. arXiv.</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https://arxiv.org/abs/1706.03762</w:t>
        </w:r>
      </w:hyperlink>
      <w:r w:rsidDel="00000000" w:rsidR="00000000" w:rsidRPr="00000000">
        <w:rPr>
          <w:rtl w:val="0"/>
        </w:rPr>
      </w:r>
    </w:p>
    <w:p w:rsidR="00000000" w:rsidDel="00000000" w:rsidP="00000000" w:rsidRDefault="00000000" w:rsidRPr="00000000" w14:paraId="00000038">
      <w:pPr>
        <w:spacing w:after="240" w:before="240" w:lineRule="auto"/>
        <w:rPr>
          <w:color w:val="1155cc"/>
          <w:u w:val="single"/>
        </w:rPr>
      </w:pPr>
      <w:r w:rsidDel="00000000" w:rsidR="00000000" w:rsidRPr="00000000">
        <w:rPr>
          <w:rtl w:val="0"/>
        </w:rPr>
        <w:t xml:space="preserve">[6] Ouyang, F., et al. (2025). A systematic review of AI-driven intelligent tutoring systems (ITS) in education. npj Science of Learning.</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https://www.nature.com/articles/s41539-025-00320-7</w:t>
        </w:r>
      </w:hyperlink>
      <w:r w:rsidDel="00000000" w:rsidR="00000000" w:rsidRPr="00000000">
        <w:rPr>
          <w:rtl w:val="0"/>
        </w:rPr>
      </w:r>
    </w:p>
    <w:p w:rsidR="00000000" w:rsidDel="00000000" w:rsidP="00000000" w:rsidRDefault="00000000" w:rsidRPr="00000000" w14:paraId="00000039">
      <w:pPr>
        <w:spacing w:after="240" w:before="240" w:lineRule="auto"/>
        <w:rPr>
          <w:color w:val="1155cc"/>
          <w:u w:val="single"/>
        </w:rPr>
      </w:pPr>
      <w:r w:rsidDel="00000000" w:rsidR="00000000" w:rsidRPr="00000000">
        <w:rPr>
          <w:rtl w:val="0"/>
        </w:rPr>
        <w:t xml:space="preserve">[7] Luna, U., et al. (2022). Do students learn what they teach when generating teaching materials? A meta-analysis of 24 effect sizes. International Journal of Educational Research Open.</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https://www.sciencedirect.com/science/article/pii/S1747938X22000446</w:t>
        </w:r>
      </w:hyperlink>
      <w:r w:rsidDel="00000000" w:rsidR="00000000" w:rsidRPr="00000000">
        <w:rPr>
          <w:rtl w:val="0"/>
        </w:rPr>
      </w:r>
    </w:p>
    <w:p w:rsidR="00000000" w:rsidDel="00000000" w:rsidP="00000000" w:rsidRDefault="00000000" w:rsidRPr="00000000" w14:paraId="0000003A">
      <w:pPr>
        <w:spacing w:after="240" w:before="240" w:lineRule="auto"/>
        <w:rPr>
          <w:color w:val="1155cc"/>
          <w:u w:val="single"/>
        </w:rPr>
      </w:pPr>
      <w:r w:rsidDel="00000000" w:rsidR="00000000" w:rsidRPr="00000000">
        <w:rPr>
          <w:rtl w:val="0"/>
        </w:rPr>
        <w:t xml:space="preserve">[8] Aldoseri, A., et al. (2025). The Impact of Artificial Intelligence (AI) on Students' Academic Performance: A Systematic Review. Education Sciences.</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https://www.mdpi.com/2227-7102/15/3/343</w:t>
        </w:r>
      </w:hyperlink>
      <w:r w:rsidDel="00000000" w:rsidR="00000000" w:rsidRPr="00000000">
        <w:rPr>
          <w:rtl w:val="0"/>
        </w:rPr>
      </w:r>
    </w:p>
    <w:p w:rsidR="00000000" w:rsidDel="00000000" w:rsidP="00000000" w:rsidRDefault="00000000" w:rsidRPr="00000000" w14:paraId="0000003B">
      <w:pPr>
        <w:spacing w:after="240" w:before="240" w:lineRule="auto"/>
        <w:rPr>
          <w:color w:val="1155cc"/>
          <w:u w:val="single"/>
        </w:rPr>
      </w:pPr>
      <w:r w:rsidDel="00000000" w:rsidR="00000000" w:rsidRPr="00000000">
        <w:rPr>
          <w:rtl w:val="0"/>
        </w:rPr>
        <w:t xml:space="preserve">[9] Evans, L., et al. (2023). The effects of flipped classrooms to improve learning outcomes in undergraduate health professional education: A systematic review. Campbell Systematic Reviews.</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https://pubmed.ncbi.nlm.nih.gov/37425620/</w:t>
        </w:r>
      </w:hyperlink>
      <w:r w:rsidDel="00000000" w:rsidR="00000000" w:rsidRPr="00000000">
        <w:rPr>
          <w:rtl w:val="0"/>
        </w:rPr>
      </w:r>
    </w:p>
    <w:p w:rsidR="00000000" w:rsidDel="00000000" w:rsidP="00000000" w:rsidRDefault="00000000" w:rsidRPr="00000000" w14:paraId="0000003C">
      <w:pPr>
        <w:spacing w:after="240" w:before="240" w:lineRule="auto"/>
        <w:rPr>
          <w:color w:val="1155cc"/>
          <w:u w:val="single"/>
        </w:rPr>
      </w:pPr>
      <w:r w:rsidDel="00000000" w:rsidR="00000000" w:rsidRPr="00000000">
        <w:rPr>
          <w:rtl w:val="0"/>
        </w:rPr>
        <w:t xml:space="preserve">[10] UNESCO. (n.d.). Ethics of Artificial Intelligence.</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https://www.unesco.org/en/artificial-intelligence/recommendation-ethics</w:t>
        </w:r>
      </w:hyperlink>
      <w:r w:rsidDel="00000000" w:rsidR="00000000" w:rsidRPr="00000000">
        <w:rPr>
          <w:rtl w:val="0"/>
        </w:rPr>
      </w:r>
    </w:p>
    <w:p w:rsidR="00000000" w:rsidDel="00000000" w:rsidP="00000000" w:rsidRDefault="00000000" w:rsidRPr="00000000" w14:paraId="0000003D">
      <w:pPr>
        <w:spacing w:after="240" w:before="240" w:lineRule="auto"/>
        <w:rPr>
          <w:color w:val="1155cc"/>
          <w:u w:val="single"/>
        </w:rPr>
      </w:pPr>
      <w:r w:rsidDel="00000000" w:rsidR="00000000" w:rsidRPr="00000000">
        <w:rPr>
          <w:rtl w:val="0"/>
        </w:rPr>
        <w:t xml:space="preserve">[11] EDUCAUSE. (2025). AI Ethical Guidelines.</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https://library.educause.edu/resources/2025/6/ai-ethical-guidelines</w:t>
        </w:r>
      </w:hyperlink>
      <w:r w:rsidDel="00000000" w:rsidR="00000000" w:rsidRPr="00000000">
        <w:rPr>
          <w:rtl w:val="0"/>
        </w:rPr>
      </w:r>
    </w:p>
    <w:p w:rsidR="00000000" w:rsidDel="00000000" w:rsidP="00000000" w:rsidRDefault="00000000" w:rsidRPr="00000000" w14:paraId="0000003E">
      <w:pPr>
        <w:spacing w:after="240" w:before="240" w:lineRule="auto"/>
        <w:rPr>
          <w:color w:val="1155cc"/>
          <w:u w:val="single"/>
        </w:rPr>
      </w:pPr>
      <w:r w:rsidDel="00000000" w:rsidR="00000000" w:rsidRPr="00000000">
        <w:rPr>
          <w:rtl w:val="0"/>
        </w:rPr>
        <w:t xml:space="preserve">[12] Ozdemir, O., et al. (2025). Integrating AI-based adaptive learning into the flipped classroom to improve STEM education. Computers and Education: Artificial Intelligence.</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https://www.sciencedirect.com/science/article/pii/S2666920X25000323</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dpi.com/2227-7102/15/3/343" TargetMode="External"/><Relationship Id="rId22" Type="http://schemas.openxmlformats.org/officeDocument/2006/relationships/hyperlink" Target="https://pubmed.ncbi.nlm.nih.gov/37425620/" TargetMode="External"/><Relationship Id="rId21" Type="http://schemas.openxmlformats.org/officeDocument/2006/relationships/hyperlink" Target="https://www.mdpi.com/2227-7102/15/3/343" TargetMode="External"/><Relationship Id="rId24" Type="http://schemas.openxmlformats.org/officeDocument/2006/relationships/hyperlink" Target="https://www.unesco.org/en/artificial-intelligence/recommendation-ethics" TargetMode="External"/><Relationship Id="rId23" Type="http://schemas.openxmlformats.org/officeDocument/2006/relationships/hyperlink" Target="https://pubmed.ncbi.nlm.nih.gov/374256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ndfonline.com/doi/abs/10.1080/00313831.2021.1983868" TargetMode="External"/><Relationship Id="rId26" Type="http://schemas.openxmlformats.org/officeDocument/2006/relationships/hyperlink" Target="https://library.educause.edu/resources/2025/6/ai-ethical-guidelines" TargetMode="External"/><Relationship Id="rId25" Type="http://schemas.openxmlformats.org/officeDocument/2006/relationships/hyperlink" Target="https://www.unesco.org/en/artificial-intelligence/recommendation-ethics" TargetMode="External"/><Relationship Id="rId28" Type="http://schemas.openxmlformats.org/officeDocument/2006/relationships/hyperlink" Target="https://www.sciencedirect.com/science/article/pii/S2666920X25000323" TargetMode="External"/><Relationship Id="rId27" Type="http://schemas.openxmlformats.org/officeDocument/2006/relationships/hyperlink" Target="https://library.educause.edu/resources/2025/6/ai-ethical-guidelines" TargetMode="External"/><Relationship Id="rId5" Type="http://schemas.openxmlformats.org/officeDocument/2006/relationships/styles" Target="styles.xml"/><Relationship Id="rId6" Type="http://schemas.openxmlformats.org/officeDocument/2006/relationships/hyperlink" Target="https://www.weforum.org/stories/2025/01/how-ai-and-human-teachers-can-collaborate-to-transform-education/" TargetMode="External"/><Relationship Id="rId29" Type="http://schemas.openxmlformats.org/officeDocument/2006/relationships/hyperlink" Target="https://www.sciencedirect.com/science/article/pii/S2666920X25000323" TargetMode="External"/><Relationship Id="rId7" Type="http://schemas.openxmlformats.org/officeDocument/2006/relationships/hyperlink" Target="https://www.weforum.org/stories/2025/01/how-ai-and-human-teachers-can-collaborate-to-transform-education/" TargetMode="External"/><Relationship Id="rId8" Type="http://schemas.openxmlformats.org/officeDocument/2006/relationships/hyperlink" Target="https://www.tandfonline.com/doi/abs/10.1080/00313831.2021.1983868" TargetMode="External"/><Relationship Id="rId11" Type="http://schemas.openxmlformats.org/officeDocument/2006/relationships/hyperlink" Target="https://www.sciencedirect.com/science/article/pii/S1747938X19301599" TargetMode="External"/><Relationship Id="rId10" Type="http://schemas.openxmlformats.org/officeDocument/2006/relationships/hyperlink" Target="https://www.sciencedirect.com/science/article/pii/S1747938X19301599" TargetMode="External"/><Relationship Id="rId13" Type="http://schemas.openxmlformats.org/officeDocument/2006/relationships/hyperlink" Target="https://bmcmededuc.biomedcentral.com/articles/10.1186/s12909-018-1144-z" TargetMode="External"/><Relationship Id="rId12" Type="http://schemas.openxmlformats.org/officeDocument/2006/relationships/hyperlink" Target="https://bmcmededuc.biomedcentral.com/articles/10.1186/s12909-018-1144-z" TargetMode="External"/><Relationship Id="rId15" Type="http://schemas.openxmlformats.org/officeDocument/2006/relationships/hyperlink" Target="https://arxiv.org/abs/1706.03762" TargetMode="External"/><Relationship Id="rId14" Type="http://schemas.openxmlformats.org/officeDocument/2006/relationships/hyperlink" Target="https://arxiv.org/abs/1706.03762" TargetMode="External"/><Relationship Id="rId17" Type="http://schemas.openxmlformats.org/officeDocument/2006/relationships/hyperlink" Target="https://www.nature.com/articles/s41539-025-00320-7" TargetMode="External"/><Relationship Id="rId16" Type="http://schemas.openxmlformats.org/officeDocument/2006/relationships/hyperlink" Target="https://www.nature.com/articles/s41539-025-00320-7" TargetMode="External"/><Relationship Id="rId19" Type="http://schemas.openxmlformats.org/officeDocument/2006/relationships/hyperlink" Target="https://www.sciencedirect.com/science/article/pii/S1747938X22000446" TargetMode="External"/><Relationship Id="rId18" Type="http://schemas.openxmlformats.org/officeDocument/2006/relationships/hyperlink" Target="https://www.sciencedirect.com/science/article/pii/S1747938X220004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