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HAnsi"/>
          <w:color w:val="auto"/>
          <w:sz w:val="18"/>
          <w:szCs w:val="18"/>
        </w:rPr>
        <w:id w:val="-1018848954"/>
        <w:docPartObj>
          <w:docPartGallery w:val="Table of Contents"/>
          <w:docPartUnique/>
        </w:docPartObj>
      </w:sdtPr>
      <w:sdtEndPr>
        <w:rPr>
          <w:b/>
          <w:bCs/>
          <w:noProof/>
          <w:sz w:val="16"/>
          <w:szCs w:val="16"/>
        </w:rPr>
      </w:sdtEndPr>
      <w:sdtContent>
        <w:p w14:paraId="171B77E5" w14:textId="7B0F90A8" w:rsidR="00B66AEF" w:rsidRPr="00C4191B" w:rsidRDefault="00B66AEF">
          <w:pPr>
            <w:pStyle w:val="TOCHeading"/>
            <w:rPr>
              <w:rFonts w:asciiTheme="minorHAnsi" w:hAnsiTheme="minorHAnsi" w:cstheme="minorHAnsi"/>
              <w:sz w:val="18"/>
              <w:szCs w:val="18"/>
            </w:rPr>
          </w:pPr>
          <w:r w:rsidRPr="00C4191B">
            <w:rPr>
              <w:rFonts w:asciiTheme="minorHAnsi" w:hAnsiTheme="minorHAnsi" w:cstheme="minorHAnsi"/>
              <w:sz w:val="18"/>
              <w:szCs w:val="18"/>
            </w:rPr>
            <w:t>Table of Contents</w:t>
          </w:r>
        </w:p>
        <w:p w14:paraId="41C0B46A" w14:textId="0B388966" w:rsidR="008A04FB" w:rsidRDefault="00B66AEF">
          <w:pPr>
            <w:pStyle w:val="TOC1"/>
            <w:rPr>
              <w:rFonts w:eastAsiaTheme="minorEastAsia"/>
              <w:noProof/>
            </w:rPr>
          </w:pPr>
          <w:r w:rsidRPr="00F7146B">
            <w:rPr>
              <w:rFonts w:cstheme="minorHAnsi"/>
              <w:sz w:val="16"/>
              <w:szCs w:val="16"/>
            </w:rPr>
            <w:fldChar w:fldCharType="begin"/>
          </w:r>
          <w:r w:rsidRPr="00F7146B">
            <w:rPr>
              <w:rFonts w:cstheme="minorHAnsi"/>
              <w:sz w:val="16"/>
              <w:szCs w:val="16"/>
            </w:rPr>
            <w:instrText xml:space="preserve"> TOC \o "1-3" \h \z \u </w:instrText>
          </w:r>
          <w:r w:rsidRPr="00F7146B">
            <w:rPr>
              <w:rFonts w:cstheme="minorHAnsi"/>
              <w:sz w:val="16"/>
              <w:szCs w:val="16"/>
            </w:rPr>
            <w:fldChar w:fldCharType="separate"/>
          </w:r>
          <w:hyperlink w:anchor="_Toc68084991" w:history="1">
            <w:r w:rsidR="008A04FB" w:rsidRPr="00FC49D9">
              <w:rPr>
                <w:rStyle w:val="Hyperlink"/>
                <w:noProof/>
              </w:rPr>
              <w:t>Abstract</w:t>
            </w:r>
            <w:r w:rsidR="008A04FB">
              <w:rPr>
                <w:noProof/>
                <w:webHidden/>
              </w:rPr>
              <w:tab/>
            </w:r>
            <w:r w:rsidR="008A04FB">
              <w:rPr>
                <w:noProof/>
                <w:webHidden/>
              </w:rPr>
              <w:fldChar w:fldCharType="begin"/>
            </w:r>
            <w:r w:rsidR="008A04FB">
              <w:rPr>
                <w:noProof/>
                <w:webHidden/>
              </w:rPr>
              <w:instrText xml:space="preserve"> PAGEREF _Toc68084991 \h </w:instrText>
            </w:r>
            <w:r w:rsidR="008A04FB">
              <w:rPr>
                <w:noProof/>
                <w:webHidden/>
              </w:rPr>
            </w:r>
            <w:r w:rsidR="008A04FB">
              <w:rPr>
                <w:noProof/>
                <w:webHidden/>
              </w:rPr>
              <w:fldChar w:fldCharType="separate"/>
            </w:r>
            <w:r w:rsidR="001B402B">
              <w:rPr>
                <w:noProof/>
                <w:webHidden/>
              </w:rPr>
              <w:t>2</w:t>
            </w:r>
            <w:r w:rsidR="008A04FB">
              <w:rPr>
                <w:noProof/>
                <w:webHidden/>
              </w:rPr>
              <w:fldChar w:fldCharType="end"/>
            </w:r>
          </w:hyperlink>
        </w:p>
        <w:p w14:paraId="18D623F2" w14:textId="35BA167F" w:rsidR="008A04FB" w:rsidRDefault="002B7FF4">
          <w:pPr>
            <w:pStyle w:val="TOC1"/>
            <w:rPr>
              <w:rFonts w:eastAsiaTheme="minorEastAsia"/>
              <w:noProof/>
            </w:rPr>
          </w:pPr>
          <w:hyperlink w:anchor="_Toc68084992" w:history="1">
            <w:r w:rsidR="008A04FB" w:rsidRPr="00FC49D9">
              <w:rPr>
                <w:rStyle w:val="Hyperlink"/>
                <w:noProof/>
              </w:rPr>
              <w:t>Executive Summary</w:t>
            </w:r>
            <w:r w:rsidR="008A04FB">
              <w:rPr>
                <w:noProof/>
                <w:webHidden/>
              </w:rPr>
              <w:tab/>
            </w:r>
            <w:r w:rsidR="008A04FB">
              <w:rPr>
                <w:noProof/>
                <w:webHidden/>
              </w:rPr>
              <w:fldChar w:fldCharType="begin"/>
            </w:r>
            <w:r w:rsidR="008A04FB">
              <w:rPr>
                <w:noProof/>
                <w:webHidden/>
              </w:rPr>
              <w:instrText xml:space="preserve"> PAGEREF _Toc68084992 \h </w:instrText>
            </w:r>
            <w:r w:rsidR="008A04FB">
              <w:rPr>
                <w:noProof/>
                <w:webHidden/>
              </w:rPr>
            </w:r>
            <w:r w:rsidR="008A04FB">
              <w:rPr>
                <w:noProof/>
                <w:webHidden/>
              </w:rPr>
              <w:fldChar w:fldCharType="separate"/>
            </w:r>
            <w:r w:rsidR="001B402B">
              <w:rPr>
                <w:noProof/>
                <w:webHidden/>
              </w:rPr>
              <w:t>3</w:t>
            </w:r>
            <w:r w:rsidR="008A04FB">
              <w:rPr>
                <w:noProof/>
                <w:webHidden/>
              </w:rPr>
              <w:fldChar w:fldCharType="end"/>
            </w:r>
          </w:hyperlink>
        </w:p>
        <w:p w14:paraId="6A2DC1CB" w14:textId="2BD41383" w:rsidR="008A04FB" w:rsidRDefault="002B7FF4">
          <w:pPr>
            <w:pStyle w:val="TOC2"/>
            <w:tabs>
              <w:tab w:val="right" w:leader="dot" w:pos="9350"/>
            </w:tabs>
            <w:rPr>
              <w:rFonts w:eastAsiaTheme="minorEastAsia"/>
              <w:noProof/>
            </w:rPr>
          </w:pPr>
          <w:hyperlink w:anchor="_Toc68084993" w:history="1">
            <w:r w:rsidR="008A04FB" w:rsidRPr="00FC49D9">
              <w:rPr>
                <w:rStyle w:val="Hyperlink"/>
                <w:i/>
                <w:iCs/>
                <w:noProof/>
                <w:lang w:val="en"/>
              </w:rPr>
              <w:t>Phase 1 - Creating a Quantifiable Measure of Campaign Finance as Corrupting Impact</w:t>
            </w:r>
            <w:r w:rsidR="008A04FB">
              <w:rPr>
                <w:noProof/>
                <w:webHidden/>
              </w:rPr>
              <w:tab/>
            </w:r>
            <w:r w:rsidR="008A04FB">
              <w:rPr>
                <w:noProof/>
                <w:webHidden/>
              </w:rPr>
              <w:fldChar w:fldCharType="begin"/>
            </w:r>
            <w:r w:rsidR="008A04FB">
              <w:rPr>
                <w:noProof/>
                <w:webHidden/>
              </w:rPr>
              <w:instrText xml:space="preserve"> PAGEREF _Toc68084993 \h </w:instrText>
            </w:r>
            <w:r w:rsidR="008A04FB">
              <w:rPr>
                <w:noProof/>
                <w:webHidden/>
              </w:rPr>
            </w:r>
            <w:r w:rsidR="008A04FB">
              <w:rPr>
                <w:noProof/>
                <w:webHidden/>
              </w:rPr>
              <w:fldChar w:fldCharType="separate"/>
            </w:r>
            <w:r w:rsidR="001B402B">
              <w:rPr>
                <w:noProof/>
                <w:webHidden/>
              </w:rPr>
              <w:t>5</w:t>
            </w:r>
            <w:r w:rsidR="008A04FB">
              <w:rPr>
                <w:noProof/>
                <w:webHidden/>
              </w:rPr>
              <w:fldChar w:fldCharType="end"/>
            </w:r>
          </w:hyperlink>
        </w:p>
        <w:p w14:paraId="78708280" w14:textId="6EB07EE9" w:rsidR="008A04FB" w:rsidRDefault="002B7FF4">
          <w:pPr>
            <w:pStyle w:val="TOC2"/>
            <w:tabs>
              <w:tab w:val="right" w:leader="dot" w:pos="9350"/>
            </w:tabs>
            <w:rPr>
              <w:rFonts w:eastAsiaTheme="minorEastAsia"/>
              <w:noProof/>
            </w:rPr>
          </w:pPr>
          <w:hyperlink w:anchor="_Toc68084994" w:history="1">
            <w:r w:rsidR="008A04FB" w:rsidRPr="00FC49D9">
              <w:rPr>
                <w:rStyle w:val="Hyperlink"/>
                <w:i/>
                <w:iCs/>
                <w:noProof/>
                <w:lang w:val="en"/>
              </w:rPr>
              <w:t>Phase 2 - Measuring Accountability Avoidance: A design science paradigm</w:t>
            </w:r>
            <w:r w:rsidR="008A04FB">
              <w:rPr>
                <w:noProof/>
                <w:webHidden/>
              </w:rPr>
              <w:tab/>
            </w:r>
            <w:r w:rsidR="008A04FB">
              <w:rPr>
                <w:noProof/>
                <w:webHidden/>
              </w:rPr>
              <w:fldChar w:fldCharType="begin"/>
            </w:r>
            <w:r w:rsidR="008A04FB">
              <w:rPr>
                <w:noProof/>
                <w:webHidden/>
              </w:rPr>
              <w:instrText xml:space="preserve"> PAGEREF _Toc68084994 \h </w:instrText>
            </w:r>
            <w:r w:rsidR="008A04FB">
              <w:rPr>
                <w:noProof/>
                <w:webHidden/>
              </w:rPr>
            </w:r>
            <w:r w:rsidR="008A04FB">
              <w:rPr>
                <w:noProof/>
                <w:webHidden/>
              </w:rPr>
              <w:fldChar w:fldCharType="separate"/>
            </w:r>
            <w:r w:rsidR="001B402B">
              <w:rPr>
                <w:noProof/>
                <w:webHidden/>
              </w:rPr>
              <w:t>9</w:t>
            </w:r>
            <w:r w:rsidR="008A04FB">
              <w:rPr>
                <w:noProof/>
                <w:webHidden/>
              </w:rPr>
              <w:fldChar w:fldCharType="end"/>
            </w:r>
          </w:hyperlink>
        </w:p>
        <w:p w14:paraId="0F4B6F13" w14:textId="4C07CA41" w:rsidR="008A04FB" w:rsidRDefault="002B7FF4">
          <w:pPr>
            <w:pStyle w:val="TOC3"/>
            <w:tabs>
              <w:tab w:val="right" w:leader="dot" w:pos="9350"/>
            </w:tabs>
            <w:rPr>
              <w:rFonts w:eastAsiaTheme="minorEastAsia"/>
              <w:noProof/>
            </w:rPr>
          </w:pPr>
          <w:hyperlink w:anchor="_Toc68084995" w:history="1">
            <w:r w:rsidR="008A04FB" w:rsidRPr="00FC49D9">
              <w:rPr>
                <w:rStyle w:val="Hyperlink"/>
                <w:noProof/>
                <w:lang w:val="en"/>
              </w:rPr>
              <w:t>Paul Light [Monitoring Government]: Measures of Accountability for Administrative Agencies</w:t>
            </w:r>
            <w:r w:rsidR="008A04FB">
              <w:rPr>
                <w:noProof/>
                <w:webHidden/>
              </w:rPr>
              <w:tab/>
            </w:r>
            <w:r w:rsidR="008A04FB">
              <w:rPr>
                <w:noProof/>
                <w:webHidden/>
              </w:rPr>
              <w:fldChar w:fldCharType="begin"/>
            </w:r>
            <w:r w:rsidR="008A04FB">
              <w:rPr>
                <w:noProof/>
                <w:webHidden/>
              </w:rPr>
              <w:instrText xml:space="preserve"> PAGEREF _Toc68084995 \h </w:instrText>
            </w:r>
            <w:r w:rsidR="008A04FB">
              <w:rPr>
                <w:noProof/>
                <w:webHidden/>
              </w:rPr>
            </w:r>
            <w:r w:rsidR="008A04FB">
              <w:rPr>
                <w:noProof/>
                <w:webHidden/>
              </w:rPr>
              <w:fldChar w:fldCharType="separate"/>
            </w:r>
            <w:r w:rsidR="001B402B">
              <w:rPr>
                <w:noProof/>
                <w:webHidden/>
              </w:rPr>
              <w:t>9</w:t>
            </w:r>
            <w:r w:rsidR="008A04FB">
              <w:rPr>
                <w:noProof/>
                <w:webHidden/>
              </w:rPr>
              <w:fldChar w:fldCharType="end"/>
            </w:r>
          </w:hyperlink>
        </w:p>
        <w:p w14:paraId="5BF0E812" w14:textId="7486CE1D" w:rsidR="008A04FB" w:rsidRDefault="002B7FF4">
          <w:pPr>
            <w:pStyle w:val="TOC3"/>
            <w:tabs>
              <w:tab w:val="right" w:leader="dot" w:pos="9350"/>
            </w:tabs>
            <w:rPr>
              <w:rFonts w:eastAsiaTheme="minorEastAsia"/>
              <w:noProof/>
            </w:rPr>
          </w:pPr>
          <w:hyperlink w:anchor="_Toc68084996" w:history="1">
            <w:r w:rsidR="008A04FB" w:rsidRPr="00FC49D9">
              <w:rPr>
                <w:rStyle w:val="Hyperlink"/>
                <w:noProof/>
              </w:rPr>
              <w:t>J.Koppell – External Audit questions for measuring accountability</w:t>
            </w:r>
            <w:r w:rsidR="008A04FB">
              <w:rPr>
                <w:noProof/>
                <w:webHidden/>
              </w:rPr>
              <w:tab/>
            </w:r>
            <w:r w:rsidR="008A04FB">
              <w:rPr>
                <w:noProof/>
                <w:webHidden/>
              </w:rPr>
              <w:fldChar w:fldCharType="begin"/>
            </w:r>
            <w:r w:rsidR="008A04FB">
              <w:rPr>
                <w:noProof/>
                <w:webHidden/>
              </w:rPr>
              <w:instrText xml:space="preserve"> PAGEREF _Toc68084996 \h </w:instrText>
            </w:r>
            <w:r w:rsidR="008A04FB">
              <w:rPr>
                <w:noProof/>
                <w:webHidden/>
              </w:rPr>
            </w:r>
            <w:r w:rsidR="008A04FB">
              <w:rPr>
                <w:noProof/>
                <w:webHidden/>
              </w:rPr>
              <w:fldChar w:fldCharType="separate"/>
            </w:r>
            <w:r w:rsidR="001B402B">
              <w:rPr>
                <w:noProof/>
                <w:webHidden/>
              </w:rPr>
              <w:t>9</w:t>
            </w:r>
            <w:r w:rsidR="008A04FB">
              <w:rPr>
                <w:noProof/>
                <w:webHidden/>
              </w:rPr>
              <w:fldChar w:fldCharType="end"/>
            </w:r>
          </w:hyperlink>
        </w:p>
        <w:p w14:paraId="4403CEE9" w14:textId="35F5E28E" w:rsidR="008A04FB" w:rsidRDefault="002B7FF4">
          <w:pPr>
            <w:pStyle w:val="TOC2"/>
            <w:tabs>
              <w:tab w:val="right" w:leader="dot" w:pos="9350"/>
            </w:tabs>
            <w:rPr>
              <w:rFonts w:eastAsiaTheme="minorEastAsia"/>
              <w:noProof/>
            </w:rPr>
          </w:pPr>
          <w:hyperlink w:anchor="_Toc68084997" w:history="1">
            <w:r w:rsidR="008A04FB" w:rsidRPr="00FC49D9">
              <w:rPr>
                <w:rStyle w:val="Hyperlink"/>
                <w:i/>
                <w:iCs/>
                <w:noProof/>
              </w:rPr>
              <w:t>Phase 3: Building an accountability model directed by the Citizen</w:t>
            </w:r>
            <w:r w:rsidR="008A04FB">
              <w:rPr>
                <w:noProof/>
                <w:webHidden/>
              </w:rPr>
              <w:tab/>
            </w:r>
            <w:r w:rsidR="008A04FB">
              <w:rPr>
                <w:noProof/>
                <w:webHidden/>
              </w:rPr>
              <w:fldChar w:fldCharType="begin"/>
            </w:r>
            <w:r w:rsidR="008A04FB">
              <w:rPr>
                <w:noProof/>
                <w:webHidden/>
              </w:rPr>
              <w:instrText xml:space="preserve"> PAGEREF _Toc68084997 \h </w:instrText>
            </w:r>
            <w:r w:rsidR="008A04FB">
              <w:rPr>
                <w:noProof/>
                <w:webHidden/>
              </w:rPr>
            </w:r>
            <w:r w:rsidR="008A04FB">
              <w:rPr>
                <w:noProof/>
                <w:webHidden/>
              </w:rPr>
              <w:fldChar w:fldCharType="separate"/>
            </w:r>
            <w:r w:rsidR="001B402B">
              <w:rPr>
                <w:noProof/>
                <w:webHidden/>
              </w:rPr>
              <w:t>11</w:t>
            </w:r>
            <w:r w:rsidR="008A04FB">
              <w:rPr>
                <w:noProof/>
                <w:webHidden/>
              </w:rPr>
              <w:fldChar w:fldCharType="end"/>
            </w:r>
          </w:hyperlink>
        </w:p>
        <w:p w14:paraId="61258859" w14:textId="07DC3E1B" w:rsidR="008A04FB" w:rsidRDefault="002B7FF4">
          <w:pPr>
            <w:pStyle w:val="TOC1"/>
            <w:rPr>
              <w:rFonts w:eastAsiaTheme="minorEastAsia"/>
              <w:noProof/>
            </w:rPr>
          </w:pPr>
          <w:hyperlink w:anchor="_Toc68084998" w:history="1">
            <w:r w:rsidR="008A04FB" w:rsidRPr="00FC49D9">
              <w:rPr>
                <w:rStyle w:val="Hyperlink"/>
                <w:rFonts w:cstheme="minorHAnsi"/>
                <w:noProof/>
              </w:rPr>
              <w:t>Literature Review – A brief Primer on Campaign Finance &amp; New York’s Affordable Housing</w:t>
            </w:r>
            <w:r w:rsidR="008A04FB">
              <w:rPr>
                <w:noProof/>
                <w:webHidden/>
              </w:rPr>
              <w:tab/>
            </w:r>
            <w:r w:rsidR="008A04FB">
              <w:rPr>
                <w:noProof/>
                <w:webHidden/>
              </w:rPr>
              <w:fldChar w:fldCharType="begin"/>
            </w:r>
            <w:r w:rsidR="008A04FB">
              <w:rPr>
                <w:noProof/>
                <w:webHidden/>
              </w:rPr>
              <w:instrText xml:space="preserve"> PAGEREF _Toc68084998 \h </w:instrText>
            </w:r>
            <w:r w:rsidR="008A04FB">
              <w:rPr>
                <w:noProof/>
                <w:webHidden/>
              </w:rPr>
            </w:r>
            <w:r w:rsidR="008A04FB">
              <w:rPr>
                <w:noProof/>
                <w:webHidden/>
              </w:rPr>
              <w:fldChar w:fldCharType="separate"/>
            </w:r>
            <w:r w:rsidR="001B402B">
              <w:rPr>
                <w:noProof/>
                <w:webHidden/>
              </w:rPr>
              <w:t>13</w:t>
            </w:r>
            <w:r w:rsidR="008A04FB">
              <w:rPr>
                <w:noProof/>
                <w:webHidden/>
              </w:rPr>
              <w:fldChar w:fldCharType="end"/>
            </w:r>
          </w:hyperlink>
        </w:p>
        <w:p w14:paraId="77ECB803" w14:textId="74A70E46" w:rsidR="008A04FB" w:rsidRDefault="002B7FF4">
          <w:pPr>
            <w:pStyle w:val="TOC2"/>
            <w:tabs>
              <w:tab w:val="right" w:leader="dot" w:pos="9350"/>
            </w:tabs>
            <w:rPr>
              <w:rFonts w:eastAsiaTheme="minorEastAsia"/>
              <w:noProof/>
            </w:rPr>
          </w:pPr>
          <w:hyperlink w:anchor="_Toc68084999" w:history="1">
            <w:r w:rsidR="008A04FB" w:rsidRPr="00FC49D9">
              <w:rPr>
                <w:rStyle w:val="Hyperlink"/>
                <w:noProof/>
              </w:rPr>
              <w:t>Campaign Finance in the United States – The Case for a “Pay to Play” Phenomenon</w:t>
            </w:r>
            <w:r w:rsidR="008A04FB">
              <w:rPr>
                <w:noProof/>
                <w:webHidden/>
              </w:rPr>
              <w:tab/>
            </w:r>
            <w:r w:rsidR="008A04FB">
              <w:rPr>
                <w:noProof/>
                <w:webHidden/>
              </w:rPr>
              <w:fldChar w:fldCharType="begin"/>
            </w:r>
            <w:r w:rsidR="008A04FB">
              <w:rPr>
                <w:noProof/>
                <w:webHidden/>
              </w:rPr>
              <w:instrText xml:space="preserve"> PAGEREF _Toc68084999 \h </w:instrText>
            </w:r>
            <w:r w:rsidR="008A04FB">
              <w:rPr>
                <w:noProof/>
                <w:webHidden/>
              </w:rPr>
            </w:r>
            <w:r w:rsidR="008A04FB">
              <w:rPr>
                <w:noProof/>
                <w:webHidden/>
              </w:rPr>
              <w:fldChar w:fldCharType="separate"/>
            </w:r>
            <w:r w:rsidR="001B402B">
              <w:rPr>
                <w:noProof/>
                <w:webHidden/>
              </w:rPr>
              <w:t>13</w:t>
            </w:r>
            <w:r w:rsidR="008A04FB">
              <w:rPr>
                <w:noProof/>
                <w:webHidden/>
              </w:rPr>
              <w:fldChar w:fldCharType="end"/>
            </w:r>
          </w:hyperlink>
        </w:p>
        <w:p w14:paraId="4F5C4AB1" w14:textId="4D3185CE" w:rsidR="008A04FB" w:rsidRDefault="002B7FF4">
          <w:pPr>
            <w:pStyle w:val="TOC2"/>
            <w:tabs>
              <w:tab w:val="right" w:leader="dot" w:pos="9350"/>
            </w:tabs>
            <w:rPr>
              <w:rFonts w:eastAsiaTheme="minorEastAsia"/>
              <w:noProof/>
            </w:rPr>
          </w:pPr>
          <w:hyperlink w:anchor="_Toc68085000" w:history="1">
            <w:r w:rsidR="008A04FB" w:rsidRPr="00FC49D9">
              <w:rPr>
                <w:rStyle w:val="Hyperlink"/>
                <w:noProof/>
              </w:rPr>
              <w:t>Understanding New York’s Affordable Housing Arena</w:t>
            </w:r>
            <w:r w:rsidR="008A04FB">
              <w:rPr>
                <w:noProof/>
                <w:webHidden/>
              </w:rPr>
              <w:tab/>
            </w:r>
            <w:r w:rsidR="008A04FB">
              <w:rPr>
                <w:noProof/>
                <w:webHidden/>
              </w:rPr>
              <w:fldChar w:fldCharType="begin"/>
            </w:r>
            <w:r w:rsidR="008A04FB">
              <w:rPr>
                <w:noProof/>
                <w:webHidden/>
              </w:rPr>
              <w:instrText xml:space="preserve"> PAGEREF _Toc68085000 \h </w:instrText>
            </w:r>
            <w:r w:rsidR="008A04FB">
              <w:rPr>
                <w:noProof/>
                <w:webHidden/>
              </w:rPr>
            </w:r>
            <w:r w:rsidR="008A04FB">
              <w:rPr>
                <w:noProof/>
                <w:webHidden/>
              </w:rPr>
              <w:fldChar w:fldCharType="separate"/>
            </w:r>
            <w:r w:rsidR="001B402B">
              <w:rPr>
                <w:noProof/>
                <w:webHidden/>
              </w:rPr>
              <w:t>15</w:t>
            </w:r>
            <w:r w:rsidR="008A04FB">
              <w:rPr>
                <w:noProof/>
                <w:webHidden/>
              </w:rPr>
              <w:fldChar w:fldCharType="end"/>
            </w:r>
          </w:hyperlink>
        </w:p>
        <w:p w14:paraId="22AA4F08" w14:textId="5F4B0DEC" w:rsidR="008A04FB" w:rsidRDefault="002B7FF4">
          <w:pPr>
            <w:pStyle w:val="TOC3"/>
            <w:tabs>
              <w:tab w:val="right" w:leader="dot" w:pos="9350"/>
            </w:tabs>
            <w:rPr>
              <w:rFonts w:eastAsiaTheme="minorEastAsia"/>
              <w:noProof/>
            </w:rPr>
          </w:pPr>
          <w:hyperlink w:anchor="_Toc68085001" w:history="1">
            <w:r w:rsidR="008A04FB" w:rsidRPr="00FC49D9">
              <w:rPr>
                <w:rStyle w:val="Hyperlink"/>
                <w:noProof/>
              </w:rPr>
              <w:t>The 1997 &amp; 2003 Rent Reform Acts</w:t>
            </w:r>
            <w:r w:rsidR="008A04FB">
              <w:rPr>
                <w:noProof/>
                <w:webHidden/>
              </w:rPr>
              <w:tab/>
            </w:r>
            <w:r w:rsidR="008A04FB">
              <w:rPr>
                <w:noProof/>
                <w:webHidden/>
              </w:rPr>
              <w:fldChar w:fldCharType="begin"/>
            </w:r>
            <w:r w:rsidR="008A04FB">
              <w:rPr>
                <w:noProof/>
                <w:webHidden/>
              </w:rPr>
              <w:instrText xml:space="preserve"> PAGEREF _Toc68085001 \h </w:instrText>
            </w:r>
            <w:r w:rsidR="008A04FB">
              <w:rPr>
                <w:noProof/>
                <w:webHidden/>
              </w:rPr>
            </w:r>
            <w:r w:rsidR="008A04FB">
              <w:rPr>
                <w:noProof/>
                <w:webHidden/>
              </w:rPr>
              <w:fldChar w:fldCharType="separate"/>
            </w:r>
            <w:r w:rsidR="001B402B">
              <w:rPr>
                <w:noProof/>
                <w:webHidden/>
              </w:rPr>
              <w:t>15</w:t>
            </w:r>
            <w:r w:rsidR="008A04FB">
              <w:rPr>
                <w:noProof/>
                <w:webHidden/>
              </w:rPr>
              <w:fldChar w:fldCharType="end"/>
            </w:r>
          </w:hyperlink>
        </w:p>
        <w:p w14:paraId="7AA69A81" w14:textId="11A1C5B7" w:rsidR="008A04FB" w:rsidRDefault="002B7FF4">
          <w:pPr>
            <w:pStyle w:val="TOC3"/>
            <w:tabs>
              <w:tab w:val="right" w:leader="dot" w:pos="9350"/>
            </w:tabs>
            <w:rPr>
              <w:rFonts w:eastAsiaTheme="minorEastAsia"/>
              <w:noProof/>
            </w:rPr>
          </w:pPr>
          <w:hyperlink w:anchor="_Toc68085002" w:history="1">
            <w:r w:rsidR="008A04FB" w:rsidRPr="00FC49D9">
              <w:rPr>
                <w:rStyle w:val="Hyperlink"/>
                <w:noProof/>
                <w:lang w:val="en"/>
              </w:rPr>
              <w:t>2019 Housing Stability and Tenant Protection Act</w:t>
            </w:r>
            <w:r w:rsidR="008A04FB">
              <w:rPr>
                <w:noProof/>
                <w:webHidden/>
              </w:rPr>
              <w:tab/>
            </w:r>
            <w:r w:rsidR="008A04FB">
              <w:rPr>
                <w:noProof/>
                <w:webHidden/>
              </w:rPr>
              <w:fldChar w:fldCharType="begin"/>
            </w:r>
            <w:r w:rsidR="008A04FB">
              <w:rPr>
                <w:noProof/>
                <w:webHidden/>
              </w:rPr>
              <w:instrText xml:space="preserve"> PAGEREF _Toc68085002 \h </w:instrText>
            </w:r>
            <w:r w:rsidR="008A04FB">
              <w:rPr>
                <w:noProof/>
                <w:webHidden/>
              </w:rPr>
            </w:r>
            <w:r w:rsidR="008A04FB">
              <w:rPr>
                <w:noProof/>
                <w:webHidden/>
              </w:rPr>
              <w:fldChar w:fldCharType="separate"/>
            </w:r>
            <w:r w:rsidR="001B402B">
              <w:rPr>
                <w:noProof/>
                <w:webHidden/>
              </w:rPr>
              <w:t>17</w:t>
            </w:r>
            <w:r w:rsidR="008A04FB">
              <w:rPr>
                <w:noProof/>
                <w:webHidden/>
              </w:rPr>
              <w:fldChar w:fldCharType="end"/>
            </w:r>
          </w:hyperlink>
        </w:p>
        <w:p w14:paraId="64823455" w14:textId="2FF2EBBF" w:rsidR="008A04FB" w:rsidRDefault="002B7FF4">
          <w:pPr>
            <w:pStyle w:val="TOC1"/>
            <w:rPr>
              <w:rFonts w:eastAsiaTheme="minorEastAsia"/>
              <w:noProof/>
            </w:rPr>
          </w:pPr>
          <w:hyperlink w:anchor="_Toc68085003" w:history="1">
            <w:r w:rsidR="008A04FB" w:rsidRPr="00FC49D9">
              <w:rPr>
                <w:rStyle w:val="Hyperlink"/>
                <w:noProof/>
              </w:rPr>
              <w:t>Summary Remarks</w:t>
            </w:r>
            <w:r w:rsidR="008A04FB">
              <w:rPr>
                <w:noProof/>
                <w:webHidden/>
              </w:rPr>
              <w:tab/>
            </w:r>
            <w:r w:rsidR="008A04FB">
              <w:rPr>
                <w:noProof/>
                <w:webHidden/>
              </w:rPr>
              <w:fldChar w:fldCharType="begin"/>
            </w:r>
            <w:r w:rsidR="008A04FB">
              <w:rPr>
                <w:noProof/>
                <w:webHidden/>
              </w:rPr>
              <w:instrText xml:space="preserve"> PAGEREF _Toc68085003 \h </w:instrText>
            </w:r>
            <w:r w:rsidR="008A04FB">
              <w:rPr>
                <w:noProof/>
                <w:webHidden/>
              </w:rPr>
            </w:r>
            <w:r w:rsidR="008A04FB">
              <w:rPr>
                <w:noProof/>
                <w:webHidden/>
              </w:rPr>
              <w:fldChar w:fldCharType="separate"/>
            </w:r>
            <w:r w:rsidR="001B402B">
              <w:rPr>
                <w:noProof/>
                <w:webHidden/>
              </w:rPr>
              <w:t>20</w:t>
            </w:r>
            <w:r w:rsidR="008A04FB">
              <w:rPr>
                <w:noProof/>
                <w:webHidden/>
              </w:rPr>
              <w:fldChar w:fldCharType="end"/>
            </w:r>
          </w:hyperlink>
        </w:p>
        <w:p w14:paraId="13D34E35" w14:textId="721E8940" w:rsidR="00B66AEF" w:rsidRPr="00F7146B" w:rsidRDefault="00B66AEF">
          <w:pPr>
            <w:rPr>
              <w:rFonts w:cstheme="minorHAnsi"/>
              <w:sz w:val="16"/>
              <w:szCs w:val="16"/>
            </w:rPr>
          </w:pPr>
          <w:r w:rsidRPr="00F7146B">
            <w:rPr>
              <w:rFonts w:cstheme="minorHAnsi"/>
              <w:b/>
              <w:bCs/>
              <w:noProof/>
              <w:sz w:val="16"/>
              <w:szCs w:val="16"/>
            </w:rPr>
            <w:fldChar w:fldCharType="end"/>
          </w:r>
        </w:p>
      </w:sdtContent>
    </w:sdt>
    <w:p w14:paraId="5021FFC3" w14:textId="605CE653" w:rsidR="009E16ED" w:rsidRDefault="009E16ED" w:rsidP="002372C3">
      <w:pPr>
        <w:jc w:val="center"/>
        <w:rPr>
          <w:b/>
          <w:bCs/>
          <w:sz w:val="24"/>
          <w:szCs w:val="24"/>
        </w:rPr>
      </w:pPr>
    </w:p>
    <w:p w14:paraId="66FCD9F0" w14:textId="25F608D6" w:rsidR="00785322" w:rsidRDefault="00785322" w:rsidP="002372C3">
      <w:pPr>
        <w:jc w:val="center"/>
        <w:rPr>
          <w:b/>
          <w:bCs/>
          <w:sz w:val="24"/>
          <w:szCs w:val="24"/>
        </w:rPr>
      </w:pPr>
    </w:p>
    <w:p w14:paraId="6ABDB6A8" w14:textId="0B153EB9" w:rsidR="00785322" w:rsidRDefault="00785322" w:rsidP="002372C3">
      <w:pPr>
        <w:jc w:val="center"/>
        <w:rPr>
          <w:b/>
          <w:bCs/>
          <w:sz w:val="24"/>
          <w:szCs w:val="24"/>
        </w:rPr>
      </w:pPr>
    </w:p>
    <w:p w14:paraId="49140411" w14:textId="1FECD73F" w:rsidR="00785322" w:rsidRDefault="00785322" w:rsidP="002372C3">
      <w:pPr>
        <w:jc w:val="center"/>
        <w:rPr>
          <w:b/>
          <w:bCs/>
          <w:sz w:val="24"/>
          <w:szCs w:val="24"/>
        </w:rPr>
      </w:pPr>
    </w:p>
    <w:p w14:paraId="5C0A41E9" w14:textId="108F6010" w:rsidR="00785322" w:rsidRDefault="00785322" w:rsidP="002372C3">
      <w:pPr>
        <w:jc w:val="center"/>
        <w:rPr>
          <w:b/>
          <w:bCs/>
          <w:sz w:val="24"/>
          <w:szCs w:val="24"/>
        </w:rPr>
      </w:pPr>
    </w:p>
    <w:p w14:paraId="6765062C" w14:textId="29AAC750" w:rsidR="00785322" w:rsidRDefault="00785322" w:rsidP="002372C3">
      <w:pPr>
        <w:jc w:val="center"/>
        <w:rPr>
          <w:b/>
          <w:bCs/>
          <w:sz w:val="24"/>
          <w:szCs w:val="24"/>
        </w:rPr>
      </w:pPr>
    </w:p>
    <w:p w14:paraId="17AD0F2C" w14:textId="652BCCEB" w:rsidR="00785322" w:rsidRDefault="00785322" w:rsidP="002372C3">
      <w:pPr>
        <w:jc w:val="center"/>
        <w:rPr>
          <w:b/>
          <w:bCs/>
          <w:sz w:val="24"/>
          <w:szCs w:val="24"/>
        </w:rPr>
      </w:pPr>
    </w:p>
    <w:p w14:paraId="5C614D94" w14:textId="1BEA0A6C" w:rsidR="00785322" w:rsidRDefault="00785322" w:rsidP="002372C3">
      <w:pPr>
        <w:jc w:val="center"/>
        <w:rPr>
          <w:b/>
          <w:bCs/>
          <w:sz w:val="24"/>
          <w:szCs w:val="24"/>
        </w:rPr>
      </w:pPr>
    </w:p>
    <w:p w14:paraId="7C9E9B09" w14:textId="6BAEA53F" w:rsidR="00785322" w:rsidRDefault="00785322" w:rsidP="002372C3">
      <w:pPr>
        <w:jc w:val="center"/>
        <w:rPr>
          <w:b/>
          <w:bCs/>
          <w:sz w:val="24"/>
          <w:szCs w:val="24"/>
        </w:rPr>
      </w:pPr>
    </w:p>
    <w:p w14:paraId="26066131" w14:textId="14D7B54E" w:rsidR="00785322" w:rsidRDefault="00785322" w:rsidP="002372C3">
      <w:pPr>
        <w:jc w:val="center"/>
        <w:rPr>
          <w:b/>
          <w:bCs/>
          <w:sz w:val="24"/>
          <w:szCs w:val="24"/>
        </w:rPr>
      </w:pPr>
    </w:p>
    <w:p w14:paraId="32532A82" w14:textId="58A74312" w:rsidR="00334D12" w:rsidRDefault="00334D12" w:rsidP="002372C3">
      <w:pPr>
        <w:jc w:val="center"/>
        <w:rPr>
          <w:b/>
          <w:bCs/>
          <w:sz w:val="24"/>
          <w:szCs w:val="24"/>
        </w:rPr>
      </w:pPr>
    </w:p>
    <w:p w14:paraId="23C4FC8E" w14:textId="5719A675" w:rsidR="00334D12" w:rsidRDefault="00334D12" w:rsidP="002372C3">
      <w:pPr>
        <w:jc w:val="center"/>
        <w:rPr>
          <w:b/>
          <w:bCs/>
          <w:sz w:val="24"/>
          <w:szCs w:val="24"/>
        </w:rPr>
      </w:pPr>
    </w:p>
    <w:p w14:paraId="0E13AC4D" w14:textId="23C5B8A0" w:rsidR="00334D12" w:rsidRDefault="00334D12" w:rsidP="002372C3">
      <w:pPr>
        <w:jc w:val="center"/>
        <w:rPr>
          <w:b/>
          <w:bCs/>
          <w:sz w:val="24"/>
          <w:szCs w:val="24"/>
        </w:rPr>
      </w:pPr>
    </w:p>
    <w:p w14:paraId="7348A3DE" w14:textId="44C3825F" w:rsidR="00334D12" w:rsidRDefault="00334D12" w:rsidP="002372C3">
      <w:pPr>
        <w:jc w:val="center"/>
        <w:rPr>
          <w:b/>
          <w:bCs/>
          <w:sz w:val="24"/>
          <w:szCs w:val="24"/>
        </w:rPr>
      </w:pPr>
    </w:p>
    <w:p w14:paraId="1B6D40C5" w14:textId="495A7944" w:rsidR="00334D12" w:rsidRDefault="00334D12" w:rsidP="002372C3">
      <w:pPr>
        <w:jc w:val="center"/>
        <w:rPr>
          <w:b/>
          <w:bCs/>
          <w:sz w:val="24"/>
          <w:szCs w:val="24"/>
        </w:rPr>
      </w:pPr>
    </w:p>
    <w:p w14:paraId="2EEB0C48" w14:textId="0A42F330" w:rsidR="00334D12" w:rsidRDefault="00334D12" w:rsidP="002372C3">
      <w:pPr>
        <w:jc w:val="center"/>
        <w:rPr>
          <w:b/>
          <w:bCs/>
          <w:sz w:val="24"/>
          <w:szCs w:val="24"/>
        </w:rPr>
      </w:pPr>
    </w:p>
    <w:p w14:paraId="30309723" w14:textId="199B06A0" w:rsidR="003E3F30" w:rsidRPr="002372C3" w:rsidRDefault="000A74BE" w:rsidP="002372C3">
      <w:pPr>
        <w:jc w:val="center"/>
        <w:rPr>
          <w:b/>
          <w:bCs/>
          <w:sz w:val="24"/>
          <w:szCs w:val="24"/>
        </w:rPr>
      </w:pPr>
      <w:r w:rsidRPr="002372C3">
        <w:rPr>
          <w:b/>
          <w:bCs/>
          <w:sz w:val="24"/>
          <w:szCs w:val="24"/>
        </w:rPr>
        <w:t xml:space="preserve">Identifying </w:t>
      </w:r>
      <w:r w:rsidR="005A0F07">
        <w:rPr>
          <w:b/>
          <w:bCs/>
          <w:sz w:val="24"/>
          <w:szCs w:val="24"/>
        </w:rPr>
        <w:t xml:space="preserve">Causes of </w:t>
      </w:r>
      <w:r w:rsidRPr="002372C3">
        <w:rPr>
          <w:b/>
          <w:bCs/>
          <w:sz w:val="24"/>
          <w:szCs w:val="24"/>
        </w:rPr>
        <w:t xml:space="preserve">&amp; </w:t>
      </w:r>
      <w:r w:rsidR="008A0530" w:rsidRPr="002372C3">
        <w:rPr>
          <w:b/>
          <w:bCs/>
          <w:sz w:val="24"/>
          <w:szCs w:val="24"/>
        </w:rPr>
        <w:t>Countering</w:t>
      </w:r>
      <w:r w:rsidR="003E3F30" w:rsidRPr="002372C3">
        <w:rPr>
          <w:b/>
          <w:bCs/>
          <w:sz w:val="24"/>
          <w:szCs w:val="24"/>
        </w:rPr>
        <w:t xml:space="preserve"> </w:t>
      </w:r>
      <w:r w:rsidR="002C55DF" w:rsidRPr="002372C3">
        <w:rPr>
          <w:b/>
          <w:bCs/>
          <w:sz w:val="24"/>
          <w:szCs w:val="24"/>
        </w:rPr>
        <w:t>A</w:t>
      </w:r>
      <w:r w:rsidR="003E3F30" w:rsidRPr="002372C3">
        <w:rPr>
          <w:b/>
          <w:bCs/>
          <w:sz w:val="24"/>
          <w:szCs w:val="24"/>
        </w:rPr>
        <w:t>ccountability-</w:t>
      </w:r>
      <w:r w:rsidR="002C55DF" w:rsidRPr="002372C3">
        <w:rPr>
          <w:b/>
          <w:bCs/>
          <w:sz w:val="24"/>
          <w:szCs w:val="24"/>
        </w:rPr>
        <w:t>A</w:t>
      </w:r>
      <w:r w:rsidR="003E3F30" w:rsidRPr="002372C3">
        <w:rPr>
          <w:b/>
          <w:bCs/>
          <w:sz w:val="24"/>
          <w:szCs w:val="24"/>
        </w:rPr>
        <w:t>voidance in US administrative agencies</w:t>
      </w:r>
    </w:p>
    <w:p w14:paraId="5322E039" w14:textId="60AF2DA9" w:rsidR="003E3F30" w:rsidRPr="00CB2E0F" w:rsidRDefault="003E3F30" w:rsidP="003E3F30">
      <w:pPr>
        <w:jc w:val="center"/>
        <w:rPr>
          <w:rFonts w:cstheme="minorHAnsi"/>
        </w:rPr>
      </w:pPr>
      <w:r w:rsidRPr="00CB2E0F">
        <w:rPr>
          <w:rFonts w:cstheme="minorHAnsi"/>
        </w:rPr>
        <w:t>Master’s Thesis</w:t>
      </w:r>
      <w:r w:rsidR="002C55DF" w:rsidRPr="00CB2E0F">
        <w:rPr>
          <w:rFonts w:cstheme="minorHAnsi"/>
        </w:rPr>
        <w:t xml:space="preserve"> - </w:t>
      </w:r>
      <w:r w:rsidRPr="00CB2E0F">
        <w:rPr>
          <w:rFonts w:cstheme="minorHAnsi"/>
        </w:rPr>
        <w:t>by Priti Bali-Kahn</w:t>
      </w:r>
    </w:p>
    <w:p w14:paraId="7C00C19F" w14:textId="77777777" w:rsidR="003E3F30" w:rsidRPr="00CB2E0F" w:rsidRDefault="003E3F30" w:rsidP="003E3F30">
      <w:pPr>
        <w:jc w:val="center"/>
        <w:rPr>
          <w:rFonts w:cstheme="minorHAnsi"/>
        </w:rPr>
      </w:pPr>
      <w:r w:rsidRPr="00CB2E0F">
        <w:rPr>
          <w:rFonts w:cstheme="minorHAnsi"/>
        </w:rPr>
        <w:t>MPA Candidate: CUNY – John Jay College of Criminal Justice</w:t>
      </w:r>
    </w:p>
    <w:p w14:paraId="4410E593" w14:textId="77777777" w:rsidR="003E3F30" w:rsidRDefault="003E3F30" w:rsidP="003E3F30"/>
    <w:p w14:paraId="57441922" w14:textId="6E87FFCA" w:rsidR="003E3F30" w:rsidRDefault="003E3F30" w:rsidP="00B66AEF">
      <w:pPr>
        <w:pStyle w:val="Subtitle"/>
        <w:jc w:val="center"/>
      </w:pPr>
      <w:r>
        <w:t xml:space="preserve">Research Design Framework to apply existing tools used in financial control environments </w:t>
      </w:r>
      <w:r w:rsidR="00B55C20">
        <w:t>to empower</w:t>
      </w:r>
      <w:r>
        <w:t xml:space="preserve"> citizen</w:t>
      </w:r>
      <w:r w:rsidR="00B55C20">
        <w:t xml:space="preserve"> constituents</w:t>
      </w:r>
      <w:r>
        <w:t xml:space="preserve"> in pursuing organizational accountability in US administrative </w:t>
      </w:r>
      <w:r w:rsidR="00E875FA">
        <w:t>agencies.</w:t>
      </w:r>
    </w:p>
    <w:p w14:paraId="010FDA8F" w14:textId="3AC089C8" w:rsidR="003251A5" w:rsidRPr="00536D5A" w:rsidRDefault="003251A5" w:rsidP="00536D5A">
      <w:pPr>
        <w:pStyle w:val="Heading1"/>
        <w:rPr>
          <w:sz w:val="24"/>
          <w:szCs w:val="24"/>
        </w:rPr>
      </w:pPr>
      <w:bookmarkStart w:id="0" w:name="_Toc68084991"/>
      <w:r w:rsidRPr="00536D5A">
        <w:rPr>
          <w:sz w:val="24"/>
          <w:szCs w:val="24"/>
        </w:rPr>
        <w:t>Abstract</w:t>
      </w:r>
      <w:bookmarkEnd w:id="0"/>
    </w:p>
    <w:p w14:paraId="7429C567" w14:textId="70F1B1CC" w:rsidR="003E3C0E" w:rsidRPr="00030D31" w:rsidRDefault="003E3F30" w:rsidP="003E3C0E">
      <w:pPr>
        <w:spacing w:line="240" w:lineRule="auto"/>
        <w:jc w:val="both"/>
        <w:rPr>
          <w:rFonts w:cstheme="minorHAnsi"/>
          <w:lang w:val="en"/>
        </w:rPr>
      </w:pPr>
      <w:r>
        <w:t>Public corruption denies average citizens</w:t>
      </w:r>
      <w:r w:rsidR="003251A5">
        <w:t xml:space="preserve"> </w:t>
      </w:r>
      <w:r>
        <w:t>transparency in government pol</w:t>
      </w:r>
      <w:r w:rsidR="003251A5">
        <w:t>icy</w:t>
      </w:r>
      <w:r w:rsidR="00A92650">
        <w:t xml:space="preserve"> </w:t>
      </w:r>
      <w:r>
        <w:t xml:space="preserve">effects on their communities. </w:t>
      </w:r>
      <w:r w:rsidR="003251A5">
        <w:t>Furthermore</w:t>
      </w:r>
      <w:r w:rsidR="00A92650">
        <w:t>,</w:t>
      </w:r>
      <w:r w:rsidR="00095F1F">
        <w:t xml:space="preserve"> </w:t>
      </w:r>
      <w:r w:rsidR="003251A5">
        <w:t xml:space="preserve">new forms of public corruption not included in the classic </w:t>
      </w:r>
      <w:r w:rsidR="00A92650">
        <w:t xml:space="preserve">“quid pro quo” </w:t>
      </w:r>
      <w:r w:rsidR="003251A5">
        <w:t>definition, are creating environments where the independent judgement of elected officials may be influenced by special interests. Campaign</w:t>
      </w:r>
      <w:r w:rsidR="00FD512E">
        <w:t xml:space="preserve"> finance</w:t>
      </w:r>
      <w:r>
        <w:t xml:space="preserve"> environments</w:t>
      </w:r>
      <w:r w:rsidR="003251A5">
        <w:t xml:space="preserve"> are part of these new forms of public corruption</w:t>
      </w:r>
      <w:r>
        <w:t xml:space="preserve">, </w:t>
      </w:r>
      <w:r w:rsidR="003251A5">
        <w:t xml:space="preserve">which </w:t>
      </w:r>
      <w:r>
        <w:t>ensure average citizen</w:t>
      </w:r>
      <w:r w:rsidR="00A92650">
        <w:t xml:space="preserve">s </w:t>
      </w:r>
      <w:r w:rsidR="003251A5">
        <w:t>lack</w:t>
      </w:r>
      <w:r w:rsidR="00A92650">
        <w:t xml:space="preserve"> influential access </w:t>
      </w:r>
      <w:r w:rsidR="003251A5">
        <w:t>to elected officials to have their concerns heard</w:t>
      </w:r>
      <w:r>
        <w:t xml:space="preserve">. </w:t>
      </w:r>
      <w:r w:rsidR="00A92650">
        <w:t>In accounting, audit</w:t>
      </w:r>
      <w:r w:rsidR="00C0003E">
        <w:t>,</w:t>
      </w:r>
      <w:r w:rsidR="00A92650">
        <w:t xml:space="preserve"> and public administration, 3 industries that require the utmost integrity in providing services</w:t>
      </w:r>
      <w:r w:rsidR="00745CCC">
        <w:t>, f</w:t>
      </w:r>
      <w:r w:rsidR="00A92650">
        <w:t>inancial and non-financial measures are used to under</w:t>
      </w:r>
      <w:r w:rsidR="00C0003E">
        <w:t>stand</w:t>
      </w:r>
      <w:r w:rsidR="00A92650">
        <w:t xml:space="preserve"> the “Internal Control Environment” of an organization. These measures are derived from </w:t>
      </w:r>
      <w:r w:rsidR="00A92650">
        <w:rPr>
          <w:i/>
          <w:iCs/>
        </w:rPr>
        <w:t xml:space="preserve">COSO’s Internal Control </w:t>
      </w:r>
      <w:r w:rsidR="00A92650" w:rsidRPr="00A92650">
        <w:t>Framework</w:t>
      </w:r>
      <w:r w:rsidR="00A92650">
        <w:t xml:space="preserve">, which was designed by public traded companies as a self-monitoring measure. Based on </w:t>
      </w:r>
      <w:r w:rsidR="00A92650">
        <w:rPr>
          <w:i/>
          <w:iCs/>
        </w:rPr>
        <w:t xml:space="preserve">COSO’s Five Elements of Internal Control Framework, </w:t>
      </w:r>
      <w:r w:rsidR="00A92650">
        <w:t>“Tone at the Top” or the ethics, integrity</w:t>
      </w:r>
      <w:r w:rsidR="00C0003E">
        <w:t>,</w:t>
      </w:r>
      <w:r w:rsidR="00A92650">
        <w:t xml:space="preserve"> and attitudes of those at the</w:t>
      </w:r>
      <w:r w:rsidR="00C0003E">
        <w:t xml:space="preserve"> upper levels</w:t>
      </w:r>
      <w:r w:rsidR="00A92650">
        <w:t xml:space="preserve"> have a significant impact on an organization’s</w:t>
      </w:r>
      <w:r w:rsidR="00C0003E">
        <w:t xml:space="preserve"> effectiveness</w:t>
      </w:r>
      <w:r w:rsidR="00A92650">
        <w:t xml:space="preserve">. </w:t>
      </w:r>
      <w:r w:rsidR="00A92650">
        <w:rPr>
          <w:i/>
          <w:iCs/>
        </w:rPr>
        <w:t xml:space="preserve">COSO </w:t>
      </w:r>
      <w:r w:rsidR="00A92650">
        <w:t>also informs us that this “Tone at the Top” can help accountants, auditors</w:t>
      </w:r>
      <w:r w:rsidR="00C0003E">
        <w:t>,</w:t>
      </w:r>
      <w:r w:rsidR="00A92650">
        <w:t xml:space="preserve"> and other oversight providers, understand the risk of fraud and non-approved </w:t>
      </w:r>
      <w:r w:rsidR="00C0003E">
        <w:t>conduct</w:t>
      </w:r>
      <w:r w:rsidR="00A92650">
        <w:t xml:space="preserve"> within an organization. Based on this framework, the main hypothesis of this thesis is: </w:t>
      </w:r>
      <w:r w:rsidR="00A92650">
        <w:rPr>
          <w:i/>
          <w:iCs/>
        </w:rPr>
        <w:t xml:space="preserve">Campaign contributions to Senators, Assemblypersons, </w:t>
      </w:r>
      <w:r w:rsidR="00CC4924">
        <w:rPr>
          <w:i/>
          <w:iCs/>
        </w:rPr>
        <w:t>Governors,</w:t>
      </w:r>
      <w:r w:rsidR="00A92650">
        <w:rPr>
          <w:i/>
          <w:iCs/>
        </w:rPr>
        <w:t xml:space="preserve"> and other primary/secondary legislative bodies, </w:t>
      </w:r>
      <w:r w:rsidR="00D11C5B">
        <w:rPr>
          <w:i/>
          <w:iCs/>
        </w:rPr>
        <w:t xml:space="preserve">led to “Displacement” of </w:t>
      </w:r>
      <w:r w:rsidR="00C0003E">
        <w:rPr>
          <w:i/>
          <w:iCs/>
        </w:rPr>
        <w:t>low-income</w:t>
      </w:r>
      <w:r w:rsidR="00D11C5B">
        <w:rPr>
          <w:i/>
          <w:iCs/>
        </w:rPr>
        <w:t xml:space="preserve"> residents of New York City </w:t>
      </w:r>
      <w:r w:rsidR="00C0003E">
        <w:rPr>
          <w:i/>
          <w:iCs/>
        </w:rPr>
        <w:t>from 2000</w:t>
      </w:r>
      <w:r w:rsidR="00D11C5B">
        <w:rPr>
          <w:i/>
          <w:iCs/>
        </w:rPr>
        <w:t xml:space="preserve">-2020. </w:t>
      </w:r>
      <w:r w:rsidR="00D11C5B">
        <w:t>Through initial regression analysis of publicly available data</w:t>
      </w:r>
      <w:r w:rsidR="00C0003E">
        <w:t xml:space="preserve">, </w:t>
      </w:r>
      <w:r w:rsidR="00D11C5B">
        <w:t xml:space="preserve">campaign contributions from the Finance/Insurance/Real Estate industries </w:t>
      </w:r>
      <w:r w:rsidR="00C0003E">
        <w:t>could be linked causally to the affordable housing crisis in NYC. It contends that these continued contributions</w:t>
      </w:r>
      <w:r w:rsidR="00D11C5B">
        <w:t xml:space="preserve"> led to</w:t>
      </w:r>
      <w:r w:rsidR="00C0003E">
        <w:t xml:space="preserve"> harmful legislation and </w:t>
      </w:r>
      <w:r w:rsidR="00D11C5B">
        <w:t xml:space="preserve">accountability avoidance in the main administrative agencies mandated with protecting New York’s affordable housing.  The proposal being generated from this initial analysis seeks to gather data for a period of 1990-2020, for the main variables identified as being indicators of the </w:t>
      </w:r>
      <w:r w:rsidR="00D11C5B" w:rsidRPr="00735509">
        <w:rPr>
          <w:i/>
          <w:iCs/>
        </w:rPr>
        <w:t>Displacement</w:t>
      </w:r>
      <w:r w:rsidR="00D11C5B">
        <w:t xml:space="preserve"> of lower-paying tenants with higher paying tenants. The proposal further seeks to create a composite model to apply to different cities, using mostly data available from public sources. Finally, the proposal seeks to create another space for citizens to share their concerns, and to find resources that will help them navigate this deeply ingrained accountability avoidance. To correct the damage of special interest groups on New York’s affordable housing requires that we use big data, and tools reserved for accountants, auditors</w:t>
      </w:r>
      <w:r w:rsidR="00C0003E">
        <w:t>,</w:t>
      </w:r>
      <w:r w:rsidR="00D11C5B">
        <w:t xml:space="preserve"> and researchers, to develop litigation under the Fair Housing Act</w:t>
      </w:r>
      <w:r w:rsidR="00C0003E">
        <w:t xml:space="preserve"> of 1968</w:t>
      </w:r>
      <w:r w:rsidR="00D11C5B">
        <w:t xml:space="preserve">. </w:t>
      </w:r>
    </w:p>
    <w:p w14:paraId="1EDD0E8E" w14:textId="510A47AA" w:rsidR="003E3C0E" w:rsidRDefault="003E3C0E" w:rsidP="003E3F30">
      <w:pPr>
        <w:ind w:left="900" w:right="900"/>
        <w:jc w:val="both"/>
      </w:pPr>
    </w:p>
    <w:p w14:paraId="126C26C4" w14:textId="5A17F728" w:rsidR="00815F32" w:rsidRDefault="00815F32" w:rsidP="003E3F30">
      <w:pPr>
        <w:ind w:left="900" w:right="900"/>
        <w:jc w:val="both"/>
      </w:pPr>
    </w:p>
    <w:p w14:paraId="64719E15" w14:textId="68CFDE6A" w:rsidR="00815F32" w:rsidRDefault="00815F32" w:rsidP="003E3F30">
      <w:pPr>
        <w:ind w:left="900" w:right="900"/>
        <w:jc w:val="both"/>
      </w:pPr>
    </w:p>
    <w:p w14:paraId="0994826B" w14:textId="215C0AA8" w:rsidR="00E8716E" w:rsidRDefault="00E8716E" w:rsidP="003E3F30">
      <w:pPr>
        <w:ind w:left="900" w:right="900"/>
        <w:jc w:val="both"/>
      </w:pPr>
    </w:p>
    <w:p w14:paraId="631182F4" w14:textId="77777777" w:rsidR="00E8716E" w:rsidRDefault="00E8716E" w:rsidP="003E3F30">
      <w:pPr>
        <w:ind w:left="900" w:right="900"/>
        <w:jc w:val="both"/>
      </w:pPr>
    </w:p>
    <w:p w14:paraId="666DA4F2" w14:textId="5948D91E" w:rsidR="00C178C8" w:rsidRPr="00536D5A" w:rsidRDefault="009E107D" w:rsidP="00536D5A">
      <w:pPr>
        <w:pStyle w:val="Heading1"/>
        <w:rPr>
          <w:sz w:val="24"/>
          <w:szCs w:val="24"/>
        </w:rPr>
      </w:pPr>
      <w:bookmarkStart w:id="1" w:name="_Toc68084992"/>
      <w:r w:rsidRPr="00536D5A">
        <w:rPr>
          <w:sz w:val="24"/>
          <w:szCs w:val="24"/>
        </w:rPr>
        <w:lastRenderedPageBreak/>
        <w:t xml:space="preserve">Executive </w:t>
      </w:r>
      <w:r w:rsidR="00723839" w:rsidRPr="00536D5A">
        <w:rPr>
          <w:sz w:val="24"/>
          <w:szCs w:val="24"/>
        </w:rPr>
        <w:t>Summary</w:t>
      </w:r>
      <w:bookmarkEnd w:id="1"/>
    </w:p>
    <w:p w14:paraId="3BFC8EB9" w14:textId="79E0ABFB" w:rsidR="002A6F5B" w:rsidRDefault="002A6F5B" w:rsidP="00C72D3B">
      <w:pPr>
        <w:spacing w:line="240" w:lineRule="auto"/>
        <w:jc w:val="both"/>
        <w:rPr>
          <w:rFonts w:cstheme="minorHAnsi"/>
          <w:lang w:val="en"/>
        </w:rPr>
      </w:pPr>
      <w:r w:rsidRPr="00F141F6">
        <w:rPr>
          <w:rFonts w:cstheme="minorHAnsi"/>
          <w:lang w:val="en"/>
        </w:rPr>
        <w:t xml:space="preserve">Public corruption has been a ubiquitous part of human culture since its inception. It harms more than just the public </w:t>
      </w:r>
      <w:r w:rsidR="003D690D" w:rsidRPr="00F141F6">
        <w:rPr>
          <w:rFonts w:cstheme="minorHAnsi"/>
          <w:lang w:val="en"/>
        </w:rPr>
        <w:t>trust</w:t>
      </w:r>
      <w:r w:rsidR="003D690D">
        <w:rPr>
          <w:rFonts w:cstheme="minorHAnsi"/>
          <w:lang w:val="en"/>
        </w:rPr>
        <w:t>;</w:t>
      </w:r>
      <w:r w:rsidRPr="00F141F6">
        <w:rPr>
          <w:rFonts w:cstheme="minorHAnsi"/>
          <w:lang w:val="en"/>
        </w:rPr>
        <w:t xml:space="preserve"> it continues to have</w:t>
      </w:r>
      <w:r w:rsidR="00CC60E4">
        <w:rPr>
          <w:rFonts w:cstheme="minorHAnsi"/>
          <w:lang w:val="en"/>
        </w:rPr>
        <w:t xml:space="preserve"> a</w:t>
      </w:r>
      <w:r w:rsidRPr="00F141F6">
        <w:rPr>
          <w:rFonts w:cstheme="minorHAnsi"/>
          <w:lang w:val="en"/>
        </w:rPr>
        <w:t xml:space="preserve"> negative impact on GDP. </w:t>
      </w:r>
      <w:r w:rsidR="003D690D">
        <w:rPr>
          <w:rFonts w:cstheme="minorHAnsi"/>
          <w:lang w:val="en"/>
        </w:rPr>
        <w:t>P</w:t>
      </w:r>
      <w:r w:rsidRPr="00F141F6">
        <w:rPr>
          <w:rFonts w:cstheme="minorHAnsi"/>
          <w:lang w:val="en"/>
        </w:rPr>
        <w:t>ublic corruption fosters deterioration of democratic institutions, which can quickly become the root cause of a failed nation. Public corruption, especially in the form of patronage, nepotism, and bribery is well-documented</w:t>
      </w:r>
      <w:r w:rsidR="003D4969">
        <w:rPr>
          <w:rFonts w:cstheme="minorHAnsi"/>
          <w:lang w:val="en"/>
        </w:rPr>
        <w:t xml:space="preserve"> </w:t>
      </w:r>
      <w:r w:rsidR="003D4969" w:rsidRPr="00F141F6">
        <w:rPr>
          <w:rFonts w:cstheme="minorHAnsi"/>
          <w:lang w:val="en"/>
        </w:rPr>
        <w:t>in the United States</w:t>
      </w:r>
      <w:r w:rsidRPr="00F141F6">
        <w:rPr>
          <w:rFonts w:cstheme="minorHAnsi"/>
          <w:lang w:val="en"/>
        </w:rPr>
        <w:t>.</w:t>
      </w:r>
      <w:r>
        <w:rPr>
          <w:rStyle w:val="FootnoteReference"/>
          <w:rFonts w:cstheme="minorHAnsi"/>
          <w:lang w:val="en"/>
        </w:rPr>
        <w:footnoteReference w:id="1"/>
      </w:r>
    </w:p>
    <w:p w14:paraId="7A33096D" w14:textId="526AEA3F" w:rsidR="006A5C49" w:rsidRDefault="00F24FB1" w:rsidP="00C72D3B">
      <w:pPr>
        <w:spacing w:line="240" w:lineRule="auto"/>
        <w:jc w:val="both"/>
        <w:rPr>
          <w:rFonts w:cstheme="minorHAnsi"/>
          <w:lang w:val="en"/>
        </w:rPr>
      </w:pPr>
      <w:r>
        <w:rPr>
          <w:rFonts w:cstheme="minorHAnsi"/>
          <w:lang w:val="en"/>
        </w:rPr>
        <w:t>US</w:t>
      </w:r>
      <w:r w:rsidR="00E30A12">
        <w:rPr>
          <w:rFonts w:cstheme="minorHAnsi"/>
          <w:lang w:val="en"/>
        </w:rPr>
        <w:t xml:space="preserve"> legislators</w:t>
      </w:r>
      <w:r w:rsidR="00C178C8">
        <w:rPr>
          <w:rFonts w:cstheme="minorHAnsi"/>
          <w:lang w:val="en"/>
        </w:rPr>
        <w:t xml:space="preserve"> </w:t>
      </w:r>
      <w:r w:rsidR="00C178C8" w:rsidRPr="00F141F6">
        <w:rPr>
          <w:rFonts w:cstheme="minorHAnsi"/>
          <w:lang w:val="en"/>
        </w:rPr>
        <w:t xml:space="preserve">have made many efforts to combat </w:t>
      </w:r>
      <w:r w:rsidR="00BF51AB">
        <w:rPr>
          <w:rFonts w:cstheme="minorHAnsi"/>
          <w:lang w:val="en"/>
        </w:rPr>
        <w:t>symptoms</w:t>
      </w:r>
      <w:r w:rsidR="00C178C8" w:rsidRPr="00F141F6">
        <w:rPr>
          <w:rFonts w:cstheme="minorHAnsi"/>
          <w:lang w:val="en"/>
        </w:rPr>
        <w:t xml:space="preserve"> of </w:t>
      </w:r>
      <w:r w:rsidR="00C178C8" w:rsidRPr="0004461A">
        <w:rPr>
          <w:rFonts w:cstheme="minorHAnsi"/>
          <w:i/>
          <w:iCs/>
          <w:lang w:val="en"/>
        </w:rPr>
        <w:t>corru</w:t>
      </w:r>
      <w:r w:rsidR="0004461A" w:rsidRPr="0004461A">
        <w:rPr>
          <w:rFonts w:cstheme="minorHAnsi"/>
          <w:i/>
          <w:iCs/>
          <w:lang w:val="en"/>
        </w:rPr>
        <w:t>pting impact</w:t>
      </w:r>
      <w:r w:rsidR="00BF51AB">
        <w:rPr>
          <w:rFonts w:cstheme="minorHAnsi"/>
          <w:lang w:val="en"/>
        </w:rPr>
        <w:t>, often identified as Fraud, Waste</w:t>
      </w:r>
      <w:r w:rsidR="00D11C5B">
        <w:rPr>
          <w:rFonts w:cstheme="minorHAnsi"/>
          <w:lang w:val="en"/>
        </w:rPr>
        <w:t>,</w:t>
      </w:r>
      <w:r w:rsidR="00BF51AB">
        <w:rPr>
          <w:rFonts w:cstheme="minorHAnsi"/>
          <w:lang w:val="en"/>
        </w:rPr>
        <w:t xml:space="preserve"> </w:t>
      </w:r>
      <w:r w:rsidR="0004461A">
        <w:rPr>
          <w:rFonts w:cstheme="minorHAnsi"/>
          <w:lang w:val="en"/>
        </w:rPr>
        <w:t>&amp; Abuse</w:t>
      </w:r>
      <w:r w:rsidR="00C178C8" w:rsidRPr="00F141F6">
        <w:rPr>
          <w:rFonts w:cstheme="minorHAnsi"/>
          <w:lang w:val="en"/>
        </w:rPr>
        <w:t>. Laws encompassing anti-trust, the Foreign Corruption Practices Act (FCPA</w:t>
      </w:r>
      <w:r w:rsidR="00C178C8">
        <w:rPr>
          <w:rFonts w:cstheme="minorHAnsi"/>
          <w:lang w:val="en"/>
        </w:rPr>
        <w:t>, 1977)</w:t>
      </w:r>
      <w:r w:rsidR="00C178C8" w:rsidRPr="00F141F6">
        <w:rPr>
          <w:rFonts w:cstheme="minorHAnsi"/>
          <w:lang w:val="en"/>
        </w:rPr>
        <w:t>, and the Inspector General Act</w:t>
      </w:r>
      <w:r w:rsidR="003D690D">
        <w:rPr>
          <w:rFonts w:cstheme="minorHAnsi"/>
          <w:lang w:val="en"/>
        </w:rPr>
        <w:t xml:space="preserve"> (IGA, 1978)</w:t>
      </w:r>
      <w:r w:rsidR="004536EF">
        <w:rPr>
          <w:rFonts w:cstheme="minorHAnsi"/>
          <w:lang w:val="en"/>
        </w:rPr>
        <w:t>,</w:t>
      </w:r>
      <w:r w:rsidR="00C178C8" w:rsidRPr="00F141F6">
        <w:rPr>
          <w:rFonts w:cstheme="minorHAnsi"/>
          <w:lang w:val="en"/>
        </w:rPr>
        <w:t xml:space="preserve"> to name a few, speak to the variety of efforts undertaken to combat corruption</w:t>
      </w:r>
      <w:r w:rsidR="005737C9">
        <w:rPr>
          <w:rFonts w:cstheme="minorHAnsi"/>
          <w:lang w:val="en"/>
        </w:rPr>
        <w:t xml:space="preserve"> as defined above</w:t>
      </w:r>
      <w:r w:rsidR="00C178C8" w:rsidRPr="00F141F6">
        <w:rPr>
          <w:rFonts w:cstheme="minorHAnsi"/>
          <w:lang w:val="en"/>
        </w:rPr>
        <w:t xml:space="preserve">. </w:t>
      </w:r>
    </w:p>
    <w:p w14:paraId="09CA0CFE" w14:textId="15575DFE" w:rsidR="00C178C8" w:rsidRDefault="00C178C8" w:rsidP="00C72D3B">
      <w:pPr>
        <w:spacing w:line="240" w:lineRule="auto"/>
        <w:jc w:val="both"/>
        <w:rPr>
          <w:rFonts w:cstheme="minorHAnsi"/>
          <w:lang w:val="en"/>
        </w:rPr>
      </w:pPr>
      <w:r w:rsidRPr="00F141F6">
        <w:rPr>
          <w:rFonts w:cstheme="minorHAnsi"/>
          <w:lang w:val="en"/>
        </w:rPr>
        <w:t>T</w:t>
      </w:r>
      <w:r w:rsidR="003D690D">
        <w:rPr>
          <w:rFonts w:cstheme="minorHAnsi"/>
          <w:lang w:val="en"/>
        </w:rPr>
        <w:t xml:space="preserve">he purpose of this </w:t>
      </w:r>
      <w:r w:rsidR="00F24FB1">
        <w:rPr>
          <w:rFonts w:cstheme="minorHAnsi"/>
          <w:lang w:val="en"/>
        </w:rPr>
        <w:t>proposal</w:t>
      </w:r>
      <w:r w:rsidR="006A5C49">
        <w:rPr>
          <w:rFonts w:cstheme="minorHAnsi"/>
          <w:lang w:val="en"/>
        </w:rPr>
        <w:t xml:space="preserve"> in understanding the impact of public corruption</w:t>
      </w:r>
      <w:r w:rsidR="00387D47">
        <w:rPr>
          <w:rFonts w:cstheme="minorHAnsi"/>
          <w:lang w:val="en"/>
        </w:rPr>
        <w:t xml:space="preserve"> is</w:t>
      </w:r>
      <w:r w:rsidR="006A5C49">
        <w:rPr>
          <w:rFonts w:cstheme="minorHAnsi"/>
          <w:lang w:val="en"/>
        </w:rPr>
        <w:t xml:space="preserve"> </w:t>
      </w:r>
      <w:r w:rsidR="00387D47">
        <w:rPr>
          <w:rFonts w:cstheme="minorHAnsi"/>
          <w:lang w:val="en"/>
        </w:rPr>
        <w:t>3-prong:</w:t>
      </w:r>
    </w:p>
    <w:p w14:paraId="679850A2" w14:textId="7B44D032" w:rsidR="00387D47" w:rsidRDefault="00387D47" w:rsidP="00387D47">
      <w:pPr>
        <w:pStyle w:val="ListParagraph"/>
        <w:numPr>
          <w:ilvl w:val="0"/>
          <w:numId w:val="4"/>
        </w:numPr>
        <w:spacing w:line="240" w:lineRule="auto"/>
        <w:jc w:val="both"/>
        <w:rPr>
          <w:rFonts w:cstheme="minorHAnsi"/>
          <w:lang w:val="en"/>
        </w:rPr>
      </w:pPr>
      <w:r>
        <w:rPr>
          <w:rFonts w:cstheme="minorHAnsi"/>
          <w:lang w:val="en"/>
        </w:rPr>
        <w:t>Expand the existing definition of public corruption to include newer, less understood, forms of influence that ha</w:t>
      </w:r>
      <w:r w:rsidR="0023461B">
        <w:rPr>
          <w:rFonts w:cstheme="minorHAnsi"/>
          <w:lang w:val="en"/>
        </w:rPr>
        <w:t>ve</w:t>
      </w:r>
      <w:r>
        <w:rPr>
          <w:rFonts w:cstheme="minorHAnsi"/>
          <w:lang w:val="en"/>
        </w:rPr>
        <w:t xml:space="preserve"> a</w:t>
      </w:r>
      <w:r w:rsidR="000A2A9E">
        <w:rPr>
          <w:rFonts w:cstheme="minorHAnsi"/>
          <w:lang w:val="en"/>
        </w:rPr>
        <w:t xml:space="preserve"> </w:t>
      </w:r>
      <w:r w:rsidR="002C74F0">
        <w:rPr>
          <w:rFonts w:cstheme="minorHAnsi"/>
          <w:i/>
          <w:iCs/>
          <w:lang w:val="en"/>
        </w:rPr>
        <w:t>c</w:t>
      </w:r>
      <w:r w:rsidR="0000718F">
        <w:rPr>
          <w:rFonts w:cstheme="minorHAnsi"/>
          <w:i/>
          <w:iCs/>
          <w:lang w:val="en"/>
        </w:rPr>
        <w:t>orrupting</w:t>
      </w:r>
      <w:r w:rsidR="000A2A9E">
        <w:rPr>
          <w:rFonts w:cstheme="minorHAnsi"/>
          <w:lang w:val="en"/>
        </w:rPr>
        <w:t xml:space="preserve"> </w:t>
      </w:r>
      <w:r w:rsidRPr="002C74F0">
        <w:rPr>
          <w:rFonts w:cstheme="minorHAnsi"/>
          <w:i/>
          <w:iCs/>
          <w:lang w:val="en"/>
        </w:rPr>
        <w:t>impact</w:t>
      </w:r>
      <w:r>
        <w:rPr>
          <w:rFonts w:cstheme="minorHAnsi"/>
          <w:lang w:val="en"/>
        </w:rPr>
        <w:t xml:space="preserve"> </w:t>
      </w:r>
      <w:r w:rsidR="000A2A9E">
        <w:rPr>
          <w:rFonts w:cstheme="minorHAnsi"/>
          <w:lang w:val="en"/>
        </w:rPr>
        <w:t xml:space="preserve">on </w:t>
      </w:r>
      <w:r w:rsidR="0023461B">
        <w:rPr>
          <w:rFonts w:cstheme="minorHAnsi"/>
          <w:lang w:val="en"/>
        </w:rPr>
        <w:t>implementation of</w:t>
      </w:r>
      <w:r w:rsidR="000A2A9E">
        <w:rPr>
          <w:rFonts w:cstheme="minorHAnsi"/>
          <w:lang w:val="en"/>
        </w:rPr>
        <w:t xml:space="preserve"> public policy</w:t>
      </w:r>
      <w:r>
        <w:rPr>
          <w:rFonts w:cstheme="minorHAnsi"/>
          <w:lang w:val="en"/>
        </w:rPr>
        <w:t>;</w:t>
      </w:r>
    </w:p>
    <w:p w14:paraId="3BC40AA7" w14:textId="53776E6D" w:rsidR="00387D47" w:rsidRDefault="00387D47" w:rsidP="00387D47">
      <w:pPr>
        <w:pStyle w:val="ListParagraph"/>
        <w:numPr>
          <w:ilvl w:val="0"/>
          <w:numId w:val="4"/>
        </w:numPr>
        <w:spacing w:line="240" w:lineRule="auto"/>
        <w:jc w:val="both"/>
        <w:rPr>
          <w:rFonts w:cstheme="minorHAnsi"/>
          <w:lang w:val="en"/>
        </w:rPr>
      </w:pPr>
      <w:r>
        <w:rPr>
          <w:rFonts w:cstheme="minorHAnsi"/>
          <w:lang w:val="en"/>
        </w:rPr>
        <w:t>Apply this</w:t>
      </w:r>
      <w:r w:rsidR="008A0C37">
        <w:rPr>
          <w:rFonts w:cstheme="minorHAnsi"/>
          <w:lang w:val="en"/>
        </w:rPr>
        <w:t xml:space="preserve"> as causality to</w:t>
      </w:r>
      <w:r>
        <w:rPr>
          <w:rFonts w:cstheme="minorHAnsi"/>
          <w:lang w:val="en"/>
        </w:rPr>
        <w:t xml:space="preserve"> the acceleration of the </w:t>
      </w:r>
      <w:r>
        <w:rPr>
          <w:rFonts w:cstheme="minorHAnsi"/>
          <w:i/>
          <w:iCs/>
          <w:lang w:val="en"/>
        </w:rPr>
        <w:t>Affordable Housing Crisis</w:t>
      </w:r>
      <w:r>
        <w:rPr>
          <w:rFonts w:cstheme="minorHAnsi"/>
          <w:lang w:val="en"/>
        </w:rPr>
        <w:t xml:space="preserve"> in New York City</w:t>
      </w:r>
      <w:r w:rsidR="002C74F0">
        <w:rPr>
          <w:rFonts w:cstheme="minorHAnsi"/>
          <w:lang w:val="en"/>
        </w:rPr>
        <w:t xml:space="preserve"> by </w:t>
      </w:r>
      <w:r w:rsidR="008A0C37">
        <w:rPr>
          <w:rFonts w:cstheme="minorHAnsi"/>
          <w:lang w:val="en"/>
        </w:rPr>
        <w:t>significant impact of campaign contributions on</w:t>
      </w:r>
      <w:r w:rsidR="002C74F0">
        <w:rPr>
          <w:rFonts w:cstheme="minorHAnsi"/>
          <w:lang w:val="en"/>
        </w:rPr>
        <w:t xml:space="preserve"> </w:t>
      </w:r>
      <w:r w:rsidR="002C74F0">
        <w:rPr>
          <w:rFonts w:cstheme="minorHAnsi"/>
          <w:i/>
          <w:iCs/>
          <w:lang w:val="en"/>
        </w:rPr>
        <w:t xml:space="preserve">Displacement &amp; Affordability Crisis </w:t>
      </w:r>
      <w:r w:rsidR="00DD5ED1">
        <w:rPr>
          <w:rFonts w:cstheme="minorHAnsi"/>
          <w:i/>
          <w:iCs/>
          <w:lang w:val="en"/>
        </w:rPr>
        <w:t>m</w:t>
      </w:r>
      <w:r w:rsidR="002C74F0">
        <w:rPr>
          <w:rFonts w:cstheme="minorHAnsi"/>
          <w:i/>
          <w:iCs/>
          <w:lang w:val="en"/>
        </w:rPr>
        <w:t>easures</w:t>
      </w:r>
      <w:r>
        <w:rPr>
          <w:rFonts w:cstheme="minorHAnsi"/>
          <w:lang w:val="en"/>
        </w:rPr>
        <w:t>;</w:t>
      </w:r>
    </w:p>
    <w:p w14:paraId="20D6A043" w14:textId="45A62E57" w:rsidR="00387D47" w:rsidRPr="004A517E" w:rsidRDefault="000A2A9E" w:rsidP="009A52EF">
      <w:pPr>
        <w:pStyle w:val="ListParagraph"/>
        <w:numPr>
          <w:ilvl w:val="0"/>
          <w:numId w:val="4"/>
        </w:numPr>
        <w:spacing w:line="240" w:lineRule="auto"/>
        <w:jc w:val="both"/>
        <w:rPr>
          <w:rFonts w:cstheme="minorHAnsi"/>
          <w:lang w:val="en"/>
        </w:rPr>
      </w:pPr>
      <w:r>
        <w:rPr>
          <w:rFonts w:cstheme="minorHAnsi"/>
          <w:lang w:val="en"/>
        </w:rPr>
        <w:t xml:space="preserve">Use </w:t>
      </w:r>
      <w:r w:rsidR="00846393">
        <w:rPr>
          <w:rFonts w:cstheme="minorHAnsi"/>
          <w:lang w:val="en"/>
        </w:rPr>
        <w:t xml:space="preserve">big data and </w:t>
      </w:r>
      <w:r>
        <w:rPr>
          <w:rFonts w:cstheme="minorHAnsi"/>
          <w:lang w:val="en"/>
        </w:rPr>
        <w:t>innovative tool</w:t>
      </w:r>
      <w:r w:rsidR="00D11C5B">
        <w:rPr>
          <w:rFonts w:cstheme="minorHAnsi"/>
          <w:lang w:val="en"/>
        </w:rPr>
        <w:t>s</w:t>
      </w:r>
      <w:r>
        <w:rPr>
          <w:rFonts w:cstheme="minorHAnsi"/>
          <w:lang w:val="en"/>
        </w:rPr>
        <w:t xml:space="preserve"> to empower everyday citizen constituents to </w:t>
      </w:r>
      <w:r w:rsidR="0008432F">
        <w:rPr>
          <w:rFonts w:cstheme="minorHAnsi"/>
          <w:lang w:val="en"/>
        </w:rPr>
        <w:t xml:space="preserve">identify and </w:t>
      </w:r>
      <w:r>
        <w:rPr>
          <w:rFonts w:cstheme="minorHAnsi"/>
          <w:lang w:val="en"/>
        </w:rPr>
        <w:t xml:space="preserve">counter this </w:t>
      </w:r>
      <w:r w:rsidR="002C74F0">
        <w:rPr>
          <w:rFonts w:cstheme="minorHAnsi"/>
          <w:i/>
          <w:iCs/>
          <w:lang w:val="en"/>
        </w:rPr>
        <w:t>c</w:t>
      </w:r>
      <w:r w:rsidR="00ED0F04">
        <w:rPr>
          <w:rFonts w:cstheme="minorHAnsi"/>
          <w:i/>
          <w:iCs/>
          <w:lang w:val="en"/>
        </w:rPr>
        <w:t xml:space="preserve">orrupting </w:t>
      </w:r>
      <w:r w:rsidR="00ED0F04" w:rsidRPr="002C74F0">
        <w:rPr>
          <w:rFonts w:cstheme="minorHAnsi"/>
          <w:i/>
          <w:iCs/>
          <w:lang w:val="en"/>
        </w:rPr>
        <w:t>impact</w:t>
      </w:r>
      <w:r w:rsidR="00ED0F04">
        <w:rPr>
          <w:rFonts w:cstheme="minorHAnsi"/>
          <w:lang w:val="en"/>
        </w:rPr>
        <w:t xml:space="preserve"> directly</w:t>
      </w:r>
      <w:r>
        <w:rPr>
          <w:rFonts w:cstheme="minorHAnsi"/>
          <w:lang w:val="en"/>
        </w:rPr>
        <w:t xml:space="preserve"> in thei</w:t>
      </w:r>
      <w:r w:rsidR="00ED0F04">
        <w:rPr>
          <w:rFonts w:cstheme="minorHAnsi"/>
          <w:lang w:val="en"/>
        </w:rPr>
        <w:t>r</w:t>
      </w:r>
      <w:r>
        <w:rPr>
          <w:rFonts w:cstheme="minorHAnsi"/>
          <w:lang w:val="en"/>
        </w:rPr>
        <w:t xml:space="preserve"> communities.</w:t>
      </w:r>
    </w:p>
    <w:p w14:paraId="70F9A4C4" w14:textId="38D71E1D" w:rsidR="00A36B1B" w:rsidRDefault="00C178C8" w:rsidP="00C72D3B">
      <w:pPr>
        <w:spacing w:line="240" w:lineRule="auto"/>
        <w:jc w:val="both"/>
        <w:rPr>
          <w:rFonts w:cstheme="minorHAnsi"/>
          <w:lang w:val="en"/>
        </w:rPr>
      </w:pPr>
      <w:r w:rsidRPr="00F141F6">
        <w:rPr>
          <w:rFonts w:cstheme="minorHAnsi"/>
          <w:lang w:val="en"/>
        </w:rPr>
        <w:t xml:space="preserve">These forms of </w:t>
      </w:r>
      <w:r w:rsidR="008D15EC">
        <w:rPr>
          <w:rFonts w:cstheme="minorHAnsi"/>
          <w:i/>
          <w:iCs/>
          <w:lang w:val="en"/>
        </w:rPr>
        <w:t>corrupting impact</w:t>
      </w:r>
      <w:r w:rsidRPr="00F141F6">
        <w:rPr>
          <w:rFonts w:cstheme="minorHAnsi"/>
          <w:lang w:val="en"/>
        </w:rPr>
        <w:t xml:space="preserve"> have been gaining research interest</w:t>
      </w:r>
      <w:r>
        <w:rPr>
          <w:rFonts w:cstheme="minorHAnsi"/>
          <w:lang w:val="en"/>
        </w:rPr>
        <w:t>, especially</w:t>
      </w:r>
      <w:r w:rsidRPr="00F141F6">
        <w:rPr>
          <w:rFonts w:cstheme="minorHAnsi"/>
          <w:lang w:val="en"/>
        </w:rPr>
        <w:t xml:space="preserve"> in the last 20 years, as their</w:t>
      </w:r>
      <w:r w:rsidR="00F24FB1">
        <w:rPr>
          <w:rFonts w:cstheme="minorHAnsi"/>
          <w:lang w:val="en"/>
        </w:rPr>
        <w:t xml:space="preserve"> “indirect</w:t>
      </w:r>
      <w:r w:rsidR="00F24FB1">
        <w:rPr>
          <w:rStyle w:val="FootnoteReference"/>
          <w:rFonts w:cstheme="minorHAnsi"/>
          <w:lang w:val="en"/>
        </w:rPr>
        <w:footnoteReference w:id="2"/>
      </w:r>
      <w:r w:rsidR="00F24FB1">
        <w:rPr>
          <w:rFonts w:cstheme="minorHAnsi"/>
          <w:lang w:val="en"/>
        </w:rPr>
        <w:t xml:space="preserve">” </w:t>
      </w:r>
      <w:r w:rsidRPr="00F141F6">
        <w:rPr>
          <w:rFonts w:cstheme="minorHAnsi"/>
          <w:lang w:val="en"/>
        </w:rPr>
        <w:t>negative impact on the US political &amp; economic system</w:t>
      </w:r>
      <w:r>
        <w:rPr>
          <w:rFonts w:cstheme="minorHAnsi"/>
          <w:lang w:val="en"/>
        </w:rPr>
        <w:t>s</w:t>
      </w:r>
      <w:r w:rsidRPr="00F141F6">
        <w:rPr>
          <w:rFonts w:cstheme="minorHAnsi"/>
          <w:lang w:val="en"/>
        </w:rPr>
        <w:t xml:space="preserve"> is better understood</w:t>
      </w:r>
      <w:r w:rsidR="007511AC">
        <w:rPr>
          <w:rFonts w:cstheme="minorHAnsi"/>
          <w:lang w:val="en"/>
        </w:rPr>
        <w:t>.</w:t>
      </w:r>
      <w:r w:rsidR="005737C9">
        <w:rPr>
          <w:rFonts w:cstheme="minorHAnsi"/>
          <w:lang w:val="en"/>
        </w:rPr>
        <w:t xml:space="preserve"> </w:t>
      </w:r>
      <w:r w:rsidR="005737C9" w:rsidRPr="005737C9">
        <w:rPr>
          <w:rFonts w:cstheme="minorHAnsi"/>
          <w:i/>
          <w:iCs/>
          <w:lang w:val="en"/>
        </w:rPr>
        <w:t>Dibley &amp; Mistry</w:t>
      </w:r>
      <w:r w:rsidR="005737C9">
        <w:rPr>
          <w:rStyle w:val="FootnoteReference"/>
          <w:rFonts w:cstheme="minorHAnsi"/>
          <w:i/>
          <w:iCs/>
          <w:lang w:val="en"/>
        </w:rPr>
        <w:footnoteReference w:id="3"/>
      </w:r>
      <w:r w:rsidR="005737C9">
        <w:rPr>
          <w:rFonts w:cstheme="minorHAnsi"/>
          <w:lang w:val="en"/>
        </w:rPr>
        <w:t xml:space="preserve"> indicate that these</w:t>
      </w:r>
      <w:r w:rsidR="007511AC">
        <w:rPr>
          <w:rFonts w:cstheme="minorHAnsi"/>
          <w:lang w:val="en"/>
        </w:rPr>
        <w:t>,</w:t>
      </w:r>
      <w:r w:rsidR="005737C9">
        <w:rPr>
          <w:rFonts w:cstheme="minorHAnsi"/>
          <w:lang w:val="en"/>
        </w:rPr>
        <w:t xml:space="preserve"> more institutionalized</w:t>
      </w:r>
      <w:r w:rsidR="007511AC">
        <w:rPr>
          <w:rFonts w:cstheme="minorHAnsi"/>
          <w:lang w:val="en"/>
        </w:rPr>
        <w:t>,</w:t>
      </w:r>
      <w:r w:rsidR="005737C9">
        <w:rPr>
          <w:rFonts w:cstheme="minorHAnsi"/>
          <w:lang w:val="en"/>
        </w:rPr>
        <w:t xml:space="preserve"> forms of public corruption may no</w:t>
      </w:r>
      <w:r w:rsidR="007511AC">
        <w:rPr>
          <w:rFonts w:cstheme="minorHAnsi"/>
          <w:lang w:val="en"/>
        </w:rPr>
        <w:t>t</w:t>
      </w:r>
      <w:r w:rsidR="005737C9">
        <w:rPr>
          <w:rFonts w:cstheme="minorHAnsi"/>
          <w:lang w:val="en"/>
        </w:rPr>
        <w:t xml:space="preserve"> violate</w:t>
      </w:r>
      <w:r w:rsidR="007511AC">
        <w:rPr>
          <w:rFonts w:cstheme="minorHAnsi"/>
          <w:lang w:val="en"/>
        </w:rPr>
        <w:t xml:space="preserve"> existing</w:t>
      </w:r>
      <w:r w:rsidR="005737C9">
        <w:rPr>
          <w:rFonts w:cstheme="minorHAnsi"/>
          <w:lang w:val="en"/>
        </w:rPr>
        <w:t xml:space="preserve"> </w:t>
      </w:r>
      <w:r w:rsidR="007511AC">
        <w:rPr>
          <w:rFonts w:cstheme="minorHAnsi"/>
          <w:i/>
          <w:iCs/>
          <w:lang w:val="en"/>
        </w:rPr>
        <w:t>Rule of Law</w:t>
      </w:r>
      <w:r w:rsidR="005737C9">
        <w:rPr>
          <w:rFonts w:cstheme="minorHAnsi"/>
          <w:lang w:val="en"/>
        </w:rPr>
        <w:t xml:space="preserve">, but </w:t>
      </w:r>
      <w:r w:rsidR="007511AC">
        <w:rPr>
          <w:rFonts w:cstheme="minorHAnsi"/>
          <w:lang w:val="en"/>
        </w:rPr>
        <w:t xml:space="preserve">they do </w:t>
      </w:r>
      <w:r w:rsidR="005737C9">
        <w:rPr>
          <w:rFonts w:cstheme="minorHAnsi"/>
          <w:lang w:val="en"/>
        </w:rPr>
        <w:t>erode at its foundations by</w:t>
      </w:r>
      <w:r w:rsidR="00A36B1B">
        <w:rPr>
          <w:rFonts w:cstheme="minorHAnsi"/>
          <w:lang w:val="en"/>
        </w:rPr>
        <w:t xml:space="preserve"> directly</w:t>
      </w:r>
      <w:r w:rsidR="005737C9">
        <w:rPr>
          <w:rFonts w:cstheme="minorHAnsi"/>
          <w:lang w:val="en"/>
        </w:rPr>
        <w:t xml:space="preserve"> damaging</w:t>
      </w:r>
      <w:r w:rsidR="00A36B1B">
        <w:rPr>
          <w:rFonts w:cstheme="minorHAnsi"/>
          <w:lang w:val="en"/>
        </w:rPr>
        <w:t xml:space="preserve"> the effectiveness of</w:t>
      </w:r>
      <w:r w:rsidR="005737C9">
        <w:rPr>
          <w:rFonts w:cstheme="minorHAnsi"/>
          <w:lang w:val="en"/>
        </w:rPr>
        <w:t xml:space="preserve"> </w:t>
      </w:r>
      <w:r w:rsidR="00F24FB1">
        <w:rPr>
          <w:rFonts w:cstheme="minorHAnsi"/>
          <w:lang w:val="en"/>
        </w:rPr>
        <w:t xml:space="preserve">the </w:t>
      </w:r>
      <w:r w:rsidR="005737C9">
        <w:rPr>
          <w:rFonts w:cstheme="minorHAnsi"/>
          <w:lang w:val="en"/>
        </w:rPr>
        <w:t>nation’s civil services institutions.</w:t>
      </w:r>
      <w:r w:rsidR="00282BAB">
        <w:rPr>
          <w:rFonts w:cstheme="minorHAnsi"/>
          <w:lang w:val="en"/>
        </w:rPr>
        <w:t xml:space="preserve"> </w:t>
      </w:r>
    </w:p>
    <w:p w14:paraId="616C9092" w14:textId="69580B97" w:rsidR="00036A5E" w:rsidRDefault="00723839" w:rsidP="00C72D3B">
      <w:pPr>
        <w:spacing w:line="240" w:lineRule="auto"/>
        <w:jc w:val="both"/>
        <w:rPr>
          <w:rFonts w:cstheme="minorHAnsi"/>
          <w:lang w:val="en"/>
        </w:rPr>
      </w:pPr>
      <w:r>
        <w:rPr>
          <w:rFonts w:cstheme="minorHAnsi"/>
          <w:lang w:val="en"/>
        </w:rPr>
        <w:t>Th</w:t>
      </w:r>
      <w:r w:rsidR="002C74F0">
        <w:rPr>
          <w:rFonts w:cstheme="minorHAnsi"/>
          <w:lang w:val="en"/>
        </w:rPr>
        <w:t>e</w:t>
      </w:r>
      <w:r>
        <w:rPr>
          <w:rFonts w:cstheme="minorHAnsi"/>
          <w:lang w:val="en"/>
        </w:rPr>
        <w:t xml:space="preserve"> research</w:t>
      </w:r>
      <w:r w:rsidR="00147F86">
        <w:rPr>
          <w:rFonts w:cstheme="minorHAnsi"/>
          <w:lang w:val="en"/>
        </w:rPr>
        <w:t xml:space="preserve"> portion of this </w:t>
      </w:r>
      <w:r w:rsidR="00F65F6D">
        <w:rPr>
          <w:rFonts w:cstheme="minorHAnsi"/>
          <w:lang w:val="en"/>
        </w:rPr>
        <w:t>proposal</w:t>
      </w:r>
      <w:r>
        <w:rPr>
          <w:rFonts w:cstheme="minorHAnsi"/>
          <w:lang w:val="en"/>
        </w:rPr>
        <w:t xml:space="preserve"> will</w:t>
      </w:r>
      <w:r w:rsidR="00147F86">
        <w:rPr>
          <w:rFonts w:cstheme="minorHAnsi"/>
          <w:lang w:val="en"/>
        </w:rPr>
        <w:t xml:space="preserve"> </w:t>
      </w:r>
      <w:r w:rsidR="002C74F0">
        <w:rPr>
          <w:rFonts w:cstheme="minorHAnsi"/>
          <w:lang w:val="en"/>
        </w:rPr>
        <w:t xml:space="preserve">attempt to </w:t>
      </w:r>
      <w:r w:rsidR="00AE3DA0">
        <w:rPr>
          <w:rFonts w:cstheme="minorHAnsi"/>
          <w:lang w:val="en"/>
        </w:rPr>
        <w:t>document</w:t>
      </w:r>
      <w:r w:rsidR="00AB044A">
        <w:rPr>
          <w:rFonts w:cstheme="minorHAnsi"/>
          <w:lang w:val="en"/>
        </w:rPr>
        <w:t xml:space="preserve"> </w:t>
      </w:r>
      <w:r w:rsidR="002C74F0">
        <w:rPr>
          <w:rFonts w:cstheme="minorHAnsi"/>
          <w:lang w:val="en"/>
        </w:rPr>
        <w:t xml:space="preserve">big data </w:t>
      </w:r>
      <w:r w:rsidR="00AB044A">
        <w:rPr>
          <w:rFonts w:cstheme="minorHAnsi"/>
          <w:lang w:val="en"/>
        </w:rPr>
        <w:t xml:space="preserve">evidence that campaign finance in </w:t>
      </w:r>
      <w:r w:rsidR="00F5083F">
        <w:rPr>
          <w:rFonts w:cstheme="minorHAnsi"/>
          <w:lang w:val="en"/>
        </w:rPr>
        <w:t>New York City</w:t>
      </w:r>
      <w:r w:rsidR="00AB044A">
        <w:rPr>
          <w:rFonts w:cstheme="minorHAnsi"/>
          <w:lang w:val="en"/>
        </w:rPr>
        <w:t xml:space="preserve"> is a</w:t>
      </w:r>
      <w:r>
        <w:rPr>
          <w:rFonts w:cstheme="minorHAnsi"/>
          <w:lang w:val="en"/>
        </w:rPr>
        <w:t xml:space="preserve"> “pay </w:t>
      </w:r>
      <w:r w:rsidR="004F6302">
        <w:rPr>
          <w:rFonts w:cstheme="minorHAnsi"/>
          <w:lang w:val="en"/>
        </w:rPr>
        <w:t>to</w:t>
      </w:r>
      <w:r>
        <w:rPr>
          <w:rFonts w:cstheme="minorHAnsi"/>
          <w:lang w:val="en"/>
        </w:rPr>
        <w:t xml:space="preserve"> play” environment</w:t>
      </w:r>
      <w:r w:rsidR="003735E8" w:rsidRPr="00F141F6">
        <w:rPr>
          <w:rStyle w:val="FootnoteReference"/>
          <w:rFonts w:cstheme="minorHAnsi"/>
          <w:lang w:val="en"/>
        </w:rPr>
        <w:footnoteReference w:id="4"/>
      </w:r>
      <w:r w:rsidR="00BF51AB">
        <w:rPr>
          <w:rFonts w:cstheme="minorHAnsi"/>
          <w:lang w:val="en"/>
        </w:rPr>
        <w:t>, where campaign contributions are used as means to effect housing policy even when clear indicators of housing duress</w:t>
      </w:r>
      <w:r w:rsidR="002C74F0">
        <w:rPr>
          <w:rFonts w:cstheme="minorHAnsi"/>
          <w:lang w:val="en"/>
        </w:rPr>
        <w:t xml:space="preserve"> [</w:t>
      </w:r>
      <w:r w:rsidR="002C74F0">
        <w:rPr>
          <w:rFonts w:cstheme="minorHAnsi"/>
          <w:i/>
          <w:iCs/>
          <w:lang w:val="en"/>
        </w:rPr>
        <w:t>Affordability Crisis</w:t>
      </w:r>
      <w:r w:rsidR="002C74F0">
        <w:rPr>
          <w:rFonts w:cstheme="minorHAnsi"/>
          <w:lang w:val="en"/>
        </w:rPr>
        <w:t xml:space="preserve">] </w:t>
      </w:r>
      <w:r w:rsidR="00BF51AB">
        <w:rPr>
          <w:rFonts w:cstheme="minorHAnsi"/>
          <w:lang w:val="en"/>
        </w:rPr>
        <w:t>see sharp increases</w:t>
      </w:r>
      <w:r>
        <w:rPr>
          <w:rFonts w:cstheme="minorHAnsi"/>
          <w:lang w:val="en"/>
        </w:rPr>
        <w:t>. While this is not yet fully understood a</w:t>
      </w:r>
      <w:r w:rsidR="000927C0">
        <w:rPr>
          <w:rFonts w:cstheme="minorHAnsi"/>
          <w:lang w:val="en"/>
        </w:rPr>
        <w:t>s</w:t>
      </w:r>
      <w:r w:rsidR="00AE3DA0">
        <w:rPr>
          <w:rFonts w:cstheme="minorHAnsi"/>
          <w:lang w:val="en"/>
        </w:rPr>
        <w:t xml:space="preserve"> having a </w:t>
      </w:r>
      <w:r w:rsidR="00AE3DA0" w:rsidRPr="008D15EC">
        <w:rPr>
          <w:rFonts w:cstheme="minorHAnsi"/>
          <w:i/>
          <w:iCs/>
          <w:lang w:val="en"/>
        </w:rPr>
        <w:t>corrupting impact</w:t>
      </w:r>
      <w:r w:rsidR="000927C0">
        <w:rPr>
          <w:rFonts w:cstheme="minorHAnsi"/>
          <w:lang w:val="en"/>
        </w:rPr>
        <w:t>, a review of the scholarly research reveals it should be.</w:t>
      </w:r>
      <w:r w:rsidR="00A36B1B">
        <w:rPr>
          <w:rFonts w:cstheme="minorHAnsi"/>
          <w:lang w:val="en"/>
        </w:rPr>
        <w:t xml:space="preserve"> </w:t>
      </w:r>
      <w:r w:rsidR="008D15EC">
        <w:rPr>
          <w:rFonts w:cstheme="minorHAnsi"/>
          <w:lang w:val="en"/>
        </w:rPr>
        <w:t>Additionally, original</w:t>
      </w:r>
      <w:r w:rsidR="00D11C5B">
        <w:rPr>
          <w:rFonts w:cstheme="minorHAnsi"/>
          <w:lang w:val="en"/>
        </w:rPr>
        <w:t xml:space="preserve"> analysis of publicly available data has revealed significant effects of campaign contributions </w:t>
      </w:r>
      <w:r w:rsidR="002C74F0">
        <w:rPr>
          <w:rFonts w:cstheme="minorHAnsi"/>
          <w:lang w:val="en"/>
        </w:rPr>
        <w:t xml:space="preserve">on </w:t>
      </w:r>
      <w:r w:rsidR="00D11C5B">
        <w:rPr>
          <w:rFonts w:cstheme="minorHAnsi"/>
          <w:lang w:val="en"/>
        </w:rPr>
        <w:t>the 3 main</w:t>
      </w:r>
      <w:r w:rsidR="002C74F0">
        <w:rPr>
          <w:rFonts w:cstheme="minorHAnsi"/>
          <w:lang w:val="en"/>
        </w:rPr>
        <w:t xml:space="preserve"> variables</w:t>
      </w:r>
      <w:r w:rsidR="00D11C5B">
        <w:rPr>
          <w:rFonts w:cstheme="minorHAnsi"/>
          <w:lang w:val="en"/>
        </w:rPr>
        <w:t xml:space="preserve"> of </w:t>
      </w:r>
      <w:r w:rsidR="00D11C5B" w:rsidRPr="002C74F0">
        <w:rPr>
          <w:rFonts w:cstheme="minorHAnsi"/>
          <w:i/>
          <w:iCs/>
          <w:lang w:val="en"/>
        </w:rPr>
        <w:t>Displacement</w:t>
      </w:r>
      <w:r w:rsidR="00D11C5B">
        <w:rPr>
          <w:rFonts w:cstheme="minorHAnsi"/>
          <w:lang w:val="en"/>
        </w:rPr>
        <w:t xml:space="preserve"> that this study has identified</w:t>
      </w:r>
      <w:r w:rsidR="00036A5E">
        <w:rPr>
          <w:rFonts w:cstheme="minorHAnsi"/>
          <w:lang w:val="en"/>
        </w:rPr>
        <w:t>.</w:t>
      </w:r>
    </w:p>
    <w:p w14:paraId="33B596D7" w14:textId="629FCF08" w:rsidR="002C74F0" w:rsidRDefault="00036A5E" w:rsidP="00C72D3B">
      <w:pPr>
        <w:spacing w:line="240" w:lineRule="auto"/>
        <w:jc w:val="both"/>
        <w:rPr>
          <w:rFonts w:cstheme="minorHAnsi"/>
          <w:lang w:val="en"/>
        </w:rPr>
      </w:pPr>
      <w:r>
        <w:rPr>
          <w:rFonts w:cstheme="minorHAnsi"/>
          <w:lang w:val="en"/>
        </w:rPr>
        <w:t>The initial analysis studied the impact of giving patterns to the four main legislative bodies for NYS – US Senators &amp; House of Representative</w:t>
      </w:r>
      <w:r w:rsidR="002C74F0">
        <w:rPr>
          <w:rFonts w:cstheme="minorHAnsi"/>
          <w:lang w:val="en"/>
        </w:rPr>
        <w:t>s</w:t>
      </w:r>
      <w:r>
        <w:rPr>
          <w:rFonts w:cstheme="minorHAnsi"/>
          <w:lang w:val="en"/>
        </w:rPr>
        <w:t>, and the State Assembly &amp; Governor</w:t>
      </w:r>
      <w:r w:rsidR="008D15EC">
        <w:rPr>
          <w:rFonts w:cstheme="minorHAnsi"/>
          <w:lang w:val="en"/>
        </w:rPr>
        <w:t xml:space="preserve"> – on: Poverty Rate (decreases); Median Household Income (increases); Median Property Value (increases)</w:t>
      </w:r>
      <w:r>
        <w:rPr>
          <w:rFonts w:cstheme="minorHAnsi"/>
          <w:lang w:val="en"/>
        </w:rPr>
        <w:t>. It then studied the impact of th</w:t>
      </w:r>
      <w:r w:rsidR="008D15EC">
        <w:rPr>
          <w:rFonts w:cstheme="minorHAnsi"/>
          <w:lang w:val="en"/>
        </w:rPr>
        <w:t>ese</w:t>
      </w:r>
      <w:r>
        <w:rPr>
          <w:rFonts w:cstheme="minorHAnsi"/>
          <w:lang w:val="en"/>
        </w:rPr>
        <w:t xml:space="preserve"> </w:t>
      </w:r>
      <w:r w:rsidR="002C74F0">
        <w:rPr>
          <w:rFonts w:cstheme="minorHAnsi"/>
          <w:lang w:val="en"/>
        </w:rPr>
        <w:t>variables</w:t>
      </w:r>
      <w:r>
        <w:rPr>
          <w:rFonts w:cstheme="minorHAnsi"/>
          <w:lang w:val="en"/>
        </w:rPr>
        <w:t xml:space="preserve"> of </w:t>
      </w:r>
      <w:r w:rsidRPr="002C74F0">
        <w:rPr>
          <w:rFonts w:cstheme="minorHAnsi"/>
          <w:i/>
          <w:iCs/>
          <w:lang w:val="en"/>
        </w:rPr>
        <w:t>Displacement</w:t>
      </w:r>
      <w:r>
        <w:rPr>
          <w:rFonts w:cstheme="minorHAnsi"/>
          <w:lang w:val="en"/>
        </w:rPr>
        <w:t xml:space="preserve"> on </w:t>
      </w:r>
      <w:r w:rsidR="002C74F0">
        <w:rPr>
          <w:rFonts w:cstheme="minorHAnsi"/>
          <w:i/>
          <w:iCs/>
          <w:lang w:val="en"/>
        </w:rPr>
        <w:t>Affordability Crisis</w:t>
      </w:r>
      <w:r>
        <w:rPr>
          <w:rFonts w:cstheme="minorHAnsi"/>
          <w:lang w:val="en"/>
        </w:rPr>
        <w:t xml:space="preserve"> variables that </w:t>
      </w:r>
      <w:r w:rsidR="008D15EC">
        <w:rPr>
          <w:rFonts w:cstheme="minorHAnsi"/>
          <w:lang w:val="en"/>
        </w:rPr>
        <w:t xml:space="preserve">impacted </w:t>
      </w:r>
      <w:r>
        <w:rPr>
          <w:rFonts w:cstheme="minorHAnsi"/>
          <w:lang w:val="en"/>
        </w:rPr>
        <w:t xml:space="preserve">New York’s lowest income residents, and in later phases, it’s middle-class residents: </w:t>
      </w:r>
      <w:r w:rsidR="002C74F0">
        <w:rPr>
          <w:rFonts w:cstheme="minorHAnsi"/>
          <w:lang w:val="en"/>
        </w:rPr>
        <w:t xml:space="preserve">Evictions (increases); Eviction Filings (increases); Rent Burden (increases); </w:t>
      </w:r>
      <w:r>
        <w:rPr>
          <w:rFonts w:cstheme="minorHAnsi"/>
          <w:lang w:val="en"/>
        </w:rPr>
        <w:t>Median Gross Rent (increases</w:t>
      </w:r>
      <w:r w:rsidR="002C74F0">
        <w:rPr>
          <w:rFonts w:cstheme="minorHAnsi"/>
          <w:lang w:val="en"/>
        </w:rPr>
        <w:t xml:space="preserve">). </w:t>
      </w:r>
    </w:p>
    <w:p w14:paraId="0B493109" w14:textId="1EA20C59" w:rsidR="00CE05CB" w:rsidRDefault="00036A5E" w:rsidP="00C72D3B">
      <w:pPr>
        <w:spacing w:line="240" w:lineRule="auto"/>
        <w:jc w:val="both"/>
        <w:rPr>
          <w:rFonts w:cstheme="minorHAnsi"/>
          <w:lang w:val="en"/>
        </w:rPr>
      </w:pPr>
      <w:r>
        <w:rPr>
          <w:rFonts w:cstheme="minorHAnsi"/>
          <w:lang w:val="en"/>
        </w:rPr>
        <w:lastRenderedPageBreak/>
        <w:t>The study hopes to add a</w:t>
      </w:r>
      <w:r w:rsidR="002C74F0">
        <w:rPr>
          <w:rFonts w:cstheme="minorHAnsi"/>
          <w:lang w:val="en"/>
        </w:rPr>
        <w:t xml:space="preserve"> variable</w:t>
      </w:r>
      <w:r>
        <w:rPr>
          <w:rFonts w:cstheme="minorHAnsi"/>
          <w:lang w:val="en"/>
        </w:rPr>
        <w:t xml:space="preserve"> for a very specific policy measure, which this author believes provided the true acceleration of the housing crisis, </w:t>
      </w:r>
      <w:r>
        <w:rPr>
          <w:rFonts w:cstheme="minorHAnsi"/>
          <w:i/>
          <w:iCs/>
          <w:lang w:val="en"/>
        </w:rPr>
        <w:t>Preferential Rent.</w:t>
      </w:r>
      <w:r>
        <w:rPr>
          <w:rFonts w:cstheme="minorHAnsi"/>
          <w:lang w:val="en"/>
        </w:rPr>
        <w:t xml:space="preserve"> </w:t>
      </w:r>
      <w:r w:rsidR="00AB6E23">
        <w:rPr>
          <w:rFonts w:cstheme="minorHAnsi"/>
          <w:lang w:val="en"/>
        </w:rPr>
        <w:t>Complete d</w:t>
      </w:r>
      <w:r>
        <w:rPr>
          <w:rFonts w:cstheme="minorHAnsi"/>
          <w:lang w:val="en"/>
        </w:rPr>
        <w:t xml:space="preserve">ata on </w:t>
      </w:r>
      <w:r w:rsidR="009370A7">
        <w:rPr>
          <w:rFonts w:cstheme="minorHAnsi"/>
          <w:lang w:val="en"/>
        </w:rPr>
        <w:t>p</w:t>
      </w:r>
      <w:r>
        <w:rPr>
          <w:rFonts w:cstheme="minorHAnsi"/>
          <w:lang w:val="en"/>
        </w:rPr>
        <w:t xml:space="preserve">referential </w:t>
      </w:r>
      <w:r w:rsidR="009370A7">
        <w:rPr>
          <w:rFonts w:cstheme="minorHAnsi"/>
          <w:lang w:val="en"/>
        </w:rPr>
        <w:t>r</w:t>
      </w:r>
      <w:r>
        <w:rPr>
          <w:rFonts w:cstheme="minorHAnsi"/>
          <w:lang w:val="en"/>
        </w:rPr>
        <w:t xml:space="preserve">ent and the actual number of evictions </w:t>
      </w:r>
      <w:r w:rsidR="00424527">
        <w:rPr>
          <w:rFonts w:cstheme="minorHAnsi"/>
          <w:lang w:val="en"/>
        </w:rPr>
        <w:t xml:space="preserve">has been </w:t>
      </w:r>
      <w:r>
        <w:rPr>
          <w:rFonts w:cstheme="minorHAnsi"/>
          <w:lang w:val="en"/>
        </w:rPr>
        <w:t>difficult to get, indicating the very first sign o</w:t>
      </w:r>
      <w:r w:rsidR="007F7B55">
        <w:rPr>
          <w:rFonts w:cstheme="minorHAnsi"/>
          <w:lang w:val="en"/>
        </w:rPr>
        <w:t>f</w:t>
      </w:r>
      <w:r>
        <w:rPr>
          <w:rFonts w:cstheme="minorHAnsi"/>
          <w:lang w:val="en"/>
        </w:rPr>
        <w:t xml:space="preserve"> accountability avoidance at the agency level.  </w:t>
      </w:r>
    </w:p>
    <w:p w14:paraId="31E6E351" w14:textId="3441F6D9" w:rsidR="00147F86" w:rsidRDefault="00BC3DD2" w:rsidP="00C72D3B">
      <w:pPr>
        <w:spacing w:line="240" w:lineRule="auto"/>
        <w:jc w:val="both"/>
        <w:rPr>
          <w:rFonts w:cstheme="minorHAnsi"/>
          <w:lang w:val="en"/>
        </w:rPr>
      </w:pPr>
      <w:r>
        <w:rPr>
          <w:rFonts w:cstheme="minorHAnsi"/>
          <w:lang w:val="en"/>
        </w:rPr>
        <w:t>The</w:t>
      </w:r>
      <w:r w:rsidR="00A36B1B">
        <w:rPr>
          <w:rFonts w:cstheme="minorHAnsi"/>
          <w:lang w:val="en"/>
        </w:rPr>
        <w:t xml:space="preserve"> </w:t>
      </w:r>
      <w:r w:rsidR="00B67B34">
        <w:rPr>
          <w:rFonts w:cstheme="minorHAnsi"/>
          <w:lang w:val="en"/>
        </w:rPr>
        <w:t>experimental design</w:t>
      </w:r>
      <w:r>
        <w:rPr>
          <w:rFonts w:cstheme="minorHAnsi"/>
          <w:lang w:val="en"/>
        </w:rPr>
        <w:t xml:space="preserve"> aims</w:t>
      </w:r>
      <w:r w:rsidR="003735E8">
        <w:rPr>
          <w:rFonts w:cstheme="minorHAnsi"/>
          <w:lang w:val="en"/>
        </w:rPr>
        <w:t xml:space="preserve"> to develop</w:t>
      </w:r>
      <w:r w:rsidR="002D367F">
        <w:rPr>
          <w:rFonts w:cstheme="minorHAnsi"/>
          <w:lang w:val="en"/>
        </w:rPr>
        <w:t xml:space="preserve"> a </w:t>
      </w:r>
      <w:r w:rsidR="005D6BB1">
        <w:rPr>
          <w:rFonts w:cstheme="minorHAnsi"/>
          <w:lang w:val="en"/>
        </w:rPr>
        <w:t xml:space="preserve">measurement </w:t>
      </w:r>
      <w:r w:rsidR="004F6302">
        <w:rPr>
          <w:rFonts w:cstheme="minorHAnsi"/>
          <w:lang w:val="en"/>
        </w:rPr>
        <w:t>of</w:t>
      </w:r>
      <w:r w:rsidR="002C74F0">
        <w:rPr>
          <w:rFonts w:cstheme="minorHAnsi"/>
          <w:lang w:val="en"/>
        </w:rPr>
        <w:t xml:space="preserve"> the effect of campaign contributions by </w:t>
      </w:r>
      <w:r w:rsidR="003E3C0E">
        <w:rPr>
          <w:rFonts w:cstheme="minorHAnsi"/>
          <w:lang w:val="en"/>
        </w:rPr>
        <w:t>special interest</w:t>
      </w:r>
      <w:r w:rsidR="00AB044A">
        <w:rPr>
          <w:rFonts w:cstheme="minorHAnsi"/>
          <w:lang w:val="en"/>
        </w:rPr>
        <w:t>s</w:t>
      </w:r>
      <w:r w:rsidR="00147F86">
        <w:rPr>
          <w:rFonts w:cstheme="minorHAnsi"/>
          <w:lang w:val="en"/>
        </w:rPr>
        <w:t xml:space="preserve"> as a to</w:t>
      </w:r>
      <w:r w:rsidR="00BF51AB">
        <w:rPr>
          <w:rFonts w:cstheme="minorHAnsi"/>
          <w:lang w:val="en"/>
        </w:rPr>
        <w:t>ol</w:t>
      </w:r>
      <w:r w:rsidR="002C74F0">
        <w:rPr>
          <w:rFonts w:cstheme="minorHAnsi"/>
          <w:lang w:val="en"/>
        </w:rPr>
        <w:t xml:space="preserve"> </w:t>
      </w:r>
      <w:r w:rsidR="00147F86">
        <w:rPr>
          <w:rFonts w:cstheme="minorHAnsi"/>
          <w:lang w:val="en"/>
        </w:rPr>
        <w:t>to enact favorable policy</w:t>
      </w:r>
      <w:r w:rsidR="00AB044A">
        <w:rPr>
          <w:rFonts w:cstheme="minorHAnsi"/>
          <w:lang w:val="en"/>
        </w:rPr>
        <w:t>. These policies can be related to fiscal gain, as this proposal argues in New York City’s affordable housing policy</w:t>
      </w:r>
      <w:r w:rsidR="00316E61">
        <w:rPr>
          <w:rFonts w:cstheme="minorHAnsi"/>
          <w:lang w:val="en"/>
        </w:rPr>
        <w:t xml:space="preserve">. </w:t>
      </w:r>
      <w:r w:rsidR="000A5AC3">
        <w:rPr>
          <w:rFonts w:cstheme="minorHAnsi"/>
          <w:lang w:val="en"/>
        </w:rPr>
        <w:t xml:space="preserve">The coefficient measurement will be built using a systematic review of existing databases, collecting </w:t>
      </w:r>
      <w:r w:rsidR="00F5083F">
        <w:rPr>
          <w:rFonts w:cstheme="minorHAnsi"/>
          <w:lang w:val="en"/>
        </w:rPr>
        <w:t xml:space="preserve">original data, and implementing design science </w:t>
      </w:r>
      <w:r w:rsidR="005D6BB1">
        <w:rPr>
          <w:rFonts w:cstheme="minorHAnsi"/>
          <w:lang w:val="en"/>
        </w:rPr>
        <w:t xml:space="preserve">models of </w:t>
      </w:r>
      <w:r w:rsidR="00316E61">
        <w:rPr>
          <w:rFonts w:cstheme="minorHAnsi"/>
          <w:lang w:val="en"/>
        </w:rPr>
        <w:t xml:space="preserve">surveys and </w:t>
      </w:r>
      <w:r w:rsidR="005D6BB1">
        <w:rPr>
          <w:rFonts w:cstheme="minorHAnsi"/>
          <w:lang w:val="en"/>
        </w:rPr>
        <w:t xml:space="preserve">analysis </w:t>
      </w:r>
      <w:r w:rsidR="00F5083F">
        <w:rPr>
          <w:rFonts w:cstheme="minorHAnsi"/>
          <w:lang w:val="en"/>
        </w:rPr>
        <w:t>to prove the following multi-prong hypothesis:</w:t>
      </w:r>
    </w:p>
    <w:tbl>
      <w:tblPr>
        <w:tblStyle w:val="TableGrid"/>
        <w:tblW w:w="9355" w:type="dxa"/>
        <w:tblLook w:val="04A0" w:firstRow="1" w:lastRow="0" w:firstColumn="1" w:lastColumn="0" w:noHBand="0" w:noVBand="1"/>
      </w:tblPr>
      <w:tblGrid>
        <w:gridCol w:w="3116"/>
        <w:gridCol w:w="6239"/>
      </w:tblGrid>
      <w:tr w:rsidR="00F5083F" w14:paraId="3ED5F78F" w14:textId="77777777" w:rsidTr="003F11F4">
        <w:tc>
          <w:tcPr>
            <w:tcW w:w="3116" w:type="dxa"/>
          </w:tcPr>
          <w:p w14:paraId="07F48E1F" w14:textId="77777777" w:rsidR="00F5083F" w:rsidRDefault="00F5083F" w:rsidP="003F11F4">
            <w:pPr>
              <w:jc w:val="both"/>
              <w:rPr>
                <w:b/>
                <w:bCs/>
              </w:rPr>
            </w:pPr>
            <w:r>
              <w:rPr>
                <w:b/>
                <w:bCs/>
              </w:rPr>
              <w:t>Hypothesis A</w:t>
            </w:r>
          </w:p>
        </w:tc>
        <w:tc>
          <w:tcPr>
            <w:tcW w:w="6239" w:type="dxa"/>
          </w:tcPr>
          <w:p w14:paraId="4BFCDDCE" w14:textId="346D811D" w:rsidR="00F5083F" w:rsidRPr="00FE7CE9" w:rsidRDefault="00F5083F" w:rsidP="003F11F4">
            <w:pPr>
              <w:jc w:val="both"/>
            </w:pPr>
            <w:r>
              <w:t>Campaign finance has a corrupting effect on public policy</w:t>
            </w:r>
            <w:r w:rsidR="009207EA">
              <w:t xml:space="preserve"> that leads to administrative agency accountability avoidance.</w:t>
            </w:r>
          </w:p>
        </w:tc>
      </w:tr>
      <w:tr w:rsidR="00F5083F" w14:paraId="0203209C" w14:textId="77777777" w:rsidTr="003F11F4">
        <w:tc>
          <w:tcPr>
            <w:tcW w:w="3116" w:type="dxa"/>
          </w:tcPr>
          <w:p w14:paraId="31870CFB" w14:textId="12E92C6E" w:rsidR="00F5083F" w:rsidRPr="00FE7CE9" w:rsidRDefault="00F5083F" w:rsidP="003F11F4">
            <w:pPr>
              <w:jc w:val="both"/>
              <w:rPr>
                <w:b/>
                <w:bCs/>
              </w:rPr>
            </w:pPr>
            <w:r>
              <w:rPr>
                <w:b/>
                <w:bCs/>
              </w:rPr>
              <w:t xml:space="preserve">Hypothesis </w:t>
            </w:r>
            <w:r w:rsidR="00036A5E">
              <w:rPr>
                <w:b/>
                <w:bCs/>
              </w:rPr>
              <w:t>A – Null Hypothesis</w:t>
            </w:r>
          </w:p>
        </w:tc>
        <w:tc>
          <w:tcPr>
            <w:tcW w:w="6239" w:type="dxa"/>
          </w:tcPr>
          <w:p w14:paraId="2509BF78" w14:textId="49D678FE" w:rsidR="00F5083F" w:rsidRPr="00FE7CE9" w:rsidRDefault="00F5083F" w:rsidP="003F11F4">
            <w:pPr>
              <w:jc w:val="both"/>
            </w:pPr>
            <w:r>
              <w:t>Campaign finance DOES NOT have a corrupting effect on public policy</w:t>
            </w:r>
            <w:r w:rsidR="009207EA">
              <w:t xml:space="preserve"> that leads to administrative agency accountability avoidance.</w:t>
            </w:r>
          </w:p>
        </w:tc>
      </w:tr>
    </w:tbl>
    <w:p w14:paraId="389C9706" w14:textId="19E74A39" w:rsidR="00E8716E" w:rsidRDefault="00921E49" w:rsidP="00571C0C">
      <w:pPr>
        <w:rPr>
          <w:sz w:val="24"/>
          <w:szCs w:val="24"/>
          <w:lang w:val="en"/>
        </w:rPr>
      </w:pPr>
      <w:r>
        <w:rPr>
          <w:noProof/>
          <w:lang w:val="en"/>
        </w:rPr>
        <w:drawing>
          <wp:anchor distT="0" distB="0" distL="114300" distR="114300" simplePos="0" relativeHeight="251658240" behindDoc="0" locked="0" layoutInCell="1" allowOverlap="1" wp14:anchorId="11F794CD" wp14:editId="22DE3E12">
            <wp:simplePos x="0" y="0"/>
            <wp:positionH relativeFrom="column">
              <wp:posOffset>985520</wp:posOffset>
            </wp:positionH>
            <wp:positionV relativeFrom="paragraph">
              <wp:posOffset>219710</wp:posOffset>
            </wp:positionV>
            <wp:extent cx="3992880" cy="718185"/>
            <wp:effectExtent l="0" t="0" r="7620" b="571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2880" cy="718185"/>
                    </a:xfrm>
                    <a:prstGeom prst="rect">
                      <a:avLst/>
                    </a:prstGeom>
                  </pic:spPr>
                </pic:pic>
              </a:graphicData>
            </a:graphic>
            <wp14:sizeRelH relativeFrom="margin">
              <wp14:pctWidth>0</wp14:pctWidth>
            </wp14:sizeRelH>
            <wp14:sizeRelV relativeFrom="margin">
              <wp14:pctHeight>0</wp14:pctHeight>
            </wp14:sizeRelV>
          </wp:anchor>
        </w:drawing>
      </w:r>
    </w:p>
    <w:p w14:paraId="45359AB9" w14:textId="4F6CBEFA" w:rsidR="00921E49" w:rsidRPr="00921E49" w:rsidRDefault="00921E49" w:rsidP="00921E49">
      <w:pPr>
        <w:rPr>
          <w:lang w:val="en"/>
        </w:rPr>
      </w:pPr>
    </w:p>
    <w:p w14:paraId="325E5074" w14:textId="67413F3D" w:rsidR="00E8716E" w:rsidRDefault="00E8716E" w:rsidP="00E8716E">
      <w:pPr>
        <w:rPr>
          <w:lang w:val="en"/>
        </w:rPr>
      </w:pPr>
    </w:p>
    <w:p w14:paraId="4D2403D7" w14:textId="79B43288" w:rsidR="00E8716E" w:rsidRDefault="00E8716E" w:rsidP="00E8716E">
      <w:pPr>
        <w:rPr>
          <w:lang w:val="en"/>
        </w:rPr>
      </w:pPr>
    </w:p>
    <w:p w14:paraId="477713C9" w14:textId="539A4C5A" w:rsidR="0054363B" w:rsidRPr="00316E61" w:rsidRDefault="00921E49" w:rsidP="00815840">
      <w:pPr>
        <w:jc w:val="both"/>
        <w:rPr>
          <w:lang w:val="en"/>
        </w:rPr>
      </w:pPr>
      <w:r>
        <w:rPr>
          <w:lang w:val="en"/>
        </w:rPr>
        <w:t xml:space="preserve">The relationship presented above is the composite coefficient this proposal is seeking to create. Poverty Rate (-), Median Household Income (+), and Median Property Value (+) are all indicators of economic prosperity. They speak to “increasing” prosperity of the “residents” of a community. These variables are also readily available for multiple levels of data analysis at the Neighborhood, City, </w:t>
      </w:r>
      <w:r w:rsidR="00F34414">
        <w:rPr>
          <w:lang w:val="en"/>
        </w:rPr>
        <w:t xml:space="preserve">&amp; </w:t>
      </w:r>
      <w:r>
        <w:rPr>
          <w:lang w:val="en"/>
        </w:rPr>
        <w:t xml:space="preserve">State levels. </w:t>
      </w:r>
      <w:r w:rsidR="00316E61">
        <w:rPr>
          <w:lang w:val="en"/>
        </w:rPr>
        <w:t xml:space="preserve">Additionally, comparative </w:t>
      </w:r>
      <w:r w:rsidR="00F34414">
        <w:rPr>
          <w:lang w:val="en"/>
        </w:rPr>
        <w:t>wage growth</w:t>
      </w:r>
      <w:r w:rsidR="00316E61">
        <w:rPr>
          <w:lang w:val="en"/>
        </w:rPr>
        <w:t xml:space="preserve"> data from Census reporting allows us to measure whether the increasing measures</w:t>
      </w:r>
      <w:r w:rsidR="00F34414">
        <w:rPr>
          <w:lang w:val="en"/>
        </w:rPr>
        <w:t xml:space="preserve"> </w:t>
      </w:r>
      <w:r w:rsidR="00316E61">
        <w:rPr>
          <w:lang w:val="en"/>
        </w:rPr>
        <w:t xml:space="preserve">were linked to “increasing” prosperity and not </w:t>
      </w:r>
      <w:r w:rsidR="00316E61">
        <w:rPr>
          <w:i/>
          <w:iCs/>
          <w:lang w:val="en"/>
        </w:rPr>
        <w:t>Displacement.</w:t>
      </w:r>
    </w:p>
    <w:p w14:paraId="3452F206" w14:textId="757020CF" w:rsidR="00E8716E" w:rsidRDefault="0054363B" w:rsidP="00815840">
      <w:pPr>
        <w:jc w:val="both"/>
        <w:rPr>
          <w:lang w:val="en"/>
        </w:rPr>
      </w:pPr>
      <w:r>
        <w:rPr>
          <w:lang w:val="en"/>
        </w:rPr>
        <w:t>In</w:t>
      </w:r>
      <w:r w:rsidR="00737920">
        <w:rPr>
          <w:lang w:val="en"/>
        </w:rPr>
        <w:t xml:space="preserve"> an economy with </w:t>
      </w:r>
      <w:r w:rsidR="00CE3F03">
        <w:rPr>
          <w:lang w:val="en"/>
        </w:rPr>
        <w:t xml:space="preserve">nearly </w:t>
      </w:r>
      <w:r w:rsidR="00737920">
        <w:rPr>
          <w:lang w:val="en"/>
        </w:rPr>
        <w:t xml:space="preserve">70% renter households, a unique “rentier” class has been created which </w:t>
      </w:r>
      <w:r w:rsidR="00BD279D">
        <w:rPr>
          <w:lang w:val="en"/>
        </w:rPr>
        <w:t>alone benefits</w:t>
      </w:r>
      <w:r w:rsidR="00737920">
        <w:rPr>
          <w:lang w:val="en"/>
        </w:rPr>
        <w:t xml:space="preserve"> from increased Median Property Value. </w:t>
      </w:r>
      <w:r w:rsidR="00BD279D">
        <w:rPr>
          <w:lang w:val="en"/>
        </w:rPr>
        <w:t xml:space="preserve">To increase Median Property Value, this “rentier” class needs to directly increase Median Household Income of their “renters”, so they can afford to pay the higher </w:t>
      </w:r>
      <w:r w:rsidR="00CE3F03">
        <w:rPr>
          <w:lang w:val="en"/>
        </w:rPr>
        <w:t xml:space="preserve">median </w:t>
      </w:r>
      <w:r w:rsidR="00BD279D">
        <w:rPr>
          <w:lang w:val="en"/>
        </w:rPr>
        <w:t xml:space="preserve">rents, which </w:t>
      </w:r>
      <w:r w:rsidR="00316E61">
        <w:rPr>
          <w:lang w:val="en"/>
        </w:rPr>
        <w:t xml:space="preserve">will ultimately </w:t>
      </w:r>
      <w:r w:rsidR="00BD279D">
        <w:rPr>
          <w:lang w:val="en"/>
        </w:rPr>
        <w:t xml:space="preserve">give them the higher property value. </w:t>
      </w:r>
    </w:p>
    <w:p w14:paraId="53BEA256" w14:textId="64082AD1" w:rsidR="0054363B" w:rsidRDefault="00D87A96" w:rsidP="00815840">
      <w:pPr>
        <w:jc w:val="both"/>
        <w:rPr>
          <w:lang w:val="en"/>
        </w:rPr>
      </w:pPr>
      <w:r>
        <w:rPr>
          <w:lang w:val="en"/>
        </w:rPr>
        <w:t xml:space="preserve">This is the motivation that the proposal believes led to legislative policies </w:t>
      </w:r>
      <w:r w:rsidR="00CE3F03">
        <w:rPr>
          <w:lang w:val="en"/>
        </w:rPr>
        <w:t xml:space="preserve">listed below </w:t>
      </w:r>
      <w:r w:rsidR="0011778B" w:rsidRPr="0054363B">
        <w:rPr>
          <w:lang w:val="en"/>
        </w:rPr>
        <w:t>passed by the NYS Assembly and approved by the Governor</w:t>
      </w:r>
      <w:r w:rsidR="0054363B">
        <w:rPr>
          <w:lang w:val="en"/>
        </w:rPr>
        <w:t>:</w:t>
      </w:r>
    </w:p>
    <w:p w14:paraId="2A9A9F8B" w14:textId="3EB7E146" w:rsidR="0054363B" w:rsidRDefault="00D87A96" w:rsidP="0054363B">
      <w:pPr>
        <w:pStyle w:val="ListParagraph"/>
        <w:numPr>
          <w:ilvl w:val="0"/>
          <w:numId w:val="24"/>
        </w:numPr>
        <w:jc w:val="both"/>
        <w:rPr>
          <w:i/>
          <w:iCs/>
          <w:lang w:val="en"/>
        </w:rPr>
      </w:pPr>
      <w:r w:rsidRPr="0054363B">
        <w:rPr>
          <w:i/>
          <w:iCs/>
          <w:lang w:val="en"/>
        </w:rPr>
        <w:t>Vacancy Decontrol [1997 RRA]</w:t>
      </w:r>
      <w:r w:rsidR="0011778B">
        <w:rPr>
          <w:i/>
          <w:iCs/>
          <w:lang w:val="en"/>
        </w:rPr>
        <w:t>.</w:t>
      </w:r>
    </w:p>
    <w:p w14:paraId="30055829" w14:textId="662A830D" w:rsidR="0054363B" w:rsidRPr="0054363B" w:rsidRDefault="00D87A96" w:rsidP="0054363B">
      <w:pPr>
        <w:pStyle w:val="ListParagraph"/>
        <w:numPr>
          <w:ilvl w:val="0"/>
          <w:numId w:val="24"/>
        </w:numPr>
        <w:jc w:val="both"/>
        <w:rPr>
          <w:i/>
          <w:iCs/>
          <w:lang w:val="en"/>
        </w:rPr>
      </w:pPr>
      <w:r w:rsidRPr="0054363B">
        <w:rPr>
          <w:i/>
          <w:iCs/>
          <w:lang w:val="en"/>
        </w:rPr>
        <w:t>Preferential Rent [2002-2003 RRA]</w:t>
      </w:r>
      <w:r w:rsidRPr="0054363B">
        <w:rPr>
          <w:lang w:val="en"/>
        </w:rPr>
        <w:t xml:space="preserve">. </w:t>
      </w:r>
    </w:p>
    <w:p w14:paraId="692C8F9A" w14:textId="77777777" w:rsidR="0054363B" w:rsidRDefault="00D87A96" w:rsidP="0054363B">
      <w:pPr>
        <w:jc w:val="both"/>
        <w:rPr>
          <w:lang w:val="en"/>
        </w:rPr>
      </w:pPr>
      <w:r w:rsidRPr="0054363B">
        <w:rPr>
          <w:lang w:val="en"/>
        </w:rPr>
        <w:t>HCR &amp; HPD policies that highlight a similar pattern of special interest group influence include</w:t>
      </w:r>
      <w:r w:rsidR="0054363B">
        <w:rPr>
          <w:lang w:val="en"/>
        </w:rPr>
        <w:t>:</w:t>
      </w:r>
    </w:p>
    <w:p w14:paraId="418A5386" w14:textId="46F51B6C" w:rsidR="0054363B" w:rsidRDefault="00D87A96" w:rsidP="0054363B">
      <w:pPr>
        <w:pStyle w:val="ListParagraph"/>
        <w:numPr>
          <w:ilvl w:val="0"/>
          <w:numId w:val="25"/>
        </w:numPr>
        <w:jc w:val="both"/>
        <w:rPr>
          <w:i/>
          <w:iCs/>
          <w:lang w:val="en"/>
        </w:rPr>
      </w:pPr>
      <w:r w:rsidRPr="0054363B">
        <w:rPr>
          <w:i/>
          <w:iCs/>
          <w:lang w:val="en"/>
        </w:rPr>
        <w:t>Lack of 3</w:t>
      </w:r>
      <w:r w:rsidRPr="0054363B">
        <w:rPr>
          <w:i/>
          <w:iCs/>
          <w:vertAlign w:val="superscript"/>
          <w:lang w:val="en"/>
        </w:rPr>
        <w:t>rd</w:t>
      </w:r>
      <w:r w:rsidRPr="0054363B">
        <w:rPr>
          <w:i/>
          <w:iCs/>
          <w:lang w:val="en"/>
        </w:rPr>
        <w:t xml:space="preserve"> party confirmation of </w:t>
      </w:r>
      <w:r w:rsidR="00815840" w:rsidRPr="0054363B">
        <w:rPr>
          <w:i/>
          <w:iCs/>
          <w:lang w:val="en"/>
        </w:rPr>
        <w:t>improvement-based</w:t>
      </w:r>
      <w:r w:rsidRPr="0054363B">
        <w:rPr>
          <w:i/>
          <w:iCs/>
          <w:lang w:val="en"/>
        </w:rPr>
        <w:t xml:space="preserve"> rent increases</w:t>
      </w:r>
      <w:r w:rsidR="0054363B">
        <w:rPr>
          <w:i/>
          <w:iCs/>
          <w:lang w:val="en"/>
        </w:rPr>
        <w:t xml:space="preserve"> [HCR]</w:t>
      </w:r>
      <w:r w:rsidR="0011778B">
        <w:rPr>
          <w:i/>
          <w:iCs/>
          <w:lang w:val="en"/>
        </w:rPr>
        <w:t>.</w:t>
      </w:r>
    </w:p>
    <w:p w14:paraId="167ACBAA" w14:textId="3275E835" w:rsidR="00D87A96" w:rsidRPr="0054363B" w:rsidRDefault="0054363B" w:rsidP="0054363B">
      <w:pPr>
        <w:pStyle w:val="ListParagraph"/>
        <w:numPr>
          <w:ilvl w:val="0"/>
          <w:numId w:val="25"/>
        </w:numPr>
        <w:jc w:val="both"/>
        <w:rPr>
          <w:i/>
          <w:iCs/>
          <w:lang w:val="en"/>
        </w:rPr>
      </w:pPr>
      <w:r>
        <w:rPr>
          <w:i/>
          <w:iCs/>
          <w:lang w:val="en"/>
        </w:rPr>
        <w:t>Underreporting of</w:t>
      </w:r>
      <w:r w:rsidR="00D87A96" w:rsidRPr="0054363B">
        <w:rPr>
          <w:i/>
          <w:iCs/>
          <w:lang w:val="en"/>
        </w:rPr>
        <w:t xml:space="preserve"> maintenance code violations</w:t>
      </w:r>
      <w:r>
        <w:rPr>
          <w:i/>
          <w:iCs/>
          <w:lang w:val="en"/>
        </w:rPr>
        <w:t xml:space="preserve"> [HPD]</w:t>
      </w:r>
      <w:r w:rsidR="0011778B">
        <w:rPr>
          <w:i/>
          <w:iCs/>
          <w:lang w:val="en"/>
        </w:rPr>
        <w:t>.</w:t>
      </w:r>
    </w:p>
    <w:p w14:paraId="576DA979" w14:textId="1A5EF2D7" w:rsidR="00E8716E" w:rsidRDefault="00815840" w:rsidP="00815840">
      <w:pPr>
        <w:jc w:val="both"/>
        <w:rPr>
          <w:lang w:val="en"/>
        </w:rPr>
      </w:pPr>
      <w:r>
        <w:rPr>
          <w:lang w:val="en"/>
        </w:rPr>
        <w:t>The legislative policies, combined with the clear lack of resources for oversight and enforcement, created a “perfect storm” of affordability crisis</w:t>
      </w:r>
      <w:r w:rsidR="001F795A">
        <w:rPr>
          <w:lang w:val="en"/>
        </w:rPr>
        <w:t xml:space="preserve"> pushing out lower-paying tenants</w:t>
      </w:r>
      <w:r>
        <w:rPr>
          <w:lang w:val="en"/>
        </w:rPr>
        <w:t>. The proposal wants to show this as</w:t>
      </w:r>
      <w:r w:rsidR="00CE3F03">
        <w:rPr>
          <w:lang w:val="en"/>
        </w:rPr>
        <w:t xml:space="preserve"> driven by</w:t>
      </w:r>
      <w:r>
        <w:rPr>
          <w:lang w:val="en"/>
        </w:rPr>
        <w:t xml:space="preserve"> </w:t>
      </w:r>
      <w:r w:rsidR="00A95371">
        <w:rPr>
          <w:lang w:val="en"/>
        </w:rPr>
        <w:t xml:space="preserve">the </w:t>
      </w:r>
      <w:r>
        <w:rPr>
          <w:lang w:val="en"/>
        </w:rPr>
        <w:t xml:space="preserve">“Tone at the Top” of elected officials, agency commissioners, </w:t>
      </w:r>
      <w:r w:rsidR="00A95371">
        <w:rPr>
          <w:lang w:val="en"/>
        </w:rPr>
        <w:t xml:space="preserve">and </w:t>
      </w:r>
      <w:r>
        <w:rPr>
          <w:lang w:val="en"/>
        </w:rPr>
        <w:t xml:space="preserve">agency </w:t>
      </w:r>
      <w:r w:rsidR="00CE3F03">
        <w:rPr>
          <w:lang w:val="en"/>
        </w:rPr>
        <w:t>b</w:t>
      </w:r>
      <w:r>
        <w:rPr>
          <w:lang w:val="en"/>
        </w:rPr>
        <w:t xml:space="preserve">oards </w:t>
      </w:r>
      <w:r w:rsidR="0054363B">
        <w:rPr>
          <w:lang w:val="en"/>
        </w:rPr>
        <w:t>supporting</w:t>
      </w:r>
      <w:r w:rsidR="00A95371">
        <w:rPr>
          <w:lang w:val="en"/>
        </w:rPr>
        <w:t xml:space="preserve"> an</w:t>
      </w:r>
      <w:r>
        <w:rPr>
          <w:lang w:val="en"/>
        </w:rPr>
        <w:t xml:space="preserve"> environment </w:t>
      </w:r>
      <w:r w:rsidR="00CE3F03">
        <w:rPr>
          <w:lang w:val="en"/>
        </w:rPr>
        <w:t>fostering</w:t>
      </w:r>
      <w:r w:rsidR="0054363B">
        <w:rPr>
          <w:lang w:val="en"/>
        </w:rPr>
        <w:t xml:space="preserve"> higher</w:t>
      </w:r>
      <w:r w:rsidR="00746364">
        <w:rPr>
          <w:lang w:val="en"/>
        </w:rPr>
        <w:t xml:space="preserve"> median property values for </w:t>
      </w:r>
      <w:r w:rsidR="0054363B">
        <w:rPr>
          <w:lang w:val="en"/>
        </w:rPr>
        <w:t>a</w:t>
      </w:r>
      <w:r w:rsidR="00746364">
        <w:rPr>
          <w:lang w:val="en"/>
        </w:rPr>
        <w:t xml:space="preserve"> special interest group.</w:t>
      </w:r>
    </w:p>
    <w:p w14:paraId="392CADEB" w14:textId="66AC39F3" w:rsidR="00F5083F" w:rsidRPr="00C239CA" w:rsidRDefault="00816838" w:rsidP="00F5083F">
      <w:pPr>
        <w:pStyle w:val="Heading2"/>
        <w:rPr>
          <w:i/>
          <w:iCs/>
          <w:sz w:val="24"/>
          <w:szCs w:val="24"/>
          <w:lang w:val="en"/>
        </w:rPr>
      </w:pPr>
      <w:bookmarkStart w:id="2" w:name="_Toc68084993"/>
      <w:r w:rsidRPr="00C239CA">
        <w:rPr>
          <w:i/>
          <w:iCs/>
          <w:sz w:val="24"/>
          <w:szCs w:val="24"/>
          <w:lang w:val="en"/>
        </w:rPr>
        <w:lastRenderedPageBreak/>
        <w:t xml:space="preserve">Phase 1 - </w:t>
      </w:r>
      <w:r w:rsidR="00F5083F" w:rsidRPr="00C239CA">
        <w:rPr>
          <w:i/>
          <w:iCs/>
          <w:sz w:val="24"/>
          <w:szCs w:val="24"/>
          <w:lang w:val="en"/>
        </w:rPr>
        <w:t xml:space="preserve">Creating a Quantifiable Measure of </w:t>
      </w:r>
      <w:r w:rsidR="00BF51AB" w:rsidRPr="00C239CA">
        <w:rPr>
          <w:i/>
          <w:iCs/>
          <w:sz w:val="24"/>
          <w:szCs w:val="24"/>
          <w:lang w:val="en"/>
        </w:rPr>
        <w:t>Campaign Finance as Corrupting Impact</w:t>
      </w:r>
      <w:bookmarkEnd w:id="2"/>
    </w:p>
    <w:p w14:paraId="237B0E81" w14:textId="2A14969F" w:rsidR="00815F32" w:rsidRDefault="00C16321" w:rsidP="00815F32">
      <w:pPr>
        <w:spacing w:after="0"/>
        <w:jc w:val="both"/>
        <w:rPr>
          <w:lang w:val="en"/>
        </w:rPr>
      </w:pPr>
      <w:r>
        <w:rPr>
          <w:lang w:val="en"/>
        </w:rPr>
        <w:t xml:space="preserve">Generating a quantifiable impact of every dollar spent by special interest groups to enact policy favorable to short-term gain is a difficult task. Accounting, Audit, and Public Administration environments, especially in response to large-scale fraud, have been developing </w:t>
      </w:r>
      <w:r w:rsidR="003E3EA3">
        <w:rPr>
          <w:lang w:val="en"/>
        </w:rPr>
        <w:t>tools</w:t>
      </w:r>
      <w:r w:rsidR="003F11F4">
        <w:rPr>
          <w:lang w:val="en"/>
        </w:rPr>
        <w:t xml:space="preserve"> by looking beyond the financial reporting measures to non-financial </w:t>
      </w:r>
      <w:r w:rsidR="0011778B">
        <w:rPr>
          <w:lang w:val="en"/>
        </w:rPr>
        <w:t xml:space="preserve">measures </w:t>
      </w:r>
      <w:r w:rsidR="00BF51AB">
        <w:rPr>
          <w:lang w:val="en"/>
        </w:rPr>
        <w:t>reporting</w:t>
      </w:r>
      <w:r>
        <w:rPr>
          <w:lang w:val="en"/>
        </w:rPr>
        <w:t>.</w:t>
      </w:r>
      <w:r w:rsidR="0011778B">
        <w:rPr>
          <w:lang w:val="en"/>
        </w:rPr>
        <w:t xml:space="preserve"> This has led to the increased focus on “Tone at the Top” as a driving force behind important non-financial measures</w:t>
      </w:r>
      <w:r w:rsidR="0011778B">
        <w:rPr>
          <w:rStyle w:val="FootnoteReference"/>
          <w:lang w:val="en"/>
        </w:rPr>
        <w:footnoteReference w:id="5"/>
      </w:r>
      <w:r w:rsidR="0011778B">
        <w:rPr>
          <w:lang w:val="en"/>
        </w:rPr>
        <w:t xml:space="preserve"> of “Culture” and “Conduct”</w:t>
      </w:r>
      <w:r w:rsidR="003E3EA3">
        <w:rPr>
          <w:lang w:val="en"/>
        </w:rPr>
        <w:t xml:space="preserve"> in</w:t>
      </w:r>
      <w:r w:rsidR="0011778B">
        <w:rPr>
          <w:lang w:val="en"/>
        </w:rPr>
        <w:t xml:space="preserve"> organization</w:t>
      </w:r>
      <w:r w:rsidR="003E3EA3">
        <w:rPr>
          <w:lang w:val="en"/>
        </w:rPr>
        <w:t>s</w:t>
      </w:r>
      <w:r w:rsidR="0011778B">
        <w:rPr>
          <w:lang w:val="en"/>
        </w:rPr>
        <w:t>.</w:t>
      </w:r>
      <w:r w:rsidR="003F11F4">
        <w:rPr>
          <w:lang w:val="en"/>
        </w:rPr>
        <w:t xml:space="preserve"> </w:t>
      </w:r>
    </w:p>
    <w:p w14:paraId="064DD2D5" w14:textId="77777777" w:rsidR="00815F32" w:rsidRDefault="00815F32" w:rsidP="00815F32">
      <w:pPr>
        <w:spacing w:after="0"/>
        <w:jc w:val="both"/>
        <w:rPr>
          <w:lang w:val="en"/>
        </w:rPr>
      </w:pPr>
    </w:p>
    <w:p w14:paraId="2828EF84" w14:textId="2698FF21" w:rsidR="00BF51AB" w:rsidRPr="00E8716E" w:rsidRDefault="00C16321" w:rsidP="003F11F4">
      <w:pPr>
        <w:jc w:val="both"/>
        <w:rPr>
          <w:lang w:val="en"/>
        </w:rPr>
      </w:pPr>
      <w:r>
        <w:rPr>
          <w:lang w:val="en"/>
        </w:rPr>
        <w:t>This proposal is a</w:t>
      </w:r>
      <w:r w:rsidR="001B5411">
        <w:rPr>
          <w:lang w:val="en"/>
        </w:rPr>
        <w:t xml:space="preserve"> sincere</w:t>
      </w:r>
      <w:r>
        <w:rPr>
          <w:lang w:val="en"/>
        </w:rPr>
        <w:t xml:space="preserve"> effort at using this author’s academic and professional knowledge, in combination with a collaborative research environment</w:t>
      </w:r>
      <w:r w:rsidR="00BF51AB">
        <w:rPr>
          <w:lang w:val="en"/>
        </w:rPr>
        <w:t>,</w:t>
      </w:r>
      <w:r>
        <w:rPr>
          <w:lang w:val="en"/>
        </w:rPr>
        <w:t xml:space="preserve"> to endeavor using specific tools to achieve </w:t>
      </w:r>
      <w:r w:rsidR="00BF51AB">
        <w:rPr>
          <w:lang w:val="en"/>
        </w:rPr>
        <w:t xml:space="preserve">a </w:t>
      </w:r>
      <w:r w:rsidR="00BF51AB" w:rsidRPr="00C91184">
        <w:rPr>
          <w:lang w:val="en"/>
        </w:rPr>
        <w:t xml:space="preserve">definition of </w:t>
      </w:r>
      <w:r w:rsidR="0011778B">
        <w:rPr>
          <w:i/>
          <w:iCs/>
          <w:lang w:val="en"/>
        </w:rPr>
        <w:t>corrupting impact</w:t>
      </w:r>
      <w:r w:rsidR="00BF51AB" w:rsidRPr="00C91184">
        <w:rPr>
          <w:lang w:val="en"/>
        </w:rPr>
        <w:t xml:space="preserve"> as</w:t>
      </w:r>
      <w:r w:rsidR="00BF51AB" w:rsidRPr="00BF51AB">
        <w:rPr>
          <w:b/>
          <w:bCs/>
          <w:lang w:val="en"/>
        </w:rPr>
        <w:t xml:space="preserve"> </w:t>
      </w:r>
      <w:r w:rsidR="00BF51AB" w:rsidRPr="00BF51AB">
        <w:rPr>
          <w:b/>
          <w:bCs/>
          <w:i/>
          <w:iCs/>
          <w:lang w:val="en"/>
        </w:rPr>
        <w:t>Increasing Campaign Contributions by Special Interest Housing Stakeholders, directly resulting in</w:t>
      </w:r>
      <w:r w:rsidR="00833E54">
        <w:rPr>
          <w:b/>
          <w:bCs/>
          <w:i/>
          <w:iCs/>
          <w:lang w:val="en"/>
        </w:rPr>
        <w:t xml:space="preserve"> policies</w:t>
      </w:r>
      <w:r w:rsidR="00BF51AB" w:rsidRPr="00BF51AB">
        <w:rPr>
          <w:b/>
          <w:bCs/>
          <w:i/>
          <w:iCs/>
          <w:lang w:val="en"/>
        </w:rPr>
        <w:t xml:space="preserve"> that accelerated Displacement of </w:t>
      </w:r>
      <w:r w:rsidR="003E7E6A">
        <w:rPr>
          <w:b/>
          <w:bCs/>
          <w:i/>
          <w:iCs/>
          <w:lang w:val="en"/>
        </w:rPr>
        <w:t xml:space="preserve">lower-paying </w:t>
      </w:r>
      <w:r w:rsidR="00BF51AB" w:rsidRPr="00BF51AB">
        <w:rPr>
          <w:b/>
          <w:bCs/>
          <w:i/>
          <w:iCs/>
          <w:lang w:val="en"/>
        </w:rPr>
        <w:t>tenants for higher-paying tenants</w:t>
      </w:r>
      <w:r w:rsidRPr="00BF51AB">
        <w:rPr>
          <w:b/>
          <w:bCs/>
          <w:lang w:val="en"/>
        </w:rPr>
        <w:t>.</w:t>
      </w:r>
      <w:r w:rsidR="003F11F4" w:rsidRPr="00BF51AB">
        <w:rPr>
          <w:b/>
          <w:bCs/>
          <w:lang w:val="en"/>
        </w:rPr>
        <w:t xml:space="preserve"> </w:t>
      </w:r>
      <w:r w:rsidR="003E7E6A" w:rsidRPr="00C91184">
        <w:rPr>
          <w:lang w:val="en"/>
        </w:rPr>
        <w:t xml:space="preserve">It further hopes to show </w:t>
      </w:r>
      <w:r w:rsidR="003E7E6A" w:rsidRPr="00364CCD">
        <w:rPr>
          <w:b/>
          <w:bCs/>
          <w:i/>
          <w:iCs/>
          <w:lang w:val="en"/>
        </w:rPr>
        <w:t>Disparate Impact under the Fair Housing Act of 1968</w:t>
      </w:r>
      <w:r w:rsidR="003E7E6A" w:rsidRPr="00C91184">
        <w:rPr>
          <w:i/>
          <w:iCs/>
          <w:lang w:val="en"/>
        </w:rPr>
        <w:t xml:space="preserve">, </w:t>
      </w:r>
      <w:r w:rsidR="003E7E6A" w:rsidRPr="00C91184">
        <w:rPr>
          <w:lang w:val="en"/>
        </w:rPr>
        <w:t>by using race and household type moderators to propose litigatory restorative justice for effected communities.</w:t>
      </w:r>
      <w:r w:rsidR="003E7E6A">
        <w:rPr>
          <w:b/>
          <w:bCs/>
          <w:lang w:val="en"/>
        </w:rPr>
        <w:t xml:space="preserve"> </w:t>
      </w:r>
      <w:r w:rsidR="00E8716E">
        <w:rPr>
          <w:lang w:val="en"/>
        </w:rPr>
        <w:t xml:space="preserve">The visualization below presents the first “causal” effects between campaign finance and </w:t>
      </w:r>
      <w:r w:rsidR="00A014AA">
        <w:rPr>
          <w:i/>
          <w:iCs/>
          <w:lang w:val="en"/>
        </w:rPr>
        <w:t>Displacement</w:t>
      </w:r>
      <w:r w:rsidR="00E8716E">
        <w:rPr>
          <w:lang w:val="en"/>
        </w:rPr>
        <w:t xml:space="preserve"> factors as identified by analysis </w:t>
      </w:r>
      <w:r w:rsidR="00E8716E" w:rsidRPr="00427850">
        <w:rPr>
          <w:lang w:val="en"/>
        </w:rPr>
        <w:t>of the data</w:t>
      </w:r>
      <w:r w:rsidR="00270FEA">
        <w:rPr>
          <w:lang w:val="en"/>
        </w:rPr>
        <w:t xml:space="preserve"> collated for th</w:t>
      </w:r>
      <w:r w:rsidR="001B5411">
        <w:rPr>
          <w:lang w:val="en"/>
        </w:rPr>
        <w:t>e</w:t>
      </w:r>
      <w:r w:rsidR="00270FEA">
        <w:rPr>
          <w:lang w:val="en"/>
        </w:rPr>
        <w:t xml:space="preserve"> proposal</w:t>
      </w:r>
      <w:r w:rsidR="001B5411">
        <w:rPr>
          <w:lang w:val="en"/>
        </w:rPr>
        <w:t>’s first phase</w:t>
      </w:r>
      <w:r w:rsidR="00E8716E" w:rsidRPr="00427850">
        <w:rPr>
          <w:lang w:val="en"/>
        </w:rPr>
        <w:t>.</w:t>
      </w:r>
    </w:p>
    <w:p w14:paraId="7627350B" w14:textId="29099129" w:rsidR="00E8716E" w:rsidRDefault="00E8716E" w:rsidP="0011778B">
      <w:pPr>
        <w:jc w:val="both"/>
        <w:rPr>
          <w:b/>
          <w:bCs/>
          <w:lang w:val="en"/>
        </w:rPr>
      </w:pPr>
      <w:r>
        <w:rPr>
          <w:noProof/>
        </w:rPr>
        <w:drawing>
          <wp:inline distT="0" distB="0" distL="0" distR="0" wp14:anchorId="6F12AC2E" wp14:editId="33DE8DB3">
            <wp:extent cx="5891779" cy="44723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9244" cy="4478021"/>
                    </a:xfrm>
                    <a:prstGeom prst="rect">
                      <a:avLst/>
                    </a:prstGeom>
                    <a:noFill/>
                    <a:ln>
                      <a:noFill/>
                    </a:ln>
                  </pic:spPr>
                </pic:pic>
              </a:graphicData>
            </a:graphic>
          </wp:inline>
        </w:drawing>
      </w:r>
    </w:p>
    <w:tbl>
      <w:tblPr>
        <w:tblpPr w:leftFromText="180" w:rightFromText="180" w:vertAnchor="text" w:horzAnchor="margin" w:tblpXSpec="center" w:tblpY="-208"/>
        <w:tblW w:w="10549" w:type="dxa"/>
        <w:tblLook w:val="04A0" w:firstRow="1" w:lastRow="0" w:firstColumn="1" w:lastColumn="0" w:noHBand="0" w:noVBand="1"/>
      </w:tblPr>
      <w:tblGrid>
        <w:gridCol w:w="635"/>
        <w:gridCol w:w="1265"/>
        <w:gridCol w:w="2429"/>
        <w:gridCol w:w="2130"/>
        <w:gridCol w:w="1068"/>
        <w:gridCol w:w="1032"/>
        <w:gridCol w:w="1042"/>
        <w:gridCol w:w="948"/>
      </w:tblGrid>
      <w:tr w:rsidR="00E8716E" w:rsidRPr="007F7B55" w14:paraId="592F3954" w14:textId="77777777" w:rsidTr="00DE5945">
        <w:trPr>
          <w:trHeight w:val="232"/>
        </w:trPr>
        <w:tc>
          <w:tcPr>
            <w:tcW w:w="0" w:type="auto"/>
            <w:tcBorders>
              <w:top w:val="single" w:sz="4" w:space="0" w:color="8EA9DB"/>
              <w:left w:val="single" w:sz="4" w:space="0" w:color="8EA9DB"/>
              <w:bottom w:val="single" w:sz="4" w:space="0" w:color="8EA9DB"/>
              <w:right w:val="nil"/>
            </w:tcBorders>
            <w:shd w:val="clear" w:color="4472C4" w:fill="4472C4"/>
            <w:noWrap/>
            <w:vAlign w:val="bottom"/>
            <w:hideMark/>
          </w:tcPr>
          <w:p w14:paraId="0940F2AB" w14:textId="77777777" w:rsidR="00E8716E" w:rsidRPr="008E4CDF" w:rsidRDefault="00E8716E" w:rsidP="00E8716E">
            <w:pPr>
              <w:spacing w:after="0" w:line="240" w:lineRule="auto"/>
              <w:rPr>
                <w:rFonts w:eastAsia="Times New Roman" w:cstheme="minorHAnsi"/>
                <w:b/>
                <w:bCs/>
                <w:color w:val="FFFFFF"/>
                <w:sz w:val="18"/>
                <w:szCs w:val="18"/>
              </w:rPr>
            </w:pPr>
            <w:r w:rsidRPr="008E4CDF">
              <w:rPr>
                <w:rFonts w:eastAsia="Times New Roman" w:cstheme="minorHAnsi"/>
                <w:b/>
                <w:bCs/>
                <w:color w:val="FFFFFF"/>
                <w:sz w:val="18"/>
                <w:szCs w:val="18"/>
              </w:rPr>
              <w:lastRenderedPageBreak/>
              <w:t>Year</w:t>
            </w:r>
          </w:p>
        </w:tc>
        <w:tc>
          <w:tcPr>
            <w:tcW w:w="0" w:type="auto"/>
            <w:tcBorders>
              <w:top w:val="single" w:sz="4" w:space="0" w:color="8EA9DB"/>
              <w:left w:val="nil"/>
              <w:bottom w:val="single" w:sz="4" w:space="0" w:color="8EA9DB"/>
              <w:right w:val="nil"/>
            </w:tcBorders>
            <w:shd w:val="clear" w:color="4472C4" w:fill="4472C4"/>
            <w:noWrap/>
            <w:vAlign w:val="bottom"/>
            <w:hideMark/>
          </w:tcPr>
          <w:p w14:paraId="1BAA4B3C" w14:textId="77777777" w:rsidR="00E8716E" w:rsidRPr="008E4CDF" w:rsidRDefault="00E8716E" w:rsidP="00E8716E">
            <w:pPr>
              <w:spacing w:after="0" w:line="240" w:lineRule="auto"/>
              <w:rPr>
                <w:rFonts w:eastAsia="Times New Roman" w:cstheme="minorHAnsi"/>
                <w:b/>
                <w:bCs/>
                <w:color w:val="FFFFFF"/>
                <w:sz w:val="18"/>
                <w:szCs w:val="18"/>
              </w:rPr>
            </w:pPr>
            <w:r w:rsidRPr="008E4CDF">
              <w:rPr>
                <w:rFonts w:eastAsia="Times New Roman" w:cstheme="minorHAnsi"/>
                <w:b/>
                <w:bCs/>
                <w:color w:val="FFFFFF"/>
                <w:sz w:val="18"/>
                <w:szCs w:val="18"/>
              </w:rPr>
              <w:t>poverty-rate</w:t>
            </w:r>
          </w:p>
        </w:tc>
        <w:tc>
          <w:tcPr>
            <w:tcW w:w="0" w:type="auto"/>
            <w:tcBorders>
              <w:top w:val="single" w:sz="4" w:space="0" w:color="8EA9DB"/>
              <w:left w:val="nil"/>
              <w:bottom w:val="single" w:sz="4" w:space="0" w:color="8EA9DB"/>
              <w:right w:val="nil"/>
            </w:tcBorders>
            <w:shd w:val="clear" w:color="4472C4" w:fill="4472C4"/>
            <w:noWrap/>
            <w:vAlign w:val="bottom"/>
            <w:hideMark/>
          </w:tcPr>
          <w:p w14:paraId="6F1510B7" w14:textId="77777777" w:rsidR="00E8716E" w:rsidRPr="008E4CDF" w:rsidRDefault="00E8716E" w:rsidP="00E8716E">
            <w:pPr>
              <w:spacing w:after="0" w:line="240" w:lineRule="auto"/>
              <w:rPr>
                <w:rFonts w:eastAsia="Times New Roman" w:cstheme="minorHAnsi"/>
                <w:b/>
                <w:bCs/>
                <w:color w:val="FFFFFF"/>
                <w:sz w:val="18"/>
                <w:szCs w:val="18"/>
              </w:rPr>
            </w:pPr>
            <w:r w:rsidRPr="008E4CDF">
              <w:rPr>
                <w:rFonts w:eastAsia="Times New Roman" w:cstheme="minorHAnsi"/>
                <w:b/>
                <w:bCs/>
                <w:color w:val="FFFFFF"/>
                <w:sz w:val="18"/>
                <w:szCs w:val="18"/>
              </w:rPr>
              <w:t>median-household-income</w:t>
            </w:r>
          </w:p>
        </w:tc>
        <w:tc>
          <w:tcPr>
            <w:tcW w:w="0" w:type="auto"/>
            <w:tcBorders>
              <w:top w:val="single" w:sz="4" w:space="0" w:color="8EA9DB"/>
              <w:left w:val="nil"/>
              <w:bottom w:val="single" w:sz="4" w:space="0" w:color="8EA9DB"/>
              <w:right w:val="nil"/>
            </w:tcBorders>
            <w:shd w:val="clear" w:color="4472C4" w:fill="4472C4"/>
            <w:noWrap/>
            <w:vAlign w:val="bottom"/>
            <w:hideMark/>
          </w:tcPr>
          <w:p w14:paraId="162F271B" w14:textId="77777777" w:rsidR="00E8716E" w:rsidRPr="008E4CDF" w:rsidRDefault="00E8716E" w:rsidP="00E8716E">
            <w:pPr>
              <w:spacing w:after="0" w:line="240" w:lineRule="auto"/>
              <w:rPr>
                <w:rFonts w:eastAsia="Times New Roman" w:cstheme="minorHAnsi"/>
                <w:b/>
                <w:bCs/>
                <w:color w:val="FFFFFF"/>
                <w:sz w:val="18"/>
                <w:szCs w:val="18"/>
              </w:rPr>
            </w:pPr>
            <w:r w:rsidRPr="008E4CDF">
              <w:rPr>
                <w:rFonts w:eastAsia="Times New Roman" w:cstheme="minorHAnsi"/>
                <w:b/>
                <w:bCs/>
                <w:color w:val="FFFFFF"/>
                <w:sz w:val="18"/>
                <w:szCs w:val="18"/>
              </w:rPr>
              <w:t>median-property-value</w:t>
            </w:r>
          </w:p>
        </w:tc>
        <w:tc>
          <w:tcPr>
            <w:tcW w:w="0" w:type="auto"/>
            <w:tcBorders>
              <w:top w:val="single" w:sz="4" w:space="0" w:color="8EA9DB"/>
              <w:left w:val="nil"/>
              <w:bottom w:val="single" w:sz="4" w:space="0" w:color="8EA9DB"/>
              <w:right w:val="nil"/>
            </w:tcBorders>
            <w:shd w:val="clear" w:color="4472C4" w:fill="4472C4"/>
            <w:noWrap/>
            <w:vAlign w:val="bottom"/>
            <w:hideMark/>
          </w:tcPr>
          <w:p w14:paraId="29FBFC92" w14:textId="77777777" w:rsidR="00E8716E" w:rsidRPr="008E4CDF" w:rsidRDefault="00E8716E" w:rsidP="00E8716E">
            <w:pPr>
              <w:spacing w:after="0" w:line="240" w:lineRule="auto"/>
              <w:rPr>
                <w:rFonts w:eastAsia="Times New Roman" w:cstheme="minorHAnsi"/>
                <w:b/>
                <w:bCs/>
                <w:color w:val="FFFFFF"/>
                <w:sz w:val="18"/>
                <w:szCs w:val="18"/>
              </w:rPr>
            </w:pPr>
            <w:r w:rsidRPr="008E4CDF">
              <w:rPr>
                <w:rFonts w:eastAsia="Times New Roman" w:cstheme="minorHAnsi"/>
                <w:b/>
                <w:bCs/>
                <w:color w:val="FFFFFF"/>
                <w:sz w:val="18"/>
                <w:szCs w:val="18"/>
              </w:rPr>
              <w:t>TotSenate</w:t>
            </w:r>
          </w:p>
        </w:tc>
        <w:tc>
          <w:tcPr>
            <w:tcW w:w="0" w:type="auto"/>
            <w:tcBorders>
              <w:top w:val="single" w:sz="4" w:space="0" w:color="8EA9DB"/>
              <w:left w:val="nil"/>
              <w:bottom w:val="single" w:sz="4" w:space="0" w:color="8EA9DB"/>
              <w:right w:val="nil"/>
            </w:tcBorders>
            <w:shd w:val="clear" w:color="4472C4" w:fill="4472C4"/>
            <w:noWrap/>
            <w:vAlign w:val="bottom"/>
            <w:hideMark/>
          </w:tcPr>
          <w:p w14:paraId="431524A3" w14:textId="77777777" w:rsidR="00E8716E" w:rsidRPr="008E4CDF" w:rsidRDefault="00E8716E" w:rsidP="00E8716E">
            <w:pPr>
              <w:spacing w:after="0" w:line="240" w:lineRule="auto"/>
              <w:rPr>
                <w:rFonts w:eastAsia="Times New Roman" w:cstheme="minorHAnsi"/>
                <w:b/>
                <w:bCs/>
                <w:color w:val="FFFFFF"/>
                <w:sz w:val="18"/>
                <w:szCs w:val="18"/>
              </w:rPr>
            </w:pPr>
            <w:r w:rsidRPr="008E4CDF">
              <w:rPr>
                <w:rFonts w:eastAsia="Times New Roman" w:cstheme="minorHAnsi"/>
                <w:b/>
                <w:bCs/>
                <w:color w:val="FFFFFF"/>
                <w:sz w:val="18"/>
                <w:szCs w:val="18"/>
              </w:rPr>
              <w:t>TotGov</w:t>
            </w:r>
          </w:p>
        </w:tc>
        <w:tc>
          <w:tcPr>
            <w:tcW w:w="0" w:type="auto"/>
            <w:tcBorders>
              <w:top w:val="single" w:sz="4" w:space="0" w:color="8EA9DB"/>
              <w:left w:val="nil"/>
              <w:bottom w:val="single" w:sz="4" w:space="0" w:color="8EA9DB"/>
              <w:right w:val="nil"/>
            </w:tcBorders>
            <w:shd w:val="clear" w:color="4472C4" w:fill="4472C4"/>
            <w:noWrap/>
            <w:vAlign w:val="bottom"/>
            <w:hideMark/>
          </w:tcPr>
          <w:p w14:paraId="1D2B5284" w14:textId="77777777" w:rsidR="00E8716E" w:rsidRPr="008E4CDF" w:rsidRDefault="00E8716E" w:rsidP="00E8716E">
            <w:pPr>
              <w:spacing w:after="0" w:line="240" w:lineRule="auto"/>
              <w:rPr>
                <w:rFonts w:eastAsia="Times New Roman" w:cstheme="minorHAnsi"/>
                <w:b/>
                <w:bCs/>
                <w:color w:val="FFFFFF"/>
                <w:sz w:val="18"/>
                <w:szCs w:val="18"/>
              </w:rPr>
            </w:pPr>
            <w:r w:rsidRPr="008E4CDF">
              <w:rPr>
                <w:rFonts w:eastAsia="Times New Roman" w:cstheme="minorHAnsi"/>
                <w:b/>
                <w:bCs/>
                <w:color w:val="FFFFFF"/>
                <w:sz w:val="18"/>
                <w:szCs w:val="18"/>
              </w:rPr>
              <w:t>TotAssem</w:t>
            </w:r>
          </w:p>
        </w:tc>
        <w:tc>
          <w:tcPr>
            <w:tcW w:w="948" w:type="dxa"/>
            <w:tcBorders>
              <w:top w:val="single" w:sz="4" w:space="0" w:color="8EA9DB"/>
              <w:left w:val="nil"/>
              <w:bottom w:val="single" w:sz="4" w:space="0" w:color="8EA9DB"/>
              <w:right w:val="single" w:sz="4" w:space="0" w:color="8EA9DB"/>
            </w:tcBorders>
            <w:shd w:val="clear" w:color="4472C4" w:fill="4472C4"/>
            <w:noWrap/>
            <w:vAlign w:val="bottom"/>
            <w:hideMark/>
          </w:tcPr>
          <w:p w14:paraId="22094881" w14:textId="77777777" w:rsidR="00E8716E" w:rsidRPr="008E4CDF" w:rsidRDefault="00E8716E" w:rsidP="00E8716E">
            <w:pPr>
              <w:spacing w:after="0" w:line="240" w:lineRule="auto"/>
              <w:rPr>
                <w:rFonts w:eastAsia="Times New Roman" w:cstheme="minorHAnsi"/>
                <w:b/>
                <w:bCs/>
                <w:color w:val="FFFFFF"/>
                <w:sz w:val="18"/>
                <w:szCs w:val="18"/>
              </w:rPr>
            </w:pPr>
            <w:r w:rsidRPr="008E4CDF">
              <w:rPr>
                <w:rFonts w:eastAsia="Times New Roman" w:cstheme="minorHAnsi"/>
                <w:b/>
                <w:bCs/>
                <w:color w:val="FFFFFF"/>
                <w:sz w:val="18"/>
                <w:szCs w:val="18"/>
              </w:rPr>
              <w:t>TotReps</w:t>
            </w:r>
          </w:p>
        </w:tc>
      </w:tr>
      <w:tr w:rsidR="00E8716E" w:rsidRPr="007F7B55" w14:paraId="3027DA19" w14:textId="77777777" w:rsidTr="00DE5945">
        <w:trPr>
          <w:trHeight w:val="232"/>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03B73BC3"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2000</w:t>
            </w:r>
          </w:p>
        </w:tc>
        <w:tc>
          <w:tcPr>
            <w:tcW w:w="0" w:type="auto"/>
            <w:tcBorders>
              <w:top w:val="single" w:sz="4" w:space="0" w:color="8EA9DB"/>
              <w:left w:val="nil"/>
              <w:bottom w:val="single" w:sz="4" w:space="0" w:color="8EA9DB"/>
              <w:right w:val="nil"/>
            </w:tcBorders>
            <w:shd w:val="clear" w:color="D9E1F2" w:fill="D9E1F2"/>
            <w:noWrap/>
            <w:vAlign w:val="bottom"/>
            <w:hideMark/>
          </w:tcPr>
          <w:p w14:paraId="277C5F10"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21</w:t>
            </w:r>
          </w:p>
        </w:tc>
        <w:tc>
          <w:tcPr>
            <w:tcW w:w="0" w:type="auto"/>
            <w:tcBorders>
              <w:top w:val="single" w:sz="4" w:space="0" w:color="8EA9DB"/>
              <w:left w:val="nil"/>
              <w:bottom w:val="single" w:sz="4" w:space="0" w:color="8EA9DB"/>
              <w:right w:val="nil"/>
            </w:tcBorders>
            <w:shd w:val="clear" w:color="D9E1F2" w:fill="D9E1F2"/>
            <w:noWrap/>
            <w:vAlign w:val="bottom"/>
            <w:hideMark/>
          </w:tcPr>
          <w:p w14:paraId="6957BDA1"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38293</w:t>
            </w:r>
          </w:p>
        </w:tc>
        <w:tc>
          <w:tcPr>
            <w:tcW w:w="0" w:type="auto"/>
            <w:tcBorders>
              <w:top w:val="single" w:sz="4" w:space="0" w:color="8EA9DB"/>
              <w:left w:val="nil"/>
              <w:bottom w:val="single" w:sz="4" w:space="0" w:color="8EA9DB"/>
              <w:right w:val="nil"/>
            </w:tcBorders>
            <w:shd w:val="clear" w:color="D9E1F2" w:fill="D9E1F2"/>
            <w:noWrap/>
            <w:vAlign w:val="bottom"/>
            <w:hideMark/>
          </w:tcPr>
          <w:p w14:paraId="6612BB01"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211900</w:t>
            </w:r>
          </w:p>
        </w:tc>
        <w:tc>
          <w:tcPr>
            <w:tcW w:w="0" w:type="auto"/>
            <w:tcBorders>
              <w:top w:val="single" w:sz="4" w:space="0" w:color="8EA9DB"/>
              <w:left w:val="nil"/>
              <w:bottom w:val="single" w:sz="4" w:space="0" w:color="8EA9DB"/>
              <w:right w:val="nil"/>
            </w:tcBorders>
            <w:shd w:val="clear" w:color="D9E1F2" w:fill="D9E1F2"/>
            <w:noWrap/>
            <w:vAlign w:val="bottom"/>
            <w:hideMark/>
          </w:tcPr>
          <w:p w14:paraId="779CF651"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2224966</w:t>
            </w:r>
          </w:p>
        </w:tc>
        <w:tc>
          <w:tcPr>
            <w:tcW w:w="0" w:type="auto"/>
            <w:tcBorders>
              <w:top w:val="single" w:sz="4" w:space="0" w:color="8EA9DB"/>
              <w:left w:val="nil"/>
              <w:bottom w:val="single" w:sz="4" w:space="0" w:color="8EA9DB"/>
              <w:right w:val="nil"/>
            </w:tcBorders>
            <w:shd w:val="clear" w:color="D9E1F2" w:fill="D9E1F2"/>
            <w:noWrap/>
            <w:vAlign w:val="bottom"/>
            <w:hideMark/>
          </w:tcPr>
          <w:p w14:paraId="5BA28346"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0</w:t>
            </w:r>
          </w:p>
        </w:tc>
        <w:tc>
          <w:tcPr>
            <w:tcW w:w="0" w:type="auto"/>
            <w:tcBorders>
              <w:top w:val="single" w:sz="4" w:space="0" w:color="8EA9DB"/>
              <w:left w:val="nil"/>
              <w:bottom w:val="single" w:sz="4" w:space="0" w:color="8EA9DB"/>
              <w:right w:val="nil"/>
            </w:tcBorders>
            <w:shd w:val="clear" w:color="D9E1F2" w:fill="D9E1F2"/>
            <w:noWrap/>
            <w:vAlign w:val="bottom"/>
            <w:hideMark/>
          </w:tcPr>
          <w:p w14:paraId="04930C65"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21215</w:t>
            </w:r>
          </w:p>
        </w:tc>
        <w:tc>
          <w:tcPr>
            <w:tcW w:w="948" w:type="dxa"/>
            <w:tcBorders>
              <w:top w:val="single" w:sz="4" w:space="0" w:color="8EA9DB"/>
              <w:left w:val="nil"/>
              <w:bottom w:val="single" w:sz="4" w:space="0" w:color="8EA9DB"/>
              <w:right w:val="single" w:sz="4" w:space="0" w:color="8EA9DB"/>
            </w:tcBorders>
            <w:shd w:val="clear" w:color="D9E1F2" w:fill="D9E1F2"/>
            <w:noWrap/>
            <w:vAlign w:val="bottom"/>
            <w:hideMark/>
          </w:tcPr>
          <w:p w14:paraId="184F2AC1"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11102618</w:t>
            </w:r>
          </w:p>
        </w:tc>
      </w:tr>
      <w:tr w:rsidR="00DE5945" w:rsidRPr="002B35A7" w14:paraId="5F6A43DD" w14:textId="77777777" w:rsidTr="00DE5945">
        <w:trPr>
          <w:trHeight w:val="232"/>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03E6BC77" w14:textId="77777777" w:rsidR="00E8716E" w:rsidRPr="002B35A7" w:rsidRDefault="00E8716E" w:rsidP="00E8716E">
            <w:pPr>
              <w:spacing w:after="0" w:line="240" w:lineRule="auto"/>
              <w:jc w:val="right"/>
              <w:rPr>
                <w:rFonts w:eastAsia="Times New Roman" w:cstheme="minorHAnsi"/>
                <w:color w:val="FF0000"/>
                <w:sz w:val="18"/>
                <w:szCs w:val="18"/>
              </w:rPr>
            </w:pPr>
            <w:r w:rsidRPr="002B35A7">
              <w:rPr>
                <w:rFonts w:eastAsia="Times New Roman" w:cstheme="minorHAnsi"/>
                <w:color w:val="FF0000"/>
                <w:sz w:val="18"/>
                <w:szCs w:val="18"/>
              </w:rPr>
              <w:t>2002</w:t>
            </w:r>
          </w:p>
        </w:tc>
        <w:tc>
          <w:tcPr>
            <w:tcW w:w="0" w:type="auto"/>
            <w:tcBorders>
              <w:top w:val="single" w:sz="4" w:space="0" w:color="8EA9DB"/>
              <w:left w:val="nil"/>
              <w:bottom w:val="single" w:sz="4" w:space="0" w:color="8EA9DB"/>
              <w:right w:val="nil"/>
            </w:tcBorders>
            <w:shd w:val="clear" w:color="D9E1F2" w:fill="D9E1F2"/>
            <w:noWrap/>
            <w:vAlign w:val="bottom"/>
            <w:hideMark/>
          </w:tcPr>
          <w:p w14:paraId="45D8CA5E" w14:textId="77777777" w:rsidR="00E8716E" w:rsidRPr="002B35A7" w:rsidRDefault="00E8716E" w:rsidP="00E8716E">
            <w:pPr>
              <w:spacing w:after="0" w:line="240" w:lineRule="auto"/>
              <w:jc w:val="right"/>
              <w:rPr>
                <w:rFonts w:eastAsia="Times New Roman" w:cstheme="minorHAnsi"/>
                <w:color w:val="FF0000"/>
                <w:sz w:val="18"/>
                <w:szCs w:val="18"/>
              </w:rPr>
            </w:pPr>
            <w:r w:rsidRPr="002B35A7">
              <w:rPr>
                <w:rFonts w:eastAsia="Times New Roman" w:cstheme="minorHAnsi"/>
                <w:color w:val="FF0000"/>
                <w:sz w:val="18"/>
                <w:szCs w:val="18"/>
              </w:rPr>
              <w:t>21</w:t>
            </w:r>
          </w:p>
        </w:tc>
        <w:tc>
          <w:tcPr>
            <w:tcW w:w="0" w:type="auto"/>
            <w:tcBorders>
              <w:top w:val="single" w:sz="4" w:space="0" w:color="8EA9DB"/>
              <w:left w:val="nil"/>
              <w:bottom w:val="single" w:sz="4" w:space="0" w:color="8EA9DB"/>
              <w:right w:val="nil"/>
            </w:tcBorders>
            <w:shd w:val="clear" w:color="auto" w:fill="auto"/>
            <w:noWrap/>
            <w:vAlign w:val="bottom"/>
            <w:hideMark/>
          </w:tcPr>
          <w:p w14:paraId="28D84746" w14:textId="77777777" w:rsidR="00E8716E" w:rsidRPr="002B35A7" w:rsidRDefault="00E8716E" w:rsidP="00E8716E">
            <w:pPr>
              <w:spacing w:after="0" w:line="240" w:lineRule="auto"/>
              <w:jc w:val="right"/>
              <w:rPr>
                <w:rFonts w:eastAsia="Times New Roman" w:cstheme="minorHAnsi"/>
                <w:color w:val="FF0000"/>
                <w:sz w:val="18"/>
                <w:szCs w:val="18"/>
              </w:rPr>
            </w:pPr>
            <w:r w:rsidRPr="002B35A7">
              <w:rPr>
                <w:rFonts w:eastAsia="Times New Roman" w:cstheme="minorHAnsi"/>
                <w:color w:val="FF0000"/>
                <w:sz w:val="18"/>
                <w:szCs w:val="18"/>
              </w:rPr>
              <w:t>38293</w:t>
            </w:r>
          </w:p>
        </w:tc>
        <w:tc>
          <w:tcPr>
            <w:tcW w:w="0" w:type="auto"/>
            <w:tcBorders>
              <w:top w:val="single" w:sz="4" w:space="0" w:color="8EA9DB"/>
              <w:left w:val="nil"/>
              <w:bottom w:val="single" w:sz="4" w:space="0" w:color="8EA9DB"/>
              <w:right w:val="nil"/>
            </w:tcBorders>
            <w:shd w:val="clear" w:color="auto" w:fill="auto"/>
            <w:noWrap/>
            <w:vAlign w:val="bottom"/>
            <w:hideMark/>
          </w:tcPr>
          <w:p w14:paraId="0C331B14" w14:textId="77777777" w:rsidR="00E8716E" w:rsidRPr="002B35A7" w:rsidRDefault="00E8716E" w:rsidP="00E8716E">
            <w:pPr>
              <w:spacing w:after="0" w:line="240" w:lineRule="auto"/>
              <w:jc w:val="right"/>
              <w:rPr>
                <w:rFonts w:eastAsia="Times New Roman" w:cstheme="minorHAnsi"/>
                <w:color w:val="FF0000"/>
                <w:sz w:val="18"/>
                <w:szCs w:val="18"/>
              </w:rPr>
            </w:pPr>
            <w:r w:rsidRPr="002B35A7">
              <w:rPr>
                <w:rFonts w:eastAsia="Times New Roman" w:cstheme="minorHAnsi"/>
                <w:color w:val="FF0000"/>
                <w:sz w:val="18"/>
                <w:szCs w:val="18"/>
              </w:rPr>
              <w:t>211900</w:t>
            </w:r>
          </w:p>
        </w:tc>
        <w:tc>
          <w:tcPr>
            <w:tcW w:w="0" w:type="auto"/>
            <w:tcBorders>
              <w:top w:val="single" w:sz="4" w:space="0" w:color="8EA9DB"/>
              <w:left w:val="nil"/>
              <w:bottom w:val="single" w:sz="4" w:space="0" w:color="8EA9DB"/>
              <w:right w:val="nil"/>
            </w:tcBorders>
            <w:shd w:val="clear" w:color="auto" w:fill="auto"/>
            <w:noWrap/>
            <w:vAlign w:val="bottom"/>
            <w:hideMark/>
          </w:tcPr>
          <w:p w14:paraId="1FA28F28" w14:textId="77777777" w:rsidR="00E8716E" w:rsidRPr="002B35A7" w:rsidRDefault="00E8716E" w:rsidP="00E8716E">
            <w:pPr>
              <w:spacing w:after="0" w:line="240" w:lineRule="auto"/>
              <w:jc w:val="right"/>
              <w:rPr>
                <w:rFonts w:eastAsia="Times New Roman" w:cstheme="minorHAnsi"/>
                <w:color w:val="FF0000"/>
                <w:sz w:val="18"/>
                <w:szCs w:val="18"/>
              </w:rPr>
            </w:pPr>
            <w:r w:rsidRPr="002B35A7">
              <w:rPr>
                <w:rFonts w:eastAsia="Times New Roman" w:cstheme="minorHAnsi"/>
                <w:color w:val="FF0000"/>
                <w:sz w:val="18"/>
                <w:szCs w:val="18"/>
              </w:rPr>
              <w:t>3477197</w:t>
            </w:r>
          </w:p>
        </w:tc>
        <w:tc>
          <w:tcPr>
            <w:tcW w:w="0" w:type="auto"/>
            <w:tcBorders>
              <w:top w:val="single" w:sz="4" w:space="0" w:color="8EA9DB"/>
              <w:left w:val="nil"/>
              <w:bottom w:val="single" w:sz="4" w:space="0" w:color="8EA9DB"/>
              <w:right w:val="nil"/>
            </w:tcBorders>
            <w:shd w:val="clear" w:color="auto" w:fill="auto"/>
            <w:noWrap/>
            <w:vAlign w:val="bottom"/>
            <w:hideMark/>
          </w:tcPr>
          <w:p w14:paraId="3A5AB08C" w14:textId="77777777" w:rsidR="00E8716E" w:rsidRPr="002B35A7" w:rsidRDefault="00E8716E" w:rsidP="00E8716E">
            <w:pPr>
              <w:spacing w:after="0" w:line="240" w:lineRule="auto"/>
              <w:jc w:val="right"/>
              <w:rPr>
                <w:rFonts w:eastAsia="Times New Roman" w:cstheme="minorHAnsi"/>
                <w:color w:val="FF0000"/>
                <w:sz w:val="18"/>
                <w:szCs w:val="18"/>
              </w:rPr>
            </w:pPr>
            <w:r w:rsidRPr="002B35A7">
              <w:rPr>
                <w:rFonts w:eastAsia="Times New Roman" w:cstheme="minorHAnsi"/>
                <w:color w:val="FF0000"/>
                <w:sz w:val="18"/>
                <w:szCs w:val="18"/>
              </w:rPr>
              <w:t>3122800</w:t>
            </w:r>
          </w:p>
        </w:tc>
        <w:tc>
          <w:tcPr>
            <w:tcW w:w="0" w:type="auto"/>
            <w:tcBorders>
              <w:top w:val="single" w:sz="4" w:space="0" w:color="8EA9DB"/>
              <w:left w:val="nil"/>
              <w:bottom w:val="single" w:sz="4" w:space="0" w:color="8EA9DB"/>
              <w:right w:val="nil"/>
            </w:tcBorders>
            <w:shd w:val="clear" w:color="auto" w:fill="auto"/>
            <w:noWrap/>
            <w:vAlign w:val="bottom"/>
            <w:hideMark/>
          </w:tcPr>
          <w:p w14:paraId="4433BB7B" w14:textId="77777777" w:rsidR="00E8716E" w:rsidRPr="002B35A7" w:rsidRDefault="00E8716E" w:rsidP="00E8716E">
            <w:pPr>
              <w:spacing w:after="0" w:line="240" w:lineRule="auto"/>
              <w:jc w:val="right"/>
              <w:rPr>
                <w:rFonts w:eastAsia="Times New Roman" w:cstheme="minorHAnsi"/>
                <w:color w:val="FF0000"/>
                <w:sz w:val="18"/>
                <w:szCs w:val="18"/>
              </w:rPr>
            </w:pPr>
            <w:r w:rsidRPr="002B35A7">
              <w:rPr>
                <w:rFonts w:eastAsia="Times New Roman" w:cstheme="minorHAnsi"/>
                <w:color w:val="FF0000"/>
                <w:sz w:val="18"/>
                <w:szCs w:val="18"/>
              </w:rPr>
              <w:t>40692</w:t>
            </w:r>
          </w:p>
        </w:tc>
        <w:tc>
          <w:tcPr>
            <w:tcW w:w="948" w:type="dxa"/>
            <w:tcBorders>
              <w:top w:val="single" w:sz="4" w:space="0" w:color="8EA9DB"/>
              <w:left w:val="nil"/>
              <w:bottom w:val="single" w:sz="4" w:space="0" w:color="8EA9DB"/>
              <w:right w:val="single" w:sz="4" w:space="0" w:color="8EA9DB"/>
            </w:tcBorders>
            <w:shd w:val="clear" w:color="auto" w:fill="auto"/>
            <w:noWrap/>
            <w:vAlign w:val="bottom"/>
            <w:hideMark/>
          </w:tcPr>
          <w:p w14:paraId="0FAC489C" w14:textId="77777777" w:rsidR="00E8716E" w:rsidRPr="002B35A7" w:rsidRDefault="00E8716E" w:rsidP="00E8716E">
            <w:pPr>
              <w:spacing w:after="0" w:line="240" w:lineRule="auto"/>
              <w:jc w:val="right"/>
              <w:rPr>
                <w:rFonts w:eastAsia="Times New Roman" w:cstheme="minorHAnsi"/>
                <w:color w:val="FF0000"/>
                <w:sz w:val="18"/>
                <w:szCs w:val="18"/>
              </w:rPr>
            </w:pPr>
            <w:r w:rsidRPr="002B35A7">
              <w:rPr>
                <w:rFonts w:eastAsia="Times New Roman" w:cstheme="minorHAnsi"/>
                <w:color w:val="FF0000"/>
                <w:sz w:val="18"/>
                <w:szCs w:val="18"/>
              </w:rPr>
              <w:t>4972238</w:t>
            </w:r>
          </w:p>
        </w:tc>
      </w:tr>
      <w:tr w:rsidR="00E8716E" w:rsidRPr="007F7B55" w14:paraId="6E458832" w14:textId="77777777" w:rsidTr="00DE5945">
        <w:trPr>
          <w:trHeight w:val="232"/>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0ABA6229" w14:textId="77777777" w:rsidR="00E8716E" w:rsidRPr="008E4CDF" w:rsidRDefault="00E8716E" w:rsidP="00E8716E">
            <w:pPr>
              <w:spacing w:after="0" w:line="240" w:lineRule="auto"/>
              <w:jc w:val="right"/>
              <w:rPr>
                <w:rFonts w:eastAsia="Times New Roman" w:cstheme="minorHAnsi"/>
                <w:color w:val="FF0000"/>
                <w:sz w:val="18"/>
                <w:szCs w:val="18"/>
              </w:rPr>
            </w:pPr>
            <w:r w:rsidRPr="008E4CDF">
              <w:rPr>
                <w:rFonts w:eastAsia="Times New Roman" w:cstheme="minorHAnsi"/>
                <w:color w:val="FF0000"/>
                <w:sz w:val="18"/>
                <w:szCs w:val="18"/>
              </w:rPr>
              <w:t>2004</w:t>
            </w:r>
          </w:p>
        </w:tc>
        <w:tc>
          <w:tcPr>
            <w:tcW w:w="0" w:type="auto"/>
            <w:tcBorders>
              <w:top w:val="single" w:sz="4" w:space="0" w:color="8EA9DB"/>
              <w:left w:val="nil"/>
              <w:bottom w:val="single" w:sz="4" w:space="0" w:color="8EA9DB"/>
              <w:right w:val="nil"/>
            </w:tcBorders>
            <w:shd w:val="clear" w:color="D9E1F2" w:fill="D9E1F2"/>
            <w:noWrap/>
            <w:vAlign w:val="bottom"/>
            <w:hideMark/>
          </w:tcPr>
          <w:p w14:paraId="2B546F73" w14:textId="77777777" w:rsidR="00E8716E" w:rsidRPr="008E4CDF" w:rsidRDefault="00E8716E" w:rsidP="00E8716E">
            <w:pPr>
              <w:spacing w:after="0" w:line="240" w:lineRule="auto"/>
              <w:jc w:val="right"/>
              <w:rPr>
                <w:rFonts w:eastAsia="Times New Roman" w:cstheme="minorHAnsi"/>
                <w:color w:val="FF0000"/>
                <w:sz w:val="18"/>
                <w:szCs w:val="18"/>
              </w:rPr>
            </w:pPr>
            <w:r w:rsidRPr="008E4CDF">
              <w:rPr>
                <w:rFonts w:eastAsia="Times New Roman" w:cstheme="minorHAnsi"/>
                <w:color w:val="FF0000"/>
                <w:sz w:val="18"/>
                <w:szCs w:val="18"/>
              </w:rPr>
              <w:t>21</w:t>
            </w:r>
          </w:p>
        </w:tc>
        <w:tc>
          <w:tcPr>
            <w:tcW w:w="0" w:type="auto"/>
            <w:tcBorders>
              <w:top w:val="single" w:sz="4" w:space="0" w:color="8EA9DB"/>
              <w:left w:val="nil"/>
              <w:bottom w:val="single" w:sz="4" w:space="0" w:color="8EA9DB"/>
              <w:right w:val="nil"/>
            </w:tcBorders>
            <w:shd w:val="clear" w:color="D9E1F2" w:fill="D9E1F2"/>
            <w:noWrap/>
            <w:vAlign w:val="bottom"/>
            <w:hideMark/>
          </w:tcPr>
          <w:p w14:paraId="61445D3A" w14:textId="77777777" w:rsidR="00E8716E" w:rsidRPr="008E4CDF" w:rsidRDefault="00E8716E" w:rsidP="00E8716E">
            <w:pPr>
              <w:spacing w:after="0" w:line="240" w:lineRule="auto"/>
              <w:jc w:val="right"/>
              <w:rPr>
                <w:rFonts w:eastAsia="Times New Roman" w:cstheme="minorHAnsi"/>
                <w:color w:val="FF0000"/>
                <w:sz w:val="18"/>
                <w:szCs w:val="18"/>
              </w:rPr>
            </w:pPr>
            <w:r w:rsidRPr="008E4CDF">
              <w:rPr>
                <w:rFonts w:eastAsia="Times New Roman" w:cstheme="minorHAnsi"/>
                <w:color w:val="FF0000"/>
                <w:sz w:val="18"/>
                <w:szCs w:val="18"/>
              </w:rPr>
              <w:t>38293</w:t>
            </w:r>
          </w:p>
        </w:tc>
        <w:tc>
          <w:tcPr>
            <w:tcW w:w="0" w:type="auto"/>
            <w:tcBorders>
              <w:top w:val="single" w:sz="4" w:space="0" w:color="8EA9DB"/>
              <w:left w:val="nil"/>
              <w:bottom w:val="single" w:sz="4" w:space="0" w:color="8EA9DB"/>
              <w:right w:val="nil"/>
            </w:tcBorders>
            <w:shd w:val="clear" w:color="D9E1F2" w:fill="D9E1F2"/>
            <w:noWrap/>
            <w:vAlign w:val="bottom"/>
            <w:hideMark/>
          </w:tcPr>
          <w:p w14:paraId="16B95ABB" w14:textId="77777777" w:rsidR="00E8716E" w:rsidRPr="008E4CDF" w:rsidRDefault="00E8716E" w:rsidP="00E8716E">
            <w:pPr>
              <w:spacing w:after="0" w:line="240" w:lineRule="auto"/>
              <w:jc w:val="right"/>
              <w:rPr>
                <w:rFonts w:eastAsia="Times New Roman" w:cstheme="minorHAnsi"/>
                <w:color w:val="FF0000"/>
                <w:sz w:val="18"/>
                <w:szCs w:val="18"/>
              </w:rPr>
            </w:pPr>
            <w:r w:rsidRPr="008E4CDF">
              <w:rPr>
                <w:rFonts w:eastAsia="Times New Roman" w:cstheme="minorHAnsi"/>
                <w:color w:val="FF0000"/>
                <w:sz w:val="18"/>
                <w:szCs w:val="18"/>
              </w:rPr>
              <w:t>211900</w:t>
            </w:r>
          </w:p>
        </w:tc>
        <w:tc>
          <w:tcPr>
            <w:tcW w:w="0" w:type="auto"/>
            <w:tcBorders>
              <w:top w:val="single" w:sz="4" w:space="0" w:color="8EA9DB"/>
              <w:left w:val="nil"/>
              <w:bottom w:val="single" w:sz="4" w:space="0" w:color="8EA9DB"/>
              <w:right w:val="nil"/>
            </w:tcBorders>
            <w:shd w:val="clear" w:color="D9E1F2" w:fill="D9E1F2"/>
            <w:noWrap/>
            <w:vAlign w:val="bottom"/>
            <w:hideMark/>
          </w:tcPr>
          <w:p w14:paraId="5FDA778C" w14:textId="77777777" w:rsidR="00E8716E" w:rsidRPr="008E4CDF" w:rsidRDefault="00E8716E" w:rsidP="00E8716E">
            <w:pPr>
              <w:spacing w:after="0" w:line="240" w:lineRule="auto"/>
              <w:jc w:val="right"/>
              <w:rPr>
                <w:rFonts w:eastAsia="Times New Roman" w:cstheme="minorHAnsi"/>
                <w:color w:val="FF0000"/>
                <w:sz w:val="18"/>
                <w:szCs w:val="18"/>
              </w:rPr>
            </w:pPr>
            <w:r w:rsidRPr="008E4CDF">
              <w:rPr>
                <w:rFonts w:eastAsia="Times New Roman" w:cstheme="minorHAnsi"/>
                <w:color w:val="FF0000"/>
                <w:sz w:val="18"/>
                <w:szCs w:val="18"/>
              </w:rPr>
              <w:t>5028947</w:t>
            </w:r>
          </w:p>
        </w:tc>
        <w:tc>
          <w:tcPr>
            <w:tcW w:w="0" w:type="auto"/>
            <w:tcBorders>
              <w:top w:val="single" w:sz="4" w:space="0" w:color="8EA9DB"/>
              <w:left w:val="nil"/>
              <w:bottom w:val="single" w:sz="4" w:space="0" w:color="8EA9DB"/>
              <w:right w:val="nil"/>
            </w:tcBorders>
            <w:shd w:val="clear" w:color="D9E1F2" w:fill="D9E1F2"/>
            <w:noWrap/>
            <w:vAlign w:val="bottom"/>
            <w:hideMark/>
          </w:tcPr>
          <w:p w14:paraId="5B2917DD" w14:textId="77777777" w:rsidR="00E8716E" w:rsidRPr="008E4CDF" w:rsidRDefault="00E8716E" w:rsidP="00E8716E">
            <w:pPr>
              <w:spacing w:after="0" w:line="240" w:lineRule="auto"/>
              <w:jc w:val="right"/>
              <w:rPr>
                <w:rFonts w:eastAsia="Times New Roman" w:cstheme="minorHAnsi"/>
                <w:color w:val="FF0000"/>
                <w:sz w:val="18"/>
                <w:szCs w:val="18"/>
              </w:rPr>
            </w:pPr>
            <w:r w:rsidRPr="008E4CDF">
              <w:rPr>
                <w:rFonts w:eastAsia="Times New Roman" w:cstheme="minorHAnsi"/>
                <w:color w:val="FF0000"/>
                <w:sz w:val="18"/>
                <w:szCs w:val="18"/>
              </w:rPr>
              <w:t>0</w:t>
            </w:r>
          </w:p>
        </w:tc>
        <w:tc>
          <w:tcPr>
            <w:tcW w:w="0" w:type="auto"/>
            <w:tcBorders>
              <w:top w:val="single" w:sz="4" w:space="0" w:color="8EA9DB"/>
              <w:left w:val="nil"/>
              <w:bottom w:val="single" w:sz="4" w:space="0" w:color="8EA9DB"/>
              <w:right w:val="nil"/>
            </w:tcBorders>
            <w:shd w:val="clear" w:color="D9E1F2" w:fill="D9E1F2"/>
            <w:noWrap/>
            <w:vAlign w:val="bottom"/>
            <w:hideMark/>
          </w:tcPr>
          <w:p w14:paraId="5285699A" w14:textId="77777777" w:rsidR="00E8716E" w:rsidRPr="008E4CDF" w:rsidRDefault="00E8716E" w:rsidP="00E8716E">
            <w:pPr>
              <w:spacing w:after="0" w:line="240" w:lineRule="auto"/>
              <w:jc w:val="right"/>
              <w:rPr>
                <w:rFonts w:eastAsia="Times New Roman" w:cstheme="minorHAnsi"/>
                <w:color w:val="FF0000"/>
                <w:sz w:val="18"/>
                <w:szCs w:val="18"/>
              </w:rPr>
            </w:pPr>
            <w:r w:rsidRPr="008E4CDF">
              <w:rPr>
                <w:rFonts w:eastAsia="Times New Roman" w:cstheme="minorHAnsi"/>
                <w:color w:val="FF0000"/>
                <w:sz w:val="18"/>
                <w:szCs w:val="18"/>
              </w:rPr>
              <w:t>78280</w:t>
            </w:r>
          </w:p>
        </w:tc>
        <w:tc>
          <w:tcPr>
            <w:tcW w:w="948" w:type="dxa"/>
            <w:tcBorders>
              <w:top w:val="single" w:sz="4" w:space="0" w:color="8EA9DB"/>
              <w:left w:val="nil"/>
              <w:bottom w:val="single" w:sz="4" w:space="0" w:color="8EA9DB"/>
              <w:right w:val="single" w:sz="4" w:space="0" w:color="8EA9DB"/>
            </w:tcBorders>
            <w:shd w:val="clear" w:color="D9E1F2" w:fill="D9E1F2"/>
            <w:noWrap/>
            <w:vAlign w:val="bottom"/>
            <w:hideMark/>
          </w:tcPr>
          <w:p w14:paraId="63311D7F" w14:textId="77777777" w:rsidR="00E8716E" w:rsidRPr="008E4CDF" w:rsidRDefault="00E8716E" w:rsidP="00E8716E">
            <w:pPr>
              <w:spacing w:after="0" w:line="240" w:lineRule="auto"/>
              <w:jc w:val="right"/>
              <w:rPr>
                <w:rFonts w:eastAsia="Times New Roman" w:cstheme="minorHAnsi"/>
                <w:color w:val="FF0000"/>
                <w:sz w:val="18"/>
                <w:szCs w:val="18"/>
              </w:rPr>
            </w:pPr>
            <w:r w:rsidRPr="008E4CDF">
              <w:rPr>
                <w:rFonts w:eastAsia="Times New Roman" w:cstheme="minorHAnsi"/>
                <w:color w:val="FF0000"/>
                <w:sz w:val="18"/>
                <w:szCs w:val="18"/>
              </w:rPr>
              <w:t>5866543</w:t>
            </w:r>
          </w:p>
        </w:tc>
      </w:tr>
      <w:tr w:rsidR="00E8716E" w:rsidRPr="007F7B55" w14:paraId="5B009283" w14:textId="77777777" w:rsidTr="00DE5945">
        <w:trPr>
          <w:trHeight w:val="232"/>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7C86D80D" w14:textId="77777777" w:rsidR="00E8716E" w:rsidRPr="008E4CDF" w:rsidRDefault="00E8716E" w:rsidP="00E8716E">
            <w:pPr>
              <w:spacing w:after="0" w:line="240" w:lineRule="auto"/>
              <w:jc w:val="right"/>
              <w:rPr>
                <w:rFonts w:eastAsia="Times New Roman" w:cstheme="minorHAnsi"/>
                <w:color w:val="FF0000"/>
                <w:sz w:val="18"/>
                <w:szCs w:val="18"/>
              </w:rPr>
            </w:pPr>
            <w:r w:rsidRPr="008E4CDF">
              <w:rPr>
                <w:rFonts w:eastAsia="Times New Roman" w:cstheme="minorHAnsi"/>
                <w:color w:val="FF0000"/>
                <w:sz w:val="18"/>
                <w:szCs w:val="18"/>
              </w:rPr>
              <w:t>2006</w:t>
            </w:r>
          </w:p>
        </w:tc>
        <w:tc>
          <w:tcPr>
            <w:tcW w:w="0" w:type="auto"/>
            <w:tcBorders>
              <w:top w:val="single" w:sz="4" w:space="0" w:color="8EA9DB"/>
              <w:left w:val="nil"/>
              <w:bottom w:val="single" w:sz="4" w:space="0" w:color="8EA9DB"/>
              <w:right w:val="nil"/>
            </w:tcBorders>
            <w:shd w:val="clear" w:color="D9E1F2" w:fill="D9E1F2"/>
            <w:noWrap/>
            <w:vAlign w:val="bottom"/>
            <w:hideMark/>
          </w:tcPr>
          <w:p w14:paraId="5C1B6E85" w14:textId="77777777" w:rsidR="00E8716E" w:rsidRPr="008E4CDF" w:rsidRDefault="00E8716E" w:rsidP="00E8716E">
            <w:pPr>
              <w:spacing w:after="0" w:line="240" w:lineRule="auto"/>
              <w:jc w:val="right"/>
              <w:rPr>
                <w:rFonts w:eastAsia="Times New Roman" w:cstheme="minorHAnsi"/>
                <w:color w:val="FF0000"/>
                <w:sz w:val="18"/>
                <w:szCs w:val="18"/>
              </w:rPr>
            </w:pPr>
            <w:r w:rsidRPr="008E4CDF">
              <w:rPr>
                <w:rFonts w:eastAsia="Times New Roman" w:cstheme="minorHAnsi"/>
                <w:color w:val="FF0000"/>
                <w:sz w:val="18"/>
                <w:szCs w:val="18"/>
              </w:rPr>
              <w:t>16</w:t>
            </w:r>
          </w:p>
        </w:tc>
        <w:tc>
          <w:tcPr>
            <w:tcW w:w="0" w:type="auto"/>
            <w:tcBorders>
              <w:top w:val="single" w:sz="4" w:space="0" w:color="8EA9DB"/>
              <w:left w:val="nil"/>
              <w:bottom w:val="single" w:sz="4" w:space="0" w:color="8EA9DB"/>
              <w:right w:val="nil"/>
            </w:tcBorders>
            <w:shd w:val="clear" w:color="auto" w:fill="auto"/>
            <w:noWrap/>
            <w:vAlign w:val="bottom"/>
            <w:hideMark/>
          </w:tcPr>
          <w:p w14:paraId="236BD1A4" w14:textId="77777777" w:rsidR="00E8716E" w:rsidRPr="008E4CDF" w:rsidRDefault="00E8716E" w:rsidP="00E8716E">
            <w:pPr>
              <w:spacing w:after="0" w:line="240" w:lineRule="auto"/>
              <w:jc w:val="right"/>
              <w:rPr>
                <w:rFonts w:eastAsia="Times New Roman" w:cstheme="minorHAnsi"/>
                <w:color w:val="FF0000"/>
                <w:sz w:val="18"/>
                <w:szCs w:val="18"/>
              </w:rPr>
            </w:pPr>
            <w:r w:rsidRPr="008E4CDF">
              <w:rPr>
                <w:rFonts w:eastAsia="Times New Roman" w:cstheme="minorHAnsi"/>
                <w:color w:val="FF0000"/>
                <w:sz w:val="18"/>
                <w:szCs w:val="18"/>
              </w:rPr>
              <w:t>50173</w:t>
            </w:r>
          </w:p>
        </w:tc>
        <w:tc>
          <w:tcPr>
            <w:tcW w:w="0" w:type="auto"/>
            <w:tcBorders>
              <w:top w:val="single" w:sz="4" w:space="0" w:color="8EA9DB"/>
              <w:left w:val="nil"/>
              <w:bottom w:val="single" w:sz="4" w:space="0" w:color="8EA9DB"/>
              <w:right w:val="nil"/>
            </w:tcBorders>
            <w:shd w:val="clear" w:color="auto" w:fill="auto"/>
            <w:noWrap/>
            <w:vAlign w:val="bottom"/>
            <w:hideMark/>
          </w:tcPr>
          <w:p w14:paraId="7A563493" w14:textId="77777777" w:rsidR="00E8716E" w:rsidRPr="008E4CDF" w:rsidRDefault="00E8716E" w:rsidP="00E8716E">
            <w:pPr>
              <w:spacing w:after="0" w:line="240" w:lineRule="auto"/>
              <w:jc w:val="right"/>
              <w:rPr>
                <w:rFonts w:eastAsia="Times New Roman" w:cstheme="minorHAnsi"/>
                <w:color w:val="FF0000"/>
                <w:sz w:val="18"/>
                <w:szCs w:val="18"/>
              </w:rPr>
            </w:pPr>
            <w:r w:rsidRPr="008E4CDF">
              <w:rPr>
                <w:rFonts w:eastAsia="Times New Roman" w:cstheme="minorHAnsi"/>
                <w:color w:val="FF0000"/>
                <w:sz w:val="18"/>
                <w:szCs w:val="18"/>
              </w:rPr>
              <w:t>501000</w:t>
            </w:r>
          </w:p>
        </w:tc>
        <w:tc>
          <w:tcPr>
            <w:tcW w:w="0" w:type="auto"/>
            <w:tcBorders>
              <w:top w:val="single" w:sz="4" w:space="0" w:color="8EA9DB"/>
              <w:left w:val="nil"/>
              <w:bottom w:val="single" w:sz="4" w:space="0" w:color="8EA9DB"/>
              <w:right w:val="nil"/>
            </w:tcBorders>
            <w:shd w:val="clear" w:color="auto" w:fill="auto"/>
            <w:noWrap/>
            <w:vAlign w:val="bottom"/>
            <w:hideMark/>
          </w:tcPr>
          <w:p w14:paraId="582BEDDA" w14:textId="77777777" w:rsidR="00E8716E" w:rsidRPr="008E4CDF" w:rsidRDefault="00E8716E" w:rsidP="00E8716E">
            <w:pPr>
              <w:spacing w:after="0" w:line="240" w:lineRule="auto"/>
              <w:jc w:val="right"/>
              <w:rPr>
                <w:rFonts w:eastAsia="Times New Roman" w:cstheme="minorHAnsi"/>
                <w:color w:val="FF0000"/>
                <w:sz w:val="18"/>
                <w:szCs w:val="18"/>
              </w:rPr>
            </w:pPr>
            <w:r w:rsidRPr="008E4CDF">
              <w:rPr>
                <w:rFonts w:eastAsia="Times New Roman" w:cstheme="minorHAnsi"/>
                <w:color w:val="FF0000"/>
                <w:sz w:val="18"/>
                <w:szCs w:val="18"/>
              </w:rPr>
              <w:t>5953729</w:t>
            </w:r>
          </w:p>
        </w:tc>
        <w:tc>
          <w:tcPr>
            <w:tcW w:w="0" w:type="auto"/>
            <w:tcBorders>
              <w:top w:val="single" w:sz="4" w:space="0" w:color="8EA9DB"/>
              <w:left w:val="nil"/>
              <w:bottom w:val="single" w:sz="4" w:space="0" w:color="8EA9DB"/>
              <w:right w:val="nil"/>
            </w:tcBorders>
            <w:shd w:val="clear" w:color="auto" w:fill="auto"/>
            <w:noWrap/>
            <w:vAlign w:val="bottom"/>
            <w:hideMark/>
          </w:tcPr>
          <w:p w14:paraId="2850A72D" w14:textId="77777777" w:rsidR="00E8716E" w:rsidRPr="008E4CDF" w:rsidRDefault="00E8716E" w:rsidP="00E8716E">
            <w:pPr>
              <w:spacing w:after="0" w:line="240" w:lineRule="auto"/>
              <w:jc w:val="right"/>
              <w:rPr>
                <w:rFonts w:eastAsia="Times New Roman" w:cstheme="minorHAnsi"/>
                <w:color w:val="FF0000"/>
                <w:sz w:val="18"/>
                <w:szCs w:val="18"/>
              </w:rPr>
            </w:pPr>
            <w:r w:rsidRPr="008E4CDF">
              <w:rPr>
                <w:rFonts w:eastAsia="Times New Roman" w:cstheme="minorHAnsi"/>
                <w:color w:val="FF0000"/>
                <w:sz w:val="18"/>
                <w:szCs w:val="18"/>
              </w:rPr>
              <w:t>3424481</w:t>
            </w:r>
          </w:p>
        </w:tc>
        <w:tc>
          <w:tcPr>
            <w:tcW w:w="0" w:type="auto"/>
            <w:tcBorders>
              <w:top w:val="single" w:sz="4" w:space="0" w:color="8EA9DB"/>
              <w:left w:val="nil"/>
              <w:bottom w:val="single" w:sz="4" w:space="0" w:color="8EA9DB"/>
              <w:right w:val="nil"/>
            </w:tcBorders>
            <w:shd w:val="clear" w:color="auto" w:fill="auto"/>
            <w:noWrap/>
            <w:vAlign w:val="bottom"/>
            <w:hideMark/>
          </w:tcPr>
          <w:p w14:paraId="392A412A" w14:textId="77777777" w:rsidR="00E8716E" w:rsidRPr="008E4CDF" w:rsidRDefault="00E8716E" w:rsidP="00E8716E">
            <w:pPr>
              <w:spacing w:after="0" w:line="240" w:lineRule="auto"/>
              <w:jc w:val="right"/>
              <w:rPr>
                <w:rFonts w:eastAsia="Times New Roman" w:cstheme="minorHAnsi"/>
                <w:color w:val="FF0000"/>
                <w:sz w:val="18"/>
                <w:szCs w:val="18"/>
              </w:rPr>
            </w:pPr>
            <w:r w:rsidRPr="008E4CDF">
              <w:rPr>
                <w:rFonts w:eastAsia="Times New Roman" w:cstheme="minorHAnsi"/>
                <w:color w:val="FF0000"/>
                <w:sz w:val="18"/>
                <w:szCs w:val="18"/>
              </w:rPr>
              <w:t>132388</w:t>
            </w:r>
          </w:p>
        </w:tc>
        <w:tc>
          <w:tcPr>
            <w:tcW w:w="948" w:type="dxa"/>
            <w:tcBorders>
              <w:top w:val="single" w:sz="4" w:space="0" w:color="8EA9DB"/>
              <w:left w:val="nil"/>
              <w:bottom w:val="single" w:sz="4" w:space="0" w:color="8EA9DB"/>
              <w:right w:val="single" w:sz="4" w:space="0" w:color="8EA9DB"/>
            </w:tcBorders>
            <w:shd w:val="clear" w:color="auto" w:fill="auto"/>
            <w:noWrap/>
            <w:vAlign w:val="bottom"/>
            <w:hideMark/>
          </w:tcPr>
          <w:p w14:paraId="2512BD9A" w14:textId="77777777" w:rsidR="00E8716E" w:rsidRPr="008E4CDF" w:rsidRDefault="00E8716E" w:rsidP="00E8716E">
            <w:pPr>
              <w:spacing w:after="0" w:line="240" w:lineRule="auto"/>
              <w:jc w:val="right"/>
              <w:rPr>
                <w:rFonts w:eastAsia="Times New Roman" w:cstheme="minorHAnsi"/>
                <w:color w:val="FF0000"/>
                <w:sz w:val="18"/>
                <w:szCs w:val="18"/>
              </w:rPr>
            </w:pPr>
            <w:r w:rsidRPr="008E4CDF">
              <w:rPr>
                <w:rFonts w:eastAsia="Times New Roman" w:cstheme="minorHAnsi"/>
                <w:color w:val="FF0000"/>
                <w:sz w:val="18"/>
                <w:szCs w:val="18"/>
              </w:rPr>
              <w:t>7648570</w:t>
            </w:r>
          </w:p>
        </w:tc>
      </w:tr>
      <w:tr w:rsidR="00E8716E" w:rsidRPr="007F7B55" w14:paraId="4D61C5B9" w14:textId="77777777" w:rsidTr="00DE5945">
        <w:trPr>
          <w:trHeight w:val="232"/>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40019610"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2008</w:t>
            </w:r>
          </w:p>
        </w:tc>
        <w:tc>
          <w:tcPr>
            <w:tcW w:w="0" w:type="auto"/>
            <w:tcBorders>
              <w:top w:val="single" w:sz="4" w:space="0" w:color="8EA9DB"/>
              <w:left w:val="nil"/>
              <w:bottom w:val="single" w:sz="4" w:space="0" w:color="8EA9DB"/>
              <w:right w:val="nil"/>
            </w:tcBorders>
            <w:shd w:val="clear" w:color="D9E1F2" w:fill="D9E1F2"/>
            <w:noWrap/>
            <w:vAlign w:val="bottom"/>
            <w:hideMark/>
          </w:tcPr>
          <w:p w14:paraId="17E6C1ED"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16</w:t>
            </w:r>
          </w:p>
        </w:tc>
        <w:tc>
          <w:tcPr>
            <w:tcW w:w="0" w:type="auto"/>
            <w:tcBorders>
              <w:top w:val="single" w:sz="4" w:space="0" w:color="8EA9DB"/>
              <w:left w:val="nil"/>
              <w:bottom w:val="single" w:sz="4" w:space="0" w:color="8EA9DB"/>
              <w:right w:val="nil"/>
            </w:tcBorders>
            <w:shd w:val="clear" w:color="D9E1F2" w:fill="D9E1F2"/>
            <w:noWrap/>
            <w:vAlign w:val="bottom"/>
            <w:hideMark/>
          </w:tcPr>
          <w:p w14:paraId="0AAA59F9"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50173</w:t>
            </w:r>
          </w:p>
        </w:tc>
        <w:tc>
          <w:tcPr>
            <w:tcW w:w="0" w:type="auto"/>
            <w:tcBorders>
              <w:top w:val="single" w:sz="4" w:space="0" w:color="8EA9DB"/>
              <w:left w:val="nil"/>
              <w:bottom w:val="single" w:sz="4" w:space="0" w:color="8EA9DB"/>
              <w:right w:val="nil"/>
            </w:tcBorders>
            <w:shd w:val="clear" w:color="D9E1F2" w:fill="D9E1F2"/>
            <w:noWrap/>
            <w:vAlign w:val="bottom"/>
            <w:hideMark/>
          </w:tcPr>
          <w:p w14:paraId="444A53C3"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501000</w:t>
            </w:r>
          </w:p>
        </w:tc>
        <w:tc>
          <w:tcPr>
            <w:tcW w:w="0" w:type="auto"/>
            <w:tcBorders>
              <w:top w:val="single" w:sz="4" w:space="0" w:color="8EA9DB"/>
              <w:left w:val="nil"/>
              <w:bottom w:val="single" w:sz="4" w:space="0" w:color="8EA9DB"/>
              <w:right w:val="nil"/>
            </w:tcBorders>
            <w:shd w:val="clear" w:color="D9E1F2" w:fill="D9E1F2"/>
            <w:noWrap/>
            <w:vAlign w:val="bottom"/>
            <w:hideMark/>
          </w:tcPr>
          <w:p w14:paraId="727C436B"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21840285</w:t>
            </w:r>
          </w:p>
        </w:tc>
        <w:tc>
          <w:tcPr>
            <w:tcW w:w="0" w:type="auto"/>
            <w:tcBorders>
              <w:top w:val="single" w:sz="4" w:space="0" w:color="8EA9DB"/>
              <w:left w:val="nil"/>
              <w:bottom w:val="single" w:sz="4" w:space="0" w:color="8EA9DB"/>
              <w:right w:val="nil"/>
            </w:tcBorders>
            <w:shd w:val="clear" w:color="D9E1F2" w:fill="D9E1F2"/>
            <w:noWrap/>
            <w:vAlign w:val="bottom"/>
            <w:hideMark/>
          </w:tcPr>
          <w:p w14:paraId="24334913"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1580953</w:t>
            </w:r>
          </w:p>
        </w:tc>
        <w:tc>
          <w:tcPr>
            <w:tcW w:w="0" w:type="auto"/>
            <w:tcBorders>
              <w:top w:val="single" w:sz="4" w:space="0" w:color="8EA9DB"/>
              <w:left w:val="nil"/>
              <w:bottom w:val="single" w:sz="4" w:space="0" w:color="8EA9DB"/>
              <w:right w:val="nil"/>
            </w:tcBorders>
            <w:shd w:val="clear" w:color="D9E1F2" w:fill="D9E1F2"/>
            <w:noWrap/>
            <w:vAlign w:val="bottom"/>
            <w:hideMark/>
          </w:tcPr>
          <w:p w14:paraId="5E871247"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121984</w:t>
            </w:r>
          </w:p>
        </w:tc>
        <w:tc>
          <w:tcPr>
            <w:tcW w:w="948" w:type="dxa"/>
            <w:tcBorders>
              <w:top w:val="single" w:sz="4" w:space="0" w:color="8EA9DB"/>
              <w:left w:val="nil"/>
              <w:bottom w:val="single" w:sz="4" w:space="0" w:color="8EA9DB"/>
              <w:right w:val="single" w:sz="4" w:space="0" w:color="8EA9DB"/>
            </w:tcBorders>
            <w:shd w:val="clear" w:color="D9E1F2" w:fill="D9E1F2"/>
            <w:noWrap/>
            <w:vAlign w:val="bottom"/>
            <w:hideMark/>
          </w:tcPr>
          <w:p w14:paraId="7ED5065B"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8981369</w:t>
            </w:r>
          </w:p>
        </w:tc>
      </w:tr>
      <w:tr w:rsidR="00E8716E" w:rsidRPr="007F7B55" w14:paraId="6C662EF9" w14:textId="77777777" w:rsidTr="00DE5945">
        <w:trPr>
          <w:trHeight w:val="232"/>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3AEB1D01"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2010</w:t>
            </w:r>
          </w:p>
        </w:tc>
        <w:tc>
          <w:tcPr>
            <w:tcW w:w="0" w:type="auto"/>
            <w:tcBorders>
              <w:top w:val="single" w:sz="4" w:space="0" w:color="8EA9DB"/>
              <w:left w:val="nil"/>
              <w:bottom w:val="single" w:sz="4" w:space="0" w:color="8EA9DB"/>
              <w:right w:val="nil"/>
            </w:tcBorders>
            <w:shd w:val="clear" w:color="D9E1F2" w:fill="D9E1F2"/>
            <w:noWrap/>
            <w:vAlign w:val="bottom"/>
            <w:hideMark/>
          </w:tcPr>
          <w:p w14:paraId="68C47E30"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17</w:t>
            </w:r>
          </w:p>
        </w:tc>
        <w:tc>
          <w:tcPr>
            <w:tcW w:w="0" w:type="auto"/>
            <w:tcBorders>
              <w:top w:val="single" w:sz="4" w:space="0" w:color="8EA9DB"/>
              <w:left w:val="nil"/>
              <w:bottom w:val="single" w:sz="4" w:space="0" w:color="8EA9DB"/>
              <w:right w:val="nil"/>
            </w:tcBorders>
            <w:shd w:val="clear" w:color="auto" w:fill="auto"/>
            <w:noWrap/>
            <w:vAlign w:val="bottom"/>
            <w:hideMark/>
          </w:tcPr>
          <w:p w14:paraId="5529D493"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51865</w:t>
            </w:r>
          </w:p>
        </w:tc>
        <w:tc>
          <w:tcPr>
            <w:tcW w:w="0" w:type="auto"/>
            <w:tcBorders>
              <w:top w:val="single" w:sz="4" w:space="0" w:color="8EA9DB"/>
              <w:left w:val="nil"/>
              <w:bottom w:val="single" w:sz="4" w:space="0" w:color="8EA9DB"/>
              <w:right w:val="nil"/>
            </w:tcBorders>
            <w:shd w:val="clear" w:color="auto" w:fill="auto"/>
            <w:noWrap/>
            <w:vAlign w:val="bottom"/>
            <w:hideMark/>
          </w:tcPr>
          <w:p w14:paraId="40CCDCC6"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501500</w:t>
            </w:r>
          </w:p>
        </w:tc>
        <w:tc>
          <w:tcPr>
            <w:tcW w:w="0" w:type="auto"/>
            <w:tcBorders>
              <w:top w:val="single" w:sz="4" w:space="0" w:color="8EA9DB"/>
              <w:left w:val="nil"/>
              <w:bottom w:val="single" w:sz="4" w:space="0" w:color="8EA9DB"/>
              <w:right w:val="nil"/>
            </w:tcBorders>
            <w:shd w:val="clear" w:color="auto" w:fill="auto"/>
            <w:noWrap/>
            <w:vAlign w:val="bottom"/>
            <w:hideMark/>
          </w:tcPr>
          <w:p w14:paraId="0E3E7BD0"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9184066</w:t>
            </w:r>
          </w:p>
        </w:tc>
        <w:tc>
          <w:tcPr>
            <w:tcW w:w="0" w:type="auto"/>
            <w:tcBorders>
              <w:top w:val="single" w:sz="4" w:space="0" w:color="8EA9DB"/>
              <w:left w:val="nil"/>
              <w:bottom w:val="single" w:sz="4" w:space="0" w:color="8EA9DB"/>
              <w:right w:val="nil"/>
            </w:tcBorders>
            <w:shd w:val="clear" w:color="auto" w:fill="auto"/>
            <w:noWrap/>
            <w:vAlign w:val="bottom"/>
            <w:hideMark/>
          </w:tcPr>
          <w:p w14:paraId="0E2092E9"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6475869</w:t>
            </w:r>
          </w:p>
        </w:tc>
        <w:tc>
          <w:tcPr>
            <w:tcW w:w="0" w:type="auto"/>
            <w:tcBorders>
              <w:top w:val="single" w:sz="4" w:space="0" w:color="8EA9DB"/>
              <w:left w:val="nil"/>
              <w:bottom w:val="single" w:sz="4" w:space="0" w:color="8EA9DB"/>
              <w:right w:val="nil"/>
            </w:tcBorders>
            <w:shd w:val="clear" w:color="auto" w:fill="auto"/>
            <w:noWrap/>
            <w:vAlign w:val="bottom"/>
            <w:hideMark/>
          </w:tcPr>
          <w:p w14:paraId="12B0BEE7"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229968</w:t>
            </w:r>
          </w:p>
        </w:tc>
        <w:tc>
          <w:tcPr>
            <w:tcW w:w="948" w:type="dxa"/>
            <w:tcBorders>
              <w:top w:val="single" w:sz="4" w:space="0" w:color="8EA9DB"/>
              <w:left w:val="nil"/>
              <w:bottom w:val="single" w:sz="4" w:space="0" w:color="8EA9DB"/>
              <w:right w:val="single" w:sz="4" w:space="0" w:color="8EA9DB"/>
            </w:tcBorders>
            <w:shd w:val="clear" w:color="auto" w:fill="auto"/>
            <w:noWrap/>
            <w:vAlign w:val="bottom"/>
            <w:hideMark/>
          </w:tcPr>
          <w:p w14:paraId="2198579F"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10817633</w:t>
            </w:r>
          </w:p>
        </w:tc>
      </w:tr>
      <w:tr w:rsidR="00E8716E" w:rsidRPr="007F7B55" w14:paraId="4BA60D5B" w14:textId="77777777" w:rsidTr="00DE5945">
        <w:trPr>
          <w:trHeight w:val="232"/>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2724F9D9"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2012</w:t>
            </w:r>
          </w:p>
        </w:tc>
        <w:tc>
          <w:tcPr>
            <w:tcW w:w="0" w:type="auto"/>
            <w:tcBorders>
              <w:top w:val="single" w:sz="4" w:space="0" w:color="8EA9DB"/>
              <w:left w:val="nil"/>
              <w:bottom w:val="single" w:sz="4" w:space="0" w:color="8EA9DB"/>
              <w:right w:val="nil"/>
            </w:tcBorders>
            <w:shd w:val="clear" w:color="D9E1F2" w:fill="D9E1F2"/>
            <w:noWrap/>
            <w:vAlign w:val="bottom"/>
            <w:hideMark/>
          </w:tcPr>
          <w:p w14:paraId="5091C92E"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17</w:t>
            </w:r>
          </w:p>
        </w:tc>
        <w:tc>
          <w:tcPr>
            <w:tcW w:w="0" w:type="auto"/>
            <w:tcBorders>
              <w:top w:val="single" w:sz="4" w:space="0" w:color="8EA9DB"/>
              <w:left w:val="nil"/>
              <w:bottom w:val="single" w:sz="4" w:space="0" w:color="8EA9DB"/>
              <w:right w:val="nil"/>
            </w:tcBorders>
            <w:shd w:val="clear" w:color="D9E1F2" w:fill="D9E1F2"/>
            <w:noWrap/>
            <w:vAlign w:val="bottom"/>
            <w:hideMark/>
          </w:tcPr>
          <w:p w14:paraId="03DFD144"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53373</w:t>
            </w:r>
          </w:p>
        </w:tc>
        <w:tc>
          <w:tcPr>
            <w:tcW w:w="0" w:type="auto"/>
            <w:tcBorders>
              <w:top w:val="single" w:sz="4" w:space="0" w:color="8EA9DB"/>
              <w:left w:val="nil"/>
              <w:bottom w:val="single" w:sz="4" w:space="0" w:color="8EA9DB"/>
              <w:right w:val="nil"/>
            </w:tcBorders>
            <w:shd w:val="clear" w:color="D9E1F2" w:fill="D9E1F2"/>
            <w:noWrap/>
            <w:vAlign w:val="bottom"/>
            <w:hideMark/>
          </w:tcPr>
          <w:p w14:paraId="3C6BD23A"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494800</w:t>
            </w:r>
          </w:p>
        </w:tc>
        <w:tc>
          <w:tcPr>
            <w:tcW w:w="0" w:type="auto"/>
            <w:tcBorders>
              <w:top w:val="single" w:sz="4" w:space="0" w:color="8EA9DB"/>
              <w:left w:val="nil"/>
              <w:bottom w:val="single" w:sz="4" w:space="0" w:color="8EA9DB"/>
              <w:right w:val="nil"/>
            </w:tcBorders>
            <w:shd w:val="clear" w:color="D9E1F2" w:fill="D9E1F2"/>
            <w:noWrap/>
            <w:vAlign w:val="bottom"/>
            <w:hideMark/>
          </w:tcPr>
          <w:p w14:paraId="0F6CE193"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3648950</w:t>
            </w:r>
          </w:p>
        </w:tc>
        <w:tc>
          <w:tcPr>
            <w:tcW w:w="0" w:type="auto"/>
            <w:tcBorders>
              <w:top w:val="single" w:sz="4" w:space="0" w:color="8EA9DB"/>
              <w:left w:val="nil"/>
              <w:bottom w:val="single" w:sz="4" w:space="0" w:color="8EA9DB"/>
              <w:right w:val="nil"/>
            </w:tcBorders>
            <w:shd w:val="clear" w:color="D9E1F2" w:fill="D9E1F2"/>
            <w:noWrap/>
            <w:vAlign w:val="bottom"/>
            <w:hideMark/>
          </w:tcPr>
          <w:p w14:paraId="5F168A75"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0</w:t>
            </w:r>
          </w:p>
        </w:tc>
        <w:tc>
          <w:tcPr>
            <w:tcW w:w="0" w:type="auto"/>
            <w:tcBorders>
              <w:top w:val="single" w:sz="4" w:space="0" w:color="8EA9DB"/>
              <w:left w:val="nil"/>
              <w:bottom w:val="single" w:sz="4" w:space="0" w:color="8EA9DB"/>
              <w:right w:val="nil"/>
            </w:tcBorders>
            <w:shd w:val="clear" w:color="D9E1F2" w:fill="D9E1F2"/>
            <w:noWrap/>
            <w:vAlign w:val="bottom"/>
            <w:hideMark/>
          </w:tcPr>
          <w:p w14:paraId="7ECAA455"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372430</w:t>
            </w:r>
          </w:p>
        </w:tc>
        <w:tc>
          <w:tcPr>
            <w:tcW w:w="948" w:type="dxa"/>
            <w:tcBorders>
              <w:top w:val="single" w:sz="4" w:space="0" w:color="8EA9DB"/>
              <w:left w:val="nil"/>
              <w:bottom w:val="single" w:sz="4" w:space="0" w:color="8EA9DB"/>
              <w:right w:val="single" w:sz="4" w:space="0" w:color="8EA9DB"/>
            </w:tcBorders>
            <w:shd w:val="clear" w:color="D9E1F2" w:fill="D9E1F2"/>
            <w:noWrap/>
            <w:vAlign w:val="bottom"/>
            <w:hideMark/>
          </w:tcPr>
          <w:p w14:paraId="3F0F5E6B"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9715442</w:t>
            </w:r>
          </w:p>
        </w:tc>
      </w:tr>
      <w:tr w:rsidR="00E8716E" w:rsidRPr="007F7B55" w14:paraId="3F30950F" w14:textId="77777777" w:rsidTr="00DE5945">
        <w:trPr>
          <w:trHeight w:val="232"/>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3C5B37C5"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2014</w:t>
            </w:r>
          </w:p>
        </w:tc>
        <w:tc>
          <w:tcPr>
            <w:tcW w:w="0" w:type="auto"/>
            <w:tcBorders>
              <w:top w:val="single" w:sz="4" w:space="0" w:color="8EA9DB"/>
              <w:left w:val="nil"/>
              <w:bottom w:val="single" w:sz="4" w:space="0" w:color="8EA9DB"/>
              <w:right w:val="nil"/>
            </w:tcBorders>
            <w:shd w:val="clear" w:color="D9E1F2" w:fill="D9E1F2"/>
            <w:noWrap/>
            <w:vAlign w:val="bottom"/>
            <w:hideMark/>
          </w:tcPr>
          <w:p w14:paraId="127766FF"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17</w:t>
            </w:r>
          </w:p>
        </w:tc>
        <w:tc>
          <w:tcPr>
            <w:tcW w:w="0" w:type="auto"/>
            <w:tcBorders>
              <w:top w:val="single" w:sz="4" w:space="0" w:color="8EA9DB"/>
              <w:left w:val="nil"/>
              <w:bottom w:val="single" w:sz="4" w:space="0" w:color="8EA9DB"/>
              <w:right w:val="nil"/>
            </w:tcBorders>
            <w:shd w:val="clear" w:color="auto" w:fill="auto"/>
            <w:noWrap/>
            <w:vAlign w:val="bottom"/>
            <w:hideMark/>
          </w:tcPr>
          <w:p w14:paraId="09B703BB"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53373</w:t>
            </w:r>
          </w:p>
        </w:tc>
        <w:tc>
          <w:tcPr>
            <w:tcW w:w="0" w:type="auto"/>
            <w:tcBorders>
              <w:top w:val="single" w:sz="4" w:space="0" w:color="8EA9DB"/>
              <w:left w:val="nil"/>
              <w:bottom w:val="single" w:sz="4" w:space="0" w:color="8EA9DB"/>
              <w:right w:val="nil"/>
            </w:tcBorders>
            <w:shd w:val="clear" w:color="auto" w:fill="auto"/>
            <w:noWrap/>
            <w:vAlign w:val="bottom"/>
            <w:hideMark/>
          </w:tcPr>
          <w:p w14:paraId="4D16CE29"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494800</w:t>
            </w:r>
          </w:p>
        </w:tc>
        <w:tc>
          <w:tcPr>
            <w:tcW w:w="0" w:type="auto"/>
            <w:tcBorders>
              <w:top w:val="single" w:sz="4" w:space="0" w:color="8EA9DB"/>
              <w:left w:val="nil"/>
              <w:bottom w:val="single" w:sz="4" w:space="0" w:color="8EA9DB"/>
              <w:right w:val="nil"/>
            </w:tcBorders>
            <w:shd w:val="clear" w:color="auto" w:fill="auto"/>
            <w:noWrap/>
            <w:vAlign w:val="bottom"/>
            <w:hideMark/>
          </w:tcPr>
          <w:p w14:paraId="7EEFE1B1"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2235992</w:t>
            </w:r>
          </w:p>
        </w:tc>
        <w:tc>
          <w:tcPr>
            <w:tcW w:w="0" w:type="auto"/>
            <w:tcBorders>
              <w:top w:val="single" w:sz="4" w:space="0" w:color="8EA9DB"/>
              <w:left w:val="nil"/>
              <w:bottom w:val="single" w:sz="4" w:space="0" w:color="8EA9DB"/>
              <w:right w:val="nil"/>
            </w:tcBorders>
            <w:shd w:val="clear" w:color="auto" w:fill="auto"/>
            <w:noWrap/>
            <w:vAlign w:val="bottom"/>
            <w:hideMark/>
          </w:tcPr>
          <w:p w14:paraId="53B24B98"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14956191</w:t>
            </w:r>
          </w:p>
        </w:tc>
        <w:tc>
          <w:tcPr>
            <w:tcW w:w="0" w:type="auto"/>
            <w:tcBorders>
              <w:top w:val="single" w:sz="4" w:space="0" w:color="8EA9DB"/>
              <w:left w:val="nil"/>
              <w:bottom w:val="single" w:sz="4" w:space="0" w:color="8EA9DB"/>
              <w:right w:val="nil"/>
            </w:tcBorders>
            <w:shd w:val="clear" w:color="auto" w:fill="auto"/>
            <w:noWrap/>
            <w:vAlign w:val="bottom"/>
            <w:hideMark/>
          </w:tcPr>
          <w:p w14:paraId="7A0AEFA4"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259747</w:t>
            </w:r>
          </w:p>
        </w:tc>
        <w:tc>
          <w:tcPr>
            <w:tcW w:w="948" w:type="dxa"/>
            <w:tcBorders>
              <w:top w:val="single" w:sz="4" w:space="0" w:color="8EA9DB"/>
              <w:left w:val="nil"/>
              <w:bottom w:val="single" w:sz="4" w:space="0" w:color="8EA9DB"/>
              <w:right w:val="single" w:sz="4" w:space="0" w:color="8EA9DB"/>
            </w:tcBorders>
            <w:shd w:val="clear" w:color="auto" w:fill="auto"/>
            <w:noWrap/>
            <w:vAlign w:val="bottom"/>
            <w:hideMark/>
          </w:tcPr>
          <w:p w14:paraId="10985639"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9909073</w:t>
            </w:r>
          </w:p>
        </w:tc>
      </w:tr>
      <w:tr w:rsidR="00E8716E" w:rsidRPr="007F7B55" w14:paraId="43D90D89" w14:textId="77777777" w:rsidTr="00DE5945">
        <w:trPr>
          <w:trHeight w:val="232"/>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45D33DCF"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2016</w:t>
            </w:r>
          </w:p>
        </w:tc>
        <w:tc>
          <w:tcPr>
            <w:tcW w:w="0" w:type="auto"/>
            <w:tcBorders>
              <w:top w:val="single" w:sz="4" w:space="0" w:color="8EA9DB"/>
              <w:left w:val="nil"/>
              <w:bottom w:val="single" w:sz="4" w:space="0" w:color="8EA9DB"/>
              <w:right w:val="nil"/>
            </w:tcBorders>
            <w:shd w:val="clear" w:color="D9E1F2" w:fill="D9E1F2"/>
            <w:noWrap/>
            <w:vAlign w:val="bottom"/>
            <w:hideMark/>
          </w:tcPr>
          <w:p w14:paraId="53F7147A"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17</w:t>
            </w:r>
          </w:p>
        </w:tc>
        <w:tc>
          <w:tcPr>
            <w:tcW w:w="0" w:type="auto"/>
            <w:tcBorders>
              <w:top w:val="single" w:sz="4" w:space="0" w:color="8EA9DB"/>
              <w:left w:val="nil"/>
              <w:bottom w:val="single" w:sz="4" w:space="0" w:color="8EA9DB"/>
              <w:right w:val="nil"/>
            </w:tcBorders>
            <w:shd w:val="clear" w:color="D9E1F2" w:fill="D9E1F2"/>
            <w:noWrap/>
            <w:vAlign w:val="bottom"/>
            <w:hideMark/>
          </w:tcPr>
          <w:p w14:paraId="48D963D6"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53373</w:t>
            </w:r>
          </w:p>
        </w:tc>
        <w:tc>
          <w:tcPr>
            <w:tcW w:w="0" w:type="auto"/>
            <w:tcBorders>
              <w:top w:val="single" w:sz="4" w:space="0" w:color="8EA9DB"/>
              <w:left w:val="nil"/>
              <w:bottom w:val="single" w:sz="4" w:space="0" w:color="8EA9DB"/>
              <w:right w:val="nil"/>
            </w:tcBorders>
            <w:shd w:val="clear" w:color="D9E1F2" w:fill="D9E1F2"/>
            <w:noWrap/>
            <w:vAlign w:val="bottom"/>
            <w:hideMark/>
          </w:tcPr>
          <w:p w14:paraId="56D7E893"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494800</w:t>
            </w:r>
          </w:p>
        </w:tc>
        <w:tc>
          <w:tcPr>
            <w:tcW w:w="0" w:type="auto"/>
            <w:tcBorders>
              <w:top w:val="single" w:sz="4" w:space="0" w:color="8EA9DB"/>
              <w:left w:val="nil"/>
              <w:bottom w:val="single" w:sz="4" w:space="0" w:color="8EA9DB"/>
              <w:right w:val="nil"/>
            </w:tcBorders>
            <w:shd w:val="clear" w:color="D9E1F2" w:fill="D9E1F2"/>
            <w:noWrap/>
            <w:vAlign w:val="bottom"/>
            <w:hideMark/>
          </w:tcPr>
          <w:p w14:paraId="34023575"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5786344</w:t>
            </w:r>
          </w:p>
        </w:tc>
        <w:tc>
          <w:tcPr>
            <w:tcW w:w="0" w:type="auto"/>
            <w:tcBorders>
              <w:top w:val="single" w:sz="4" w:space="0" w:color="8EA9DB"/>
              <w:left w:val="nil"/>
              <w:bottom w:val="single" w:sz="4" w:space="0" w:color="8EA9DB"/>
              <w:right w:val="nil"/>
            </w:tcBorders>
            <w:shd w:val="clear" w:color="D9E1F2" w:fill="D9E1F2"/>
            <w:noWrap/>
            <w:vAlign w:val="bottom"/>
            <w:hideMark/>
          </w:tcPr>
          <w:p w14:paraId="53C98C1D"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0</w:t>
            </w:r>
          </w:p>
        </w:tc>
        <w:tc>
          <w:tcPr>
            <w:tcW w:w="0" w:type="auto"/>
            <w:tcBorders>
              <w:top w:val="single" w:sz="4" w:space="0" w:color="8EA9DB"/>
              <w:left w:val="nil"/>
              <w:bottom w:val="single" w:sz="4" w:space="0" w:color="8EA9DB"/>
              <w:right w:val="nil"/>
            </w:tcBorders>
            <w:shd w:val="clear" w:color="D9E1F2" w:fill="D9E1F2"/>
            <w:noWrap/>
            <w:vAlign w:val="bottom"/>
            <w:hideMark/>
          </w:tcPr>
          <w:p w14:paraId="761120BB"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289799</w:t>
            </w:r>
          </w:p>
        </w:tc>
        <w:tc>
          <w:tcPr>
            <w:tcW w:w="948" w:type="dxa"/>
            <w:tcBorders>
              <w:top w:val="single" w:sz="4" w:space="0" w:color="8EA9DB"/>
              <w:left w:val="nil"/>
              <w:bottom w:val="single" w:sz="4" w:space="0" w:color="8EA9DB"/>
              <w:right w:val="single" w:sz="4" w:space="0" w:color="8EA9DB"/>
            </w:tcBorders>
            <w:shd w:val="clear" w:color="D9E1F2" w:fill="D9E1F2"/>
            <w:noWrap/>
            <w:vAlign w:val="bottom"/>
            <w:hideMark/>
          </w:tcPr>
          <w:p w14:paraId="0A218ADE"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9859065</w:t>
            </w:r>
          </w:p>
        </w:tc>
      </w:tr>
      <w:tr w:rsidR="00E8716E" w:rsidRPr="007F7B55" w14:paraId="00D9B20E" w14:textId="77777777" w:rsidTr="00DE5945">
        <w:trPr>
          <w:trHeight w:val="232"/>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78E92505"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2018</w:t>
            </w:r>
          </w:p>
        </w:tc>
        <w:tc>
          <w:tcPr>
            <w:tcW w:w="0" w:type="auto"/>
            <w:tcBorders>
              <w:top w:val="single" w:sz="4" w:space="0" w:color="8EA9DB"/>
              <w:left w:val="nil"/>
              <w:bottom w:val="single" w:sz="4" w:space="0" w:color="8EA9DB"/>
              <w:right w:val="nil"/>
            </w:tcBorders>
            <w:shd w:val="clear" w:color="D9E1F2" w:fill="D9E1F2"/>
            <w:noWrap/>
            <w:vAlign w:val="bottom"/>
            <w:hideMark/>
          </w:tcPr>
          <w:p w14:paraId="233E325F"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17</w:t>
            </w:r>
          </w:p>
        </w:tc>
        <w:tc>
          <w:tcPr>
            <w:tcW w:w="0" w:type="auto"/>
            <w:tcBorders>
              <w:top w:val="single" w:sz="4" w:space="0" w:color="8EA9DB"/>
              <w:left w:val="nil"/>
              <w:bottom w:val="single" w:sz="4" w:space="0" w:color="8EA9DB"/>
              <w:right w:val="nil"/>
            </w:tcBorders>
            <w:shd w:val="clear" w:color="auto" w:fill="auto"/>
            <w:noWrap/>
            <w:vAlign w:val="bottom"/>
            <w:hideMark/>
          </w:tcPr>
          <w:p w14:paraId="241F1C3D"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63799</w:t>
            </w:r>
          </w:p>
        </w:tc>
        <w:tc>
          <w:tcPr>
            <w:tcW w:w="0" w:type="auto"/>
            <w:tcBorders>
              <w:top w:val="single" w:sz="4" w:space="0" w:color="8EA9DB"/>
              <w:left w:val="nil"/>
              <w:bottom w:val="single" w:sz="4" w:space="0" w:color="8EA9DB"/>
              <w:right w:val="nil"/>
            </w:tcBorders>
            <w:shd w:val="clear" w:color="auto" w:fill="auto"/>
            <w:noWrap/>
            <w:vAlign w:val="bottom"/>
            <w:hideMark/>
          </w:tcPr>
          <w:p w14:paraId="588B0CB3"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606000</w:t>
            </w:r>
          </w:p>
        </w:tc>
        <w:tc>
          <w:tcPr>
            <w:tcW w:w="0" w:type="auto"/>
            <w:tcBorders>
              <w:top w:val="single" w:sz="4" w:space="0" w:color="8EA9DB"/>
              <w:left w:val="nil"/>
              <w:bottom w:val="single" w:sz="4" w:space="0" w:color="8EA9DB"/>
              <w:right w:val="nil"/>
            </w:tcBorders>
            <w:shd w:val="clear" w:color="auto" w:fill="auto"/>
            <w:noWrap/>
            <w:vAlign w:val="bottom"/>
            <w:hideMark/>
          </w:tcPr>
          <w:p w14:paraId="6973263C"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2263615</w:t>
            </w:r>
          </w:p>
        </w:tc>
        <w:tc>
          <w:tcPr>
            <w:tcW w:w="0" w:type="auto"/>
            <w:tcBorders>
              <w:top w:val="single" w:sz="4" w:space="0" w:color="8EA9DB"/>
              <w:left w:val="nil"/>
              <w:bottom w:val="single" w:sz="4" w:space="0" w:color="8EA9DB"/>
              <w:right w:val="nil"/>
            </w:tcBorders>
            <w:shd w:val="clear" w:color="auto" w:fill="auto"/>
            <w:noWrap/>
            <w:vAlign w:val="bottom"/>
            <w:hideMark/>
          </w:tcPr>
          <w:p w14:paraId="018ECBA1"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9005653</w:t>
            </w:r>
          </w:p>
        </w:tc>
        <w:tc>
          <w:tcPr>
            <w:tcW w:w="0" w:type="auto"/>
            <w:tcBorders>
              <w:top w:val="single" w:sz="4" w:space="0" w:color="8EA9DB"/>
              <w:left w:val="nil"/>
              <w:bottom w:val="single" w:sz="4" w:space="0" w:color="8EA9DB"/>
              <w:right w:val="nil"/>
            </w:tcBorders>
            <w:shd w:val="clear" w:color="auto" w:fill="auto"/>
            <w:noWrap/>
            <w:vAlign w:val="bottom"/>
            <w:hideMark/>
          </w:tcPr>
          <w:p w14:paraId="5E268E51"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278715</w:t>
            </w:r>
          </w:p>
        </w:tc>
        <w:tc>
          <w:tcPr>
            <w:tcW w:w="948" w:type="dxa"/>
            <w:tcBorders>
              <w:top w:val="single" w:sz="4" w:space="0" w:color="8EA9DB"/>
              <w:left w:val="nil"/>
              <w:bottom w:val="single" w:sz="4" w:space="0" w:color="8EA9DB"/>
              <w:right w:val="single" w:sz="4" w:space="0" w:color="8EA9DB"/>
            </w:tcBorders>
            <w:shd w:val="clear" w:color="auto" w:fill="auto"/>
            <w:noWrap/>
            <w:vAlign w:val="bottom"/>
            <w:hideMark/>
          </w:tcPr>
          <w:p w14:paraId="082EA76D"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9690034</w:t>
            </w:r>
          </w:p>
        </w:tc>
      </w:tr>
      <w:tr w:rsidR="00E8716E" w:rsidRPr="007F7B55" w14:paraId="289FD0C0" w14:textId="77777777" w:rsidTr="00DE5945">
        <w:trPr>
          <w:trHeight w:val="232"/>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3A907211"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2020</w:t>
            </w:r>
          </w:p>
        </w:tc>
        <w:tc>
          <w:tcPr>
            <w:tcW w:w="0" w:type="auto"/>
            <w:tcBorders>
              <w:top w:val="single" w:sz="4" w:space="0" w:color="8EA9DB"/>
              <w:left w:val="nil"/>
              <w:bottom w:val="single" w:sz="4" w:space="0" w:color="8EA9DB"/>
              <w:right w:val="nil"/>
            </w:tcBorders>
            <w:shd w:val="clear" w:color="D9E1F2" w:fill="D9E1F2"/>
            <w:noWrap/>
            <w:vAlign w:val="bottom"/>
            <w:hideMark/>
          </w:tcPr>
          <w:p w14:paraId="5274CBBF"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18</w:t>
            </w:r>
          </w:p>
        </w:tc>
        <w:tc>
          <w:tcPr>
            <w:tcW w:w="0" w:type="auto"/>
            <w:tcBorders>
              <w:top w:val="single" w:sz="4" w:space="0" w:color="8EA9DB"/>
              <w:left w:val="nil"/>
              <w:bottom w:val="single" w:sz="4" w:space="0" w:color="8EA9DB"/>
              <w:right w:val="nil"/>
            </w:tcBorders>
            <w:shd w:val="clear" w:color="D9E1F2" w:fill="D9E1F2"/>
            <w:noWrap/>
            <w:vAlign w:val="bottom"/>
            <w:hideMark/>
          </w:tcPr>
          <w:p w14:paraId="65B92DF5"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63998</w:t>
            </w:r>
          </w:p>
        </w:tc>
        <w:tc>
          <w:tcPr>
            <w:tcW w:w="0" w:type="auto"/>
            <w:tcBorders>
              <w:top w:val="single" w:sz="4" w:space="0" w:color="8EA9DB"/>
              <w:left w:val="nil"/>
              <w:bottom w:val="single" w:sz="4" w:space="0" w:color="8EA9DB"/>
              <w:right w:val="nil"/>
            </w:tcBorders>
            <w:shd w:val="clear" w:color="D9E1F2" w:fill="D9E1F2"/>
            <w:noWrap/>
            <w:vAlign w:val="bottom"/>
            <w:hideMark/>
          </w:tcPr>
          <w:p w14:paraId="0C250C77"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606000</w:t>
            </w:r>
          </w:p>
        </w:tc>
        <w:tc>
          <w:tcPr>
            <w:tcW w:w="0" w:type="auto"/>
            <w:tcBorders>
              <w:top w:val="single" w:sz="4" w:space="0" w:color="8EA9DB"/>
              <w:left w:val="nil"/>
              <w:bottom w:val="single" w:sz="4" w:space="0" w:color="8EA9DB"/>
              <w:right w:val="nil"/>
            </w:tcBorders>
            <w:shd w:val="clear" w:color="D9E1F2" w:fill="D9E1F2"/>
            <w:noWrap/>
            <w:vAlign w:val="bottom"/>
            <w:hideMark/>
          </w:tcPr>
          <w:p w14:paraId="045BD965"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1300285</w:t>
            </w:r>
          </w:p>
        </w:tc>
        <w:tc>
          <w:tcPr>
            <w:tcW w:w="0" w:type="auto"/>
            <w:tcBorders>
              <w:top w:val="single" w:sz="4" w:space="0" w:color="8EA9DB"/>
              <w:left w:val="nil"/>
              <w:bottom w:val="single" w:sz="4" w:space="0" w:color="8EA9DB"/>
              <w:right w:val="nil"/>
            </w:tcBorders>
            <w:shd w:val="clear" w:color="D9E1F2" w:fill="D9E1F2"/>
            <w:noWrap/>
            <w:vAlign w:val="bottom"/>
            <w:hideMark/>
          </w:tcPr>
          <w:p w14:paraId="52AFB8F4"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3587768</w:t>
            </w:r>
          </w:p>
        </w:tc>
        <w:tc>
          <w:tcPr>
            <w:tcW w:w="0" w:type="auto"/>
            <w:tcBorders>
              <w:top w:val="single" w:sz="4" w:space="0" w:color="8EA9DB"/>
              <w:left w:val="nil"/>
              <w:bottom w:val="single" w:sz="4" w:space="0" w:color="8EA9DB"/>
              <w:right w:val="nil"/>
            </w:tcBorders>
            <w:shd w:val="clear" w:color="D9E1F2" w:fill="D9E1F2"/>
            <w:noWrap/>
            <w:vAlign w:val="bottom"/>
            <w:hideMark/>
          </w:tcPr>
          <w:p w14:paraId="3A574A7F"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211540</w:t>
            </w:r>
          </w:p>
        </w:tc>
        <w:tc>
          <w:tcPr>
            <w:tcW w:w="948" w:type="dxa"/>
            <w:tcBorders>
              <w:top w:val="single" w:sz="4" w:space="0" w:color="8EA9DB"/>
              <w:left w:val="nil"/>
              <w:bottom w:val="single" w:sz="4" w:space="0" w:color="8EA9DB"/>
              <w:right w:val="single" w:sz="4" w:space="0" w:color="8EA9DB"/>
            </w:tcBorders>
            <w:shd w:val="clear" w:color="D9E1F2" w:fill="D9E1F2"/>
            <w:noWrap/>
            <w:vAlign w:val="bottom"/>
            <w:hideMark/>
          </w:tcPr>
          <w:p w14:paraId="41D1CC85" w14:textId="77777777" w:rsidR="00E8716E" w:rsidRPr="008E4CDF" w:rsidRDefault="00E8716E" w:rsidP="00E8716E">
            <w:pPr>
              <w:spacing w:after="0" w:line="240" w:lineRule="auto"/>
              <w:jc w:val="right"/>
              <w:rPr>
                <w:rFonts w:eastAsia="Times New Roman" w:cstheme="minorHAnsi"/>
                <w:color w:val="000000"/>
                <w:sz w:val="18"/>
                <w:szCs w:val="18"/>
              </w:rPr>
            </w:pPr>
            <w:r w:rsidRPr="008E4CDF">
              <w:rPr>
                <w:rFonts w:eastAsia="Times New Roman" w:cstheme="minorHAnsi"/>
                <w:color w:val="000000"/>
                <w:sz w:val="18"/>
                <w:szCs w:val="18"/>
              </w:rPr>
              <w:t>10898384</w:t>
            </w:r>
          </w:p>
        </w:tc>
      </w:tr>
    </w:tbl>
    <w:p w14:paraId="7363B534" w14:textId="77777777" w:rsidR="005572F4" w:rsidRDefault="005572F4" w:rsidP="003F11F4">
      <w:pPr>
        <w:jc w:val="both"/>
        <w:rPr>
          <w:lang w:val="en"/>
        </w:rPr>
      </w:pPr>
    </w:p>
    <w:p w14:paraId="45BCD392" w14:textId="3622B67B" w:rsidR="00EF714A" w:rsidRDefault="00BF2F93" w:rsidP="003F11F4">
      <w:pPr>
        <w:jc w:val="both"/>
        <w:rPr>
          <w:lang w:val="en"/>
        </w:rPr>
      </w:pPr>
      <w:r>
        <w:rPr>
          <w:lang w:val="en"/>
        </w:rPr>
        <w:t>The initial data</w:t>
      </w:r>
      <w:r w:rsidR="00833E54">
        <w:rPr>
          <w:lang w:val="en"/>
        </w:rPr>
        <w:t xml:space="preserve"> presented above</w:t>
      </w:r>
      <w:r w:rsidR="0008336F">
        <w:rPr>
          <w:lang w:val="en"/>
        </w:rPr>
        <w:t xml:space="preserve"> shows,</w:t>
      </w:r>
      <w:r w:rsidR="000E78E2">
        <w:rPr>
          <w:lang w:val="en"/>
        </w:rPr>
        <w:t xml:space="preserve"> from 200</w:t>
      </w:r>
      <w:r w:rsidR="0008336F">
        <w:rPr>
          <w:lang w:val="en"/>
        </w:rPr>
        <w:t>2</w:t>
      </w:r>
      <w:r w:rsidR="000E78E2">
        <w:rPr>
          <w:lang w:val="en"/>
        </w:rPr>
        <w:t xml:space="preserve"> – 2006</w:t>
      </w:r>
      <w:r w:rsidR="00DB44BD">
        <w:rPr>
          <w:rStyle w:val="FootnoteReference"/>
          <w:lang w:val="en"/>
        </w:rPr>
        <w:footnoteReference w:id="6"/>
      </w:r>
      <w:r w:rsidR="0008336F">
        <w:rPr>
          <w:lang w:val="en"/>
        </w:rPr>
        <w:t>,</w:t>
      </w:r>
      <w:r w:rsidR="00833E54">
        <w:rPr>
          <w:lang w:val="en"/>
        </w:rPr>
        <w:t xml:space="preserve"> an</w:t>
      </w:r>
      <w:r w:rsidR="000E78E2">
        <w:rPr>
          <w:lang w:val="en"/>
        </w:rPr>
        <w:t xml:space="preserve"> almost fantastical growth in Median Household Income &amp; Property Value, and </w:t>
      </w:r>
      <w:r w:rsidR="0008336F">
        <w:rPr>
          <w:lang w:val="en"/>
        </w:rPr>
        <w:t>a</w:t>
      </w:r>
      <w:r w:rsidR="000E78E2">
        <w:rPr>
          <w:lang w:val="en"/>
        </w:rPr>
        <w:t xml:space="preserve"> corresponding decline in Poverty Rate</w:t>
      </w:r>
      <w:r w:rsidR="006C37CF">
        <w:rPr>
          <w:lang w:val="en"/>
        </w:rPr>
        <w:t xml:space="preserve">. </w:t>
      </w:r>
      <w:r w:rsidR="000E78E2">
        <w:rPr>
          <w:lang w:val="en"/>
        </w:rPr>
        <w:t xml:space="preserve">A similar, correlating, pattern can be seen in </w:t>
      </w:r>
      <w:r w:rsidR="00FB27C3">
        <w:rPr>
          <w:lang w:val="en"/>
        </w:rPr>
        <w:t>shared contributions</w:t>
      </w:r>
      <w:r w:rsidR="000E78E2">
        <w:rPr>
          <w:lang w:val="en"/>
        </w:rPr>
        <w:t xml:space="preserve"> data</w:t>
      </w:r>
      <w:r w:rsidR="00575485">
        <w:rPr>
          <w:lang w:val="en"/>
        </w:rPr>
        <w:t xml:space="preserve"> as well</w:t>
      </w:r>
      <w:r w:rsidR="000E78E2">
        <w:rPr>
          <w:lang w:val="en"/>
        </w:rPr>
        <w:t xml:space="preserve">. </w:t>
      </w:r>
      <w:r w:rsidR="006C37CF">
        <w:rPr>
          <w:lang w:val="en"/>
        </w:rPr>
        <w:t>Causal relationship analysis was pursued</w:t>
      </w:r>
      <w:r w:rsidR="000E78E2">
        <w:rPr>
          <w:lang w:val="en"/>
        </w:rPr>
        <w:t xml:space="preserve"> through linear regression</w:t>
      </w:r>
      <w:r w:rsidR="006C37CF">
        <w:rPr>
          <w:lang w:val="en"/>
        </w:rPr>
        <w:t xml:space="preserve">, and the following significant relationships were </w:t>
      </w:r>
      <w:r w:rsidR="000E78E2">
        <w:rPr>
          <w:lang w:val="en"/>
        </w:rPr>
        <w:t>discovered</w:t>
      </w:r>
      <w:r w:rsidR="00CA5409">
        <w:rPr>
          <w:lang w:val="en"/>
        </w:rPr>
        <w:t xml:space="preserve"> as contributions increased</w:t>
      </w:r>
      <w:r w:rsidR="0008336F">
        <w:rPr>
          <w:lang w:val="en"/>
        </w:rPr>
        <w:t>:</w:t>
      </w:r>
    </w:p>
    <w:tbl>
      <w:tblPr>
        <w:tblStyle w:val="TableGrid"/>
        <w:tblW w:w="10484" w:type="dxa"/>
        <w:tblInd w:w="-589" w:type="dxa"/>
        <w:tblLook w:val="04A0" w:firstRow="1" w:lastRow="0" w:firstColumn="1" w:lastColumn="0" w:noHBand="0" w:noVBand="1"/>
      </w:tblPr>
      <w:tblGrid>
        <w:gridCol w:w="2391"/>
        <w:gridCol w:w="2219"/>
        <w:gridCol w:w="2219"/>
        <w:gridCol w:w="1437"/>
        <w:gridCol w:w="2218"/>
      </w:tblGrid>
      <w:tr w:rsidR="006C37CF" w:rsidRPr="001336C7" w14:paraId="249EBFB3" w14:textId="77777777" w:rsidTr="00DE5945">
        <w:tc>
          <w:tcPr>
            <w:tcW w:w="2391" w:type="dxa"/>
          </w:tcPr>
          <w:p w14:paraId="459C583F" w14:textId="60597925" w:rsidR="006C37CF" w:rsidRPr="008E4CDF" w:rsidRDefault="006A235B" w:rsidP="00391787">
            <w:pPr>
              <w:jc w:val="center"/>
              <w:rPr>
                <w:b/>
                <w:bCs/>
                <w:sz w:val="18"/>
                <w:szCs w:val="18"/>
              </w:rPr>
            </w:pPr>
            <w:bookmarkStart w:id="3" w:name="_Hlk67330342"/>
            <w:r>
              <w:rPr>
                <w:b/>
                <w:bCs/>
                <w:sz w:val="18"/>
                <w:szCs w:val="18"/>
              </w:rPr>
              <w:t>Displacement Variable</w:t>
            </w:r>
          </w:p>
        </w:tc>
        <w:tc>
          <w:tcPr>
            <w:tcW w:w="2219" w:type="dxa"/>
          </w:tcPr>
          <w:p w14:paraId="19F24EF1" w14:textId="6BA22F0F" w:rsidR="006C37CF" w:rsidRPr="008E4CDF" w:rsidRDefault="006C37CF" w:rsidP="00391787">
            <w:pPr>
              <w:jc w:val="center"/>
              <w:rPr>
                <w:b/>
                <w:bCs/>
                <w:sz w:val="18"/>
                <w:szCs w:val="18"/>
              </w:rPr>
            </w:pPr>
            <w:r w:rsidRPr="008E4CDF">
              <w:rPr>
                <w:b/>
                <w:bCs/>
                <w:sz w:val="18"/>
                <w:szCs w:val="18"/>
              </w:rPr>
              <w:t>Total Senate</w:t>
            </w:r>
          </w:p>
        </w:tc>
        <w:tc>
          <w:tcPr>
            <w:tcW w:w="2219" w:type="dxa"/>
          </w:tcPr>
          <w:p w14:paraId="7FCB3629" w14:textId="3E10DBC8" w:rsidR="006C37CF" w:rsidRPr="008E4CDF" w:rsidRDefault="006C37CF" w:rsidP="00391787">
            <w:pPr>
              <w:jc w:val="center"/>
              <w:rPr>
                <w:b/>
                <w:bCs/>
                <w:sz w:val="18"/>
                <w:szCs w:val="18"/>
              </w:rPr>
            </w:pPr>
            <w:r w:rsidRPr="008E4CDF">
              <w:rPr>
                <w:b/>
                <w:bCs/>
                <w:sz w:val="18"/>
                <w:szCs w:val="18"/>
              </w:rPr>
              <w:t>Total Assembly</w:t>
            </w:r>
          </w:p>
        </w:tc>
        <w:tc>
          <w:tcPr>
            <w:tcW w:w="1437" w:type="dxa"/>
          </w:tcPr>
          <w:p w14:paraId="31E9AF18" w14:textId="0E9EB163" w:rsidR="006C37CF" w:rsidRPr="008E4CDF" w:rsidRDefault="006C37CF" w:rsidP="00391787">
            <w:pPr>
              <w:jc w:val="center"/>
              <w:rPr>
                <w:b/>
                <w:bCs/>
                <w:sz w:val="18"/>
                <w:szCs w:val="18"/>
              </w:rPr>
            </w:pPr>
            <w:r w:rsidRPr="008E4CDF">
              <w:rPr>
                <w:b/>
                <w:bCs/>
                <w:sz w:val="18"/>
                <w:szCs w:val="18"/>
              </w:rPr>
              <w:t>Total Governor</w:t>
            </w:r>
          </w:p>
        </w:tc>
        <w:tc>
          <w:tcPr>
            <w:tcW w:w="2218" w:type="dxa"/>
          </w:tcPr>
          <w:p w14:paraId="6CEEEA48" w14:textId="082D834F" w:rsidR="006C37CF" w:rsidRPr="008E4CDF" w:rsidRDefault="006C37CF" w:rsidP="00391787">
            <w:pPr>
              <w:jc w:val="center"/>
              <w:rPr>
                <w:b/>
                <w:bCs/>
                <w:sz w:val="18"/>
                <w:szCs w:val="18"/>
              </w:rPr>
            </w:pPr>
            <w:r w:rsidRPr="008E4CDF">
              <w:rPr>
                <w:b/>
                <w:bCs/>
                <w:sz w:val="18"/>
                <w:szCs w:val="18"/>
              </w:rPr>
              <w:t>Total House of Reps</w:t>
            </w:r>
          </w:p>
        </w:tc>
      </w:tr>
      <w:tr w:rsidR="006C37CF" w:rsidRPr="00036863" w14:paraId="17DE0959" w14:textId="77777777" w:rsidTr="00DE5945">
        <w:tc>
          <w:tcPr>
            <w:tcW w:w="2391" w:type="dxa"/>
          </w:tcPr>
          <w:p w14:paraId="792CED19" w14:textId="267F1303" w:rsidR="006C37CF" w:rsidRPr="008E4CDF" w:rsidRDefault="006C37CF" w:rsidP="00391787">
            <w:pPr>
              <w:rPr>
                <w:color w:val="FF0000"/>
                <w:sz w:val="18"/>
                <w:szCs w:val="18"/>
              </w:rPr>
            </w:pPr>
            <w:r w:rsidRPr="008E4CDF">
              <w:rPr>
                <w:color w:val="FF0000"/>
                <w:sz w:val="18"/>
                <w:szCs w:val="18"/>
              </w:rPr>
              <w:t>Poverty Rate (-)</w:t>
            </w:r>
          </w:p>
        </w:tc>
        <w:tc>
          <w:tcPr>
            <w:tcW w:w="2219" w:type="dxa"/>
          </w:tcPr>
          <w:p w14:paraId="4B90C554" w14:textId="42472F7D" w:rsidR="006C37CF" w:rsidRPr="008E4CDF" w:rsidRDefault="000B321D" w:rsidP="00391787">
            <w:pPr>
              <w:rPr>
                <w:color w:val="FF0000"/>
                <w:sz w:val="18"/>
                <w:szCs w:val="18"/>
              </w:rPr>
            </w:pPr>
            <w:r>
              <w:rPr>
                <w:rFonts w:cs="CIDFont+F3"/>
                <w:color w:val="FF0000"/>
                <w:sz w:val="18"/>
                <w:szCs w:val="18"/>
              </w:rPr>
              <w:t xml:space="preserve">p= </w:t>
            </w:r>
            <w:r w:rsidR="006C37CF" w:rsidRPr="008E4CDF">
              <w:rPr>
                <w:rFonts w:cs="CIDFont+F3"/>
                <w:color w:val="FF0000"/>
                <w:sz w:val="18"/>
                <w:szCs w:val="18"/>
              </w:rPr>
              <w:t>.</w:t>
            </w:r>
            <w:r>
              <w:rPr>
                <w:rFonts w:cs="CIDFont+F3"/>
                <w:color w:val="FF0000"/>
                <w:sz w:val="18"/>
                <w:szCs w:val="18"/>
              </w:rPr>
              <w:t>03</w:t>
            </w:r>
            <w:r w:rsidR="00C370EB">
              <w:rPr>
                <w:rFonts w:cs="CIDFont+F3"/>
                <w:color w:val="FF0000"/>
                <w:sz w:val="18"/>
                <w:szCs w:val="18"/>
              </w:rPr>
              <w:t>0</w:t>
            </w:r>
            <w:r w:rsidR="006C37CF" w:rsidRPr="008E4CDF">
              <w:rPr>
                <w:rFonts w:cs="CIDFont+F3"/>
                <w:color w:val="FF0000"/>
                <w:sz w:val="18"/>
                <w:szCs w:val="18"/>
              </w:rPr>
              <w:t>*</w:t>
            </w:r>
            <w:r w:rsidR="006C37CF" w:rsidRPr="008E4CDF">
              <w:rPr>
                <w:rStyle w:val="FootnoteReference"/>
                <w:rFonts w:cs="CIDFont+F3"/>
                <w:color w:val="FF0000"/>
                <w:sz w:val="18"/>
                <w:szCs w:val="18"/>
              </w:rPr>
              <w:footnoteReference w:id="7"/>
            </w:r>
          </w:p>
        </w:tc>
        <w:tc>
          <w:tcPr>
            <w:tcW w:w="2219" w:type="dxa"/>
          </w:tcPr>
          <w:p w14:paraId="0BEEFB10" w14:textId="1CCEAC45" w:rsidR="006C37CF" w:rsidRPr="008E4CDF" w:rsidRDefault="000B321D" w:rsidP="00391787">
            <w:pPr>
              <w:rPr>
                <w:color w:val="FF0000"/>
                <w:sz w:val="18"/>
                <w:szCs w:val="18"/>
              </w:rPr>
            </w:pPr>
            <w:r>
              <w:rPr>
                <w:rFonts w:cs="CIDFont+F3"/>
                <w:color w:val="FF0000"/>
                <w:sz w:val="18"/>
                <w:szCs w:val="18"/>
              </w:rPr>
              <w:t>p= .014</w:t>
            </w:r>
            <w:r w:rsidR="00CD1C70" w:rsidRPr="008E4CDF">
              <w:rPr>
                <w:rFonts w:cs="CIDFont+F3"/>
                <w:color w:val="FF0000"/>
                <w:sz w:val="18"/>
                <w:szCs w:val="18"/>
              </w:rPr>
              <w:t>**</w:t>
            </w:r>
            <w:r w:rsidR="00CD1C70" w:rsidRPr="008E4CDF">
              <w:rPr>
                <w:rStyle w:val="FootnoteReference"/>
                <w:rFonts w:cs="CIDFont+F3"/>
                <w:color w:val="FF0000"/>
                <w:sz w:val="18"/>
                <w:szCs w:val="18"/>
              </w:rPr>
              <w:footnoteReference w:id="8"/>
            </w:r>
          </w:p>
        </w:tc>
        <w:tc>
          <w:tcPr>
            <w:tcW w:w="1437" w:type="dxa"/>
          </w:tcPr>
          <w:p w14:paraId="6A225C97" w14:textId="79D2500D" w:rsidR="006C37CF" w:rsidRPr="008E4CDF" w:rsidRDefault="00CD1C70" w:rsidP="00391787">
            <w:pPr>
              <w:rPr>
                <w:sz w:val="18"/>
                <w:szCs w:val="18"/>
              </w:rPr>
            </w:pPr>
            <w:r w:rsidRPr="008E4CDF">
              <w:rPr>
                <w:sz w:val="18"/>
                <w:szCs w:val="18"/>
              </w:rPr>
              <w:t>NULL EFFECT</w:t>
            </w:r>
          </w:p>
        </w:tc>
        <w:tc>
          <w:tcPr>
            <w:tcW w:w="2218" w:type="dxa"/>
          </w:tcPr>
          <w:p w14:paraId="43470D82" w14:textId="3A8294DE" w:rsidR="006C37CF" w:rsidRPr="008E4CDF" w:rsidRDefault="00CD1C70" w:rsidP="00391787">
            <w:pPr>
              <w:rPr>
                <w:sz w:val="18"/>
                <w:szCs w:val="18"/>
              </w:rPr>
            </w:pPr>
            <w:r w:rsidRPr="008E4CDF">
              <w:rPr>
                <w:sz w:val="18"/>
                <w:szCs w:val="18"/>
              </w:rPr>
              <w:t>NULL EFFECT</w:t>
            </w:r>
          </w:p>
        </w:tc>
      </w:tr>
      <w:tr w:rsidR="006C37CF" w:rsidRPr="00036863" w14:paraId="7CA9EE2C" w14:textId="77777777" w:rsidTr="00DE5945">
        <w:tc>
          <w:tcPr>
            <w:tcW w:w="2391" w:type="dxa"/>
          </w:tcPr>
          <w:p w14:paraId="3C195BFF" w14:textId="4F8532F6" w:rsidR="006C37CF" w:rsidRPr="008E4CDF" w:rsidRDefault="00CD1C70" w:rsidP="00391787">
            <w:pPr>
              <w:rPr>
                <w:color w:val="2F5496" w:themeColor="accent1" w:themeShade="BF"/>
                <w:sz w:val="18"/>
                <w:szCs w:val="18"/>
              </w:rPr>
            </w:pPr>
            <w:r w:rsidRPr="008E4CDF">
              <w:rPr>
                <w:color w:val="2F5496" w:themeColor="accent1" w:themeShade="BF"/>
                <w:sz w:val="18"/>
                <w:szCs w:val="18"/>
              </w:rPr>
              <w:t>Median Household Inc (+)</w:t>
            </w:r>
          </w:p>
        </w:tc>
        <w:tc>
          <w:tcPr>
            <w:tcW w:w="2219" w:type="dxa"/>
          </w:tcPr>
          <w:p w14:paraId="33EB161C" w14:textId="7DD67C96" w:rsidR="006C37CF" w:rsidRPr="008E4CDF" w:rsidRDefault="00CD1C70" w:rsidP="00391787">
            <w:pPr>
              <w:rPr>
                <w:sz w:val="18"/>
                <w:szCs w:val="18"/>
              </w:rPr>
            </w:pPr>
            <w:r w:rsidRPr="008E4CDF">
              <w:rPr>
                <w:sz w:val="18"/>
                <w:szCs w:val="18"/>
              </w:rPr>
              <w:t>NULL EFFECT</w:t>
            </w:r>
          </w:p>
        </w:tc>
        <w:tc>
          <w:tcPr>
            <w:tcW w:w="2219" w:type="dxa"/>
          </w:tcPr>
          <w:p w14:paraId="5CBC0D28" w14:textId="22EE4E45" w:rsidR="006C37CF" w:rsidRPr="00CA5409" w:rsidRDefault="00C370EB" w:rsidP="00391787">
            <w:pPr>
              <w:rPr>
                <w:color w:val="2F5496" w:themeColor="accent1" w:themeShade="BF"/>
                <w:sz w:val="18"/>
                <w:szCs w:val="18"/>
              </w:rPr>
            </w:pPr>
            <w:r w:rsidRPr="00CA5409">
              <w:rPr>
                <w:rFonts w:cs="CIDFont+F3"/>
                <w:color w:val="2F5496" w:themeColor="accent1" w:themeShade="BF"/>
                <w:sz w:val="18"/>
                <w:szCs w:val="18"/>
              </w:rPr>
              <w:t>p= .012**</w:t>
            </w:r>
          </w:p>
        </w:tc>
        <w:tc>
          <w:tcPr>
            <w:tcW w:w="1437" w:type="dxa"/>
          </w:tcPr>
          <w:p w14:paraId="3551A155" w14:textId="55D1EB8F" w:rsidR="006C37CF" w:rsidRPr="008E4CDF" w:rsidRDefault="00CD1C70" w:rsidP="00391787">
            <w:pPr>
              <w:rPr>
                <w:sz w:val="18"/>
                <w:szCs w:val="18"/>
              </w:rPr>
            </w:pPr>
            <w:r w:rsidRPr="008E4CDF">
              <w:rPr>
                <w:sz w:val="18"/>
                <w:szCs w:val="18"/>
              </w:rPr>
              <w:t>NULL EFFECT</w:t>
            </w:r>
          </w:p>
        </w:tc>
        <w:tc>
          <w:tcPr>
            <w:tcW w:w="2218" w:type="dxa"/>
          </w:tcPr>
          <w:p w14:paraId="17A6FFA4" w14:textId="5D529984" w:rsidR="006C37CF" w:rsidRPr="008E4CDF" w:rsidRDefault="00CD1C70" w:rsidP="00391787">
            <w:pPr>
              <w:rPr>
                <w:sz w:val="18"/>
                <w:szCs w:val="18"/>
              </w:rPr>
            </w:pPr>
            <w:r w:rsidRPr="008E4CDF">
              <w:rPr>
                <w:sz w:val="18"/>
                <w:szCs w:val="18"/>
              </w:rPr>
              <w:t>NULL EFFECT</w:t>
            </w:r>
          </w:p>
        </w:tc>
      </w:tr>
      <w:tr w:rsidR="00C370EB" w:rsidRPr="00036863" w14:paraId="1FF2637B" w14:textId="77777777" w:rsidTr="00DE5945">
        <w:tc>
          <w:tcPr>
            <w:tcW w:w="2391" w:type="dxa"/>
          </w:tcPr>
          <w:p w14:paraId="1E2305A6" w14:textId="7288A300" w:rsidR="00C370EB" w:rsidRPr="008E4CDF" w:rsidRDefault="00C370EB" w:rsidP="00C370EB">
            <w:pPr>
              <w:rPr>
                <w:color w:val="2F5496" w:themeColor="accent1" w:themeShade="BF"/>
                <w:sz w:val="18"/>
                <w:szCs w:val="18"/>
              </w:rPr>
            </w:pPr>
            <w:r w:rsidRPr="008E4CDF">
              <w:rPr>
                <w:color w:val="2F5496" w:themeColor="accent1" w:themeShade="BF"/>
                <w:sz w:val="18"/>
                <w:szCs w:val="18"/>
              </w:rPr>
              <w:t>Median Prop Value (+)</w:t>
            </w:r>
          </w:p>
        </w:tc>
        <w:tc>
          <w:tcPr>
            <w:tcW w:w="2219" w:type="dxa"/>
          </w:tcPr>
          <w:p w14:paraId="409C67ED" w14:textId="3AC18028" w:rsidR="00C370EB" w:rsidRPr="008E4CDF" w:rsidRDefault="00C370EB" w:rsidP="00C370EB">
            <w:pPr>
              <w:rPr>
                <w:sz w:val="18"/>
                <w:szCs w:val="18"/>
              </w:rPr>
            </w:pPr>
            <w:r w:rsidRPr="008E4CDF">
              <w:rPr>
                <w:sz w:val="18"/>
                <w:szCs w:val="18"/>
              </w:rPr>
              <w:t>NULL EFFECT</w:t>
            </w:r>
          </w:p>
        </w:tc>
        <w:tc>
          <w:tcPr>
            <w:tcW w:w="2219" w:type="dxa"/>
          </w:tcPr>
          <w:p w14:paraId="4B4BD8E5" w14:textId="7D1EB9E0" w:rsidR="00C370EB" w:rsidRPr="00CA5409" w:rsidRDefault="00C370EB" w:rsidP="00C370EB">
            <w:pPr>
              <w:rPr>
                <w:color w:val="2F5496" w:themeColor="accent1" w:themeShade="BF"/>
                <w:sz w:val="18"/>
                <w:szCs w:val="18"/>
              </w:rPr>
            </w:pPr>
            <w:r w:rsidRPr="00CA5409">
              <w:rPr>
                <w:rFonts w:cs="CIDFont+F3"/>
                <w:color w:val="2F5496" w:themeColor="accent1" w:themeShade="BF"/>
                <w:sz w:val="18"/>
                <w:szCs w:val="18"/>
              </w:rPr>
              <w:t>p= .007**</w:t>
            </w:r>
          </w:p>
        </w:tc>
        <w:tc>
          <w:tcPr>
            <w:tcW w:w="1437" w:type="dxa"/>
          </w:tcPr>
          <w:p w14:paraId="37CCB550" w14:textId="6A919CC0" w:rsidR="00C370EB" w:rsidRPr="008E4CDF" w:rsidRDefault="00C370EB" w:rsidP="00C370EB">
            <w:pPr>
              <w:rPr>
                <w:sz w:val="18"/>
                <w:szCs w:val="18"/>
              </w:rPr>
            </w:pPr>
            <w:r w:rsidRPr="008E4CDF">
              <w:rPr>
                <w:sz w:val="18"/>
                <w:szCs w:val="18"/>
              </w:rPr>
              <w:t>NULL EFFECT</w:t>
            </w:r>
          </w:p>
        </w:tc>
        <w:tc>
          <w:tcPr>
            <w:tcW w:w="2218" w:type="dxa"/>
          </w:tcPr>
          <w:p w14:paraId="43549C06" w14:textId="5FE42D7B" w:rsidR="00C370EB" w:rsidRPr="008E4CDF" w:rsidRDefault="00C370EB" w:rsidP="00C370EB">
            <w:pPr>
              <w:rPr>
                <w:sz w:val="18"/>
                <w:szCs w:val="18"/>
              </w:rPr>
            </w:pPr>
            <w:r w:rsidRPr="008E4CDF">
              <w:rPr>
                <w:sz w:val="18"/>
                <w:szCs w:val="18"/>
              </w:rPr>
              <w:t>NULL EFFECT</w:t>
            </w:r>
          </w:p>
        </w:tc>
      </w:tr>
      <w:bookmarkEnd w:id="3"/>
    </w:tbl>
    <w:p w14:paraId="2D71B1EE" w14:textId="77777777" w:rsidR="006A235B" w:rsidRDefault="006A235B" w:rsidP="003F11F4">
      <w:pPr>
        <w:jc w:val="both"/>
        <w:rPr>
          <w:lang w:val="en"/>
        </w:rPr>
      </w:pPr>
    </w:p>
    <w:p w14:paraId="03A36AC4" w14:textId="237CD184" w:rsidR="004A5ADE" w:rsidRDefault="00CD1C70" w:rsidP="003F11F4">
      <w:pPr>
        <w:jc w:val="both"/>
        <w:rPr>
          <w:lang w:val="en"/>
        </w:rPr>
      </w:pPr>
      <w:r>
        <w:rPr>
          <w:lang w:val="en"/>
        </w:rPr>
        <w:t>The Assembly giving clearly show</w:t>
      </w:r>
      <w:r w:rsidR="00E8716E">
        <w:rPr>
          <w:lang w:val="en"/>
        </w:rPr>
        <w:t>s</w:t>
      </w:r>
      <w:r w:rsidR="007D7EC4">
        <w:rPr>
          <w:lang w:val="en"/>
        </w:rPr>
        <w:t xml:space="preserve"> a trend of causality</w:t>
      </w:r>
      <w:r>
        <w:rPr>
          <w:lang w:val="en"/>
        </w:rPr>
        <w:t>, a</w:t>
      </w:r>
      <w:r w:rsidR="007D7EC4">
        <w:rPr>
          <w:lang w:val="en"/>
        </w:rPr>
        <w:t xml:space="preserve">nd </w:t>
      </w:r>
      <w:r>
        <w:rPr>
          <w:lang w:val="en"/>
        </w:rPr>
        <w:t xml:space="preserve">the Assembly is the main legislative body for New York City housing policy. The Senate indicated an interesting effect, </w:t>
      </w:r>
      <w:r w:rsidR="00056AA3">
        <w:rPr>
          <w:lang w:val="en"/>
        </w:rPr>
        <w:t>likely due to disinvestment in</w:t>
      </w:r>
      <w:r>
        <w:rPr>
          <w:lang w:val="en"/>
        </w:rPr>
        <w:t xml:space="preserve"> public housing</w:t>
      </w:r>
      <w:r w:rsidR="00CA5409">
        <w:rPr>
          <w:lang w:val="en"/>
        </w:rPr>
        <w:t xml:space="preserve"> as a predictor as well, which would remove the lowest income households from NYC, leading to a </w:t>
      </w:r>
      <w:r w:rsidR="00575485">
        <w:rPr>
          <w:lang w:val="en"/>
        </w:rPr>
        <w:t xml:space="preserve">drastically </w:t>
      </w:r>
      <w:r w:rsidR="00CA5409">
        <w:rPr>
          <w:lang w:val="en"/>
        </w:rPr>
        <w:t>declining poverty rate</w:t>
      </w:r>
      <w:r>
        <w:rPr>
          <w:lang w:val="en"/>
        </w:rPr>
        <w:t>. While this paper is not focused on public housing, it would be worthwhile to review t</w:t>
      </w:r>
      <w:r w:rsidR="004A5ADE">
        <w:rPr>
          <w:lang w:val="en"/>
        </w:rPr>
        <w:t>hat, especially</w:t>
      </w:r>
      <w:r>
        <w:rPr>
          <w:lang w:val="en"/>
        </w:rPr>
        <w:t xml:space="preserve"> for the period 1990 – 2000.</w:t>
      </w:r>
      <w:r>
        <w:rPr>
          <w:rStyle w:val="FootnoteReference"/>
          <w:lang w:val="en"/>
        </w:rPr>
        <w:footnoteReference w:id="9"/>
      </w:r>
      <w:r>
        <w:rPr>
          <w:lang w:val="en"/>
        </w:rPr>
        <w:t xml:space="preserve"> </w:t>
      </w:r>
    </w:p>
    <w:p w14:paraId="0C493E9D" w14:textId="77777777" w:rsidR="00575485" w:rsidRDefault="00CD1C70" w:rsidP="003F11F4">
      <w:pPr>
        <w:jc w:val="both"/>
        <w:rPr>
          <w:lang w:val="en"/>
        </w:rPr>
      </w:pPr>
      <w:r>
        <w:rPr>
          <w:lang w:val="en"/>
        </w:rPr>
        <w:t xml:space="preserve">The proposal now seeks peer review of the data collection and analysis method, and </w:t>
      </w:r>
      <w:r w:rsidR="007D7EC4">
        <w:rPr>
          <w:lang w:val="en"/>
        </w:rPr>
        <w:t xml:space="preserve">a </w:t>
      </w:r>
      <w:r>
        <w:rPr>
          <w:lang w:val="en"/>
        </w:rPr>
        <w:t>more complete dataset. It would be interesting to</w:t>
      </w:r>
      <w:r w:rsidR="007D7EC4">
        <w:rPr>
          <w:lang w:val="en"/>
        </w:rPr>
        <w:t>,</w:t>
      </w:r>
      <w:r>
        <w:rPr>
          <w:lang w:val="en"/>
        </w:rPr>
        <w:t xml:space="preserve"> especially</w:t>
      </w:r>
      <w:r w:rsidR="007D7EC4">
        <w:rPr>
          <w:lang w:val="en"/>
        </w:rPr>
        <w:t>,</w:t>
      </w:r>
      <w:r>
        <w:rPr>
          <w:lang w:val="en"/>
        </w:rPr>
        <w:t xml:space="preserve"> receive </w:t>
      </w:r>
      <w:r w:rsidR="00B9603D">
        <w:rPr>
          <w:lang w:val="en"/>
        </w:rPr>
        <w:t xml:space="preserve">complete evictions and </w:t>
      </w:r>
      <w:r>
        <w:rPr>
          <w:lang w:val="en"/>
        </w:rPr>
        <w:t>preferential ren</w:t>
      </w:r>
      <w:r w:rsidR="00B9603D">
        <w:rPr>
          <w:lang w:val="en"/>
        </w:rPr>
        <w:t xml:space="preserve">t </w:t>
      </w:r>
      <w:r>
        <w:rPr>
          <w:lang w:val="en"/>
        </w:rPr>
        <w:t>data</w:t>
      </w:r>
      <w:r w:rsidR="007D7EC4">
        <w:rPr>
          <w:lang w:val="en"/>
        </w:rPr>
        <w:t xml:space="preserve"> to provide for comparative measurements o</w:t>
      </w:r>
      <w:r w:rsidR="00517720">
        <w:rPr>
          <w:lang w:val="en"/>
        </w:rPr>
        <w:t xml:space="preserve">n studying </w:t>
      </w:r>
      <w:r w:rsidR="00517720" w:rsidRPr="00517720">
        <w:rPr>
          <w:i/>
          <w:iCs/>
          <w:lang w:val="en"/>
        </w:rPr>
        <w:t xml:space="preserve">individual </w:t>
      </w:r>
      <w:r w:rsidR="007D7EC4" w:rsidRPr="00517720">
        <w:rPr>
          <w:i/>
          <w:iCs/>
          <w:lang w:val="en"/>
        </w:rPr>
        <w:t>neighborhoods experiencing displacement</w:t>
      </w:r>
      <w:r>
        <w:rPr>
          <w:lang w:val="en"/>
        </w:rPr>
        <w:t xml:space="preserve">. </w:t>
      </w:r>
    </w:p>
    <w:p w14:paraId="039A9F49" w14:textId="77777777" w:rsidR="00FB27C3" w:rsidRDefault="00CD1C70" w:rsidP="003F11F4">
      <w:pPr>
        <w:jc w:val="both"/>
        <w:rPr>
          <w:lang w:val="en"/>
        </w:rPr>
      </w:pPr>
      <w:r>
        <w:rPr>
          <w:lang w:val="en"/>
        </w:rPr>
        <w:t>As next steps, the proposal seeks to review these causality effects, systematically, at the neighborhood level</w:t>
      </w:r>
      <w:r w:rsidR="000E78E2">
        <w:rPr>
          <w:lang w:val="en"/>
        </w:rPr>
        <w:t>, especially for assembly and house of representatives</w:t>
      </w:r>
      <w:r w:rsidR="00FB27C3">
        <w:rPr>
          <w:lang w:val="en"/>
        </w:rPr>
        <w:t>. Those legislative bodies</w:t>
      </w:r>
      <w:r w:rsidR="000E78E2">
        <w:rPr>
          <w:lang w:val="en"/>
        </w:rPr>
        <w:t xml:space="preserve"> are closely linked to the district</w:t>
      </w:r>
      <w:r w:rsidR="003A7B59">
        <w:rPr>
          <w:lang w:val="en"/>
        </w:rPr>
        <w:t>s</w:t>
      </w:r>
      <w:r w:rsidR="000E78E2">
        <w:rPr>
          <w:lang w:val="en"/>
        </w:rPr>
        <w:t xml:space="preserve"> they represent</w:t>
      </w:r>
      <w:r>
        <w:rPr>
          <w:lang w:val="en"/>
        </w:rPr>
        <w:t xml:space="preserve">. </w:t>
      </w:r>
      <w:r w:rsidR="00871672">
        <w:rPr>
          <w:lang w:val="en"/>
        </w:rPr>
        <w:t>Data errors are also a concern, as campaign contribution data is collated differently</w:t>
      </w:r>
      <w:r w:rsidR="003A7B59">
        <w:rPr>
          <w:lang w:val="en"/>
        </w:rPr>
        <w:t xml:space="preserve"> based on source</w:t>
      </w:r>
      <w:r w:rsidR="0008336F">
        <w:rPr>
          <w:lang w:val="en"/>
        </w:rPr>
        <w:t>, so readily agreed upon dataset recommendations will be sought.</w:t>
      </w:r>
      <w:r w:rsidR="00FB27C3">
        <w:rPr>
          <w:lang w:val="en"/>
        </w:rPr>
        <w:t xml:space="preserve"> </w:t>
      </w:r>
      <w:r w:rsidR="00871672">
        <w:rPr>
          <w:lang w:val="en"/>
        </w:rPr>
        <w:t xml:space="preserve">Regardless, continued peer review will only improve the data, which should not </w:t>
      </w:r>
      <w:r w:rsidR="00A81C69">
        <w:rPr>
          <w:lang w:val="en"/>
        </w:rPr>
        <w:t>affect</w:t>
      </w:r>
      <w:r w:rsidR="00871672">
        <w:rPr>
          <w:lang w:val="en"/>
        </w:rPr>
        <w:t xml:space="preserve"> the causal relationships already identified for further study. </w:t>
      </w:r>
    </w:p>
    <w:p w14:paraId="56F57051" w14:textId="73BFAC44" w:rsidR="00A81C69" w:rsidRDefault="00A81C69" w:rsidP="003F11F4">
      <w:pPr>
        <w:jc w:val="both"/>
        <w:rPr>
          <w:lang w:val="en"/>
        </w:rPr>
      </w:pPr>
      <w:r>
        <w:rPr>
          <w:lang w:val="en"/>
        </w:rPr>
        <w:t xml:space="preserve">Based on initial impact of contributions on the </w:t>
      </w:r>
      <w:r w:rsidR="0008336F">
        <w:rPr>
          <w:i/>
          <w:iCs/>
          <w:lang w:val="en"/>
        </w:rPr>
        <w:t>Displacement variables</w:t>
      </w:r>
      <w:r>
        <w:rPr>
          <w:lang w:val="en"/>
        </w:rPr>
        <w:t>, a causal relationship was pursued to identify the impact of th</w:t>
      </w:r>
      <w:r w:rsidR="008D1BF6">
        <w:rPr>
          <w:lang w:val="en"/>
        </w:rPr>
        <w:t>ose</w:t>
      </w:r>
      <w:r w:rsidR="0008336F">
        <w:rPr>
          <w:lang w:val="en"/>
        </w:rPr>
        <w:t xml:space="preserve"> on the </w:t>
      </w:r>
      <w:r w:rsidR="0008336F">
        <w:rPr>
          <w:i/>
          <w:iCs/>
          <w:lang w:val="en"/>
        </w:rPr>
        <w:t>Affordability Crisis variables</w:t>
      </w:r>
      <w:r>
        <w:rPr>
          <w:lang w:val="en"/>
        </w:rPr>
        <w:t xml:space="preserve">, </w:t>
      </w:r>
      <w:r w:rsidR="000E78E2">
        <w:rPr>
          <w:lang w:val="en"/>
        </w:rPr>
        <w:t xml:space="preserve">which measure the impact of housing policy on </w:t>
      </w:r>
      <w:r w:rsidR="004A5ADE">
        <w:rPr>
          <w:lang w:val="en"/>
        </w:rPr>
        <w:t>households in real-time</w:t>
      </w:r>
      <w:r>
        <w:rPr>
          <w:lang w:val="en"/>
        </w:rPr>
        <w:t xml:space="preserve">. The table below summarizes these effects. </w:t>
      </w:r>
    </w:p>
    <w:p w14:paraId="312DD898" w14:textId="46DB0B45" w:rsidR="00633D35" w:rsidRDefault="00633D35" w:rsidP="003F11F4">
      <w:pPr>
        <w:jc w:val="both"/>
        <w:rPr>
          <w:lang w:val="en"/>
        </w:rPr>
      </w:pPr>
    </w:p>
    <w:p w14:paraId="1205D081" w14:textId="76141D6D" w:rsidR="00225050" w:rsidRPr="001C50BF" w:rsidRDefault="00225050" w:rsidP="003F11F4">
      <w:pPr>
        <w:jc w:val="both"/>
        <w:rPr>
          <w:i/>
          <w:iCs/>
          <w:lang w:val="en"/>
        </w:rPr>
      </w:pPr>
      <w:r w:rsidRPr="001C50BF">
        <w:rPr>
          <w:i/>
          <w:iCs/>
          <w:lang w:val="en"/>
        </w:rPr>
        <w:lastRenderedPageBreak/>
        <w:t xml:space="preserve">Effect of </w:t>
      </w:r>
      <w:r w:rsidRPr="006A235B">
        <w:rPr>
          <w:b/>
          <w:bCs/>
          <w:i/>
          <w:iCs/>
          <w:lang w:val="en"/>
        </w:rPr>
        <w:t>Independent Variables</w:t>
      </w:r>
      <w:r w:rsidR="004A5ADE" w:rsidRPr="006A235B">
        <w:rPr>
          <w:b/>
          <w:bCs/>
          <w:i/>
          <w:iCs/>
          <w:lang w:val="en"/>
        </w:rPr>
        <w:t xml:space="preserve"> [Displacement]</w:t>
      </w:r>
      <w:r w:rsidRPr="001C50BF">
        <w:rPr>
          <w:i/>
          <w:iCs/>
          <w:lang w:val="en"/>
        </w:rPr>
        <w:t xml:space="preserve"> on </w:t>
      </w:r>
      <w:r w:rsidRPr="006A235B">
        <w:rPr>
          <w:b/>
          <w:bCs/>
          <w:i/>
          <w:iCs/>
          <w:lang w:val="en"/>
        </w:rPr>
        <w:t xml:space="preserve">Dependent Variables </w:t>
      </w:r>
      <w:r w:rsidR="001C50BF" w:rsidRPr="006A235B">
        <w:rPr>
          <w:b/>
          <w:bCs/>
          <w:i/>
          <w:iCs/>
          <w:lang w:val="en"/>
        </w:rPr>
        <w:t>[Affordability Crisis]</w:t>
      </w:r>
    </w:p>
    <w:tbl>
      <w:tblPr>
        <w:tblStyle w:val="TableGrid"/>
        <w:tblW w:w="9900" w:type="dxa"/>
        <w:tblInd w:w="-275" w:type="dxa"/>
        <w:tblLook w:val="04A0" w:firstRow="1" w:lastRow="0" w:firstColumn="1" w:lastColumn="0" w:noHBand="0" w:noVBand="1"/>
      </w:tblPr>
      <w:tblGrid>
        <w:gridCol w:w="2673"/>
        <w:gridCol w:w="2480"/>
        <w:gridCol w:w="2480"/>
        <w:gridCol w:w="2267"/>
      </w:tblGrid>
      <w:tr w:rsidR="00A81C69" w:rsidRPr="008E4CDF" w14:paraId="6F785AF8" w14:textId="77777777" w:rsidTr="00C8027E">
        <w:tc>
          <w:tcPr>
            <w:tcW w:w="2673" w:type="dxa"/>
          </w:tcPr>
          <w:p w14:paraId="0ED4077E" w14:textId="7F0B73E3" w:rsidR="00A81C69" w:rsidRPr="008E4CDF" w:rsidRDefault="004951E8" w:rsidP="00391787">
            <w:pPr>
              <w:jc w:val="center"/>
              <w:rPr>
                <w:rFonts w:cstheme="minorHAnsi"/>
                <w:b/>
                <w:bCs/>
                <w:sz w:val="18"/>
                <w:szCs w:val="18"/>
              </w:rPr>
            </w:pPr>
            <w:r>
              <w:rPr>
                <w:rFonts w:cstheme="minorHAnsi"/>
                <w:b/>
                <w:bCs/>
                <w:sz w:val="18"/>
                <w:szCs w:val="18"/>
              </w:rPr>
              <w:t>Affordability Crisis</w:t>
            </w:r>
            <w:r w:rsidR="00A81C69" w:rsidRPr="008E4CDF">
              <w:rPr>
                <w:rFonts w:cstheme="minorHAnsi"/>
                <w:b/>
                <w:bCs/>
                <w:sz w:val="18"/>
                <w:szCs w:val="18"/>
              </w:rPr>
              <w:t xml:space="preserve"> Variable</w:t>
            </w:r>
          </w:p>
        </w:tc>
        <w:tc>
          <w:tcPr>
            <w:tcW w:w="2480" w:type="dxa"/>
          </w:tcPr>
          <w:p w14:paraId="77302318" w14:textId="1D49CF2F" w:rsidR="00A81C69" w:rsidRPr="008E4CDF" w:rsidRDefault="00A81C69" w:rsidP="00391787">
            <w:pPr>
              <w:jc w:val="center"/>
              <w:rPr>
                <w:rFonts w:cstheme="minorHAnsi"/>
                <w:b/>
                <w:bCs/>
                <w:sz w:val="18"/>
                <w:szCs w:val="18"/>
              </w:rPr>
            </w:pPr>
            <w:r w:rsidRPr="008E4CDF">
              <w:rPr>
                <w:rFonts w:cstheme="minorHAnsi"/>
                <w:b/>
                <w:bCs/>
                <w:sz w:val="18"/>
                <w:szCs w:val="18"/>
              </w:rPr>
              <w:t>Poverty Rate</w:t>
            </w:r>
          </w:p>
        </w:tc>
        <w:tc>
          <w:tcPr>
            <w:tcW w:w="2480" w:type="dxa"/>
          </w:tcPr>
          <w:p w14:paraId="0CBF4403" w14:textId="19992996" w:rsidR="00A81C69" w:rsidRPr="008E4CDF" w:rsidRDefault="00A81C69" w:rsidP="00391787">
            <w:pPr>
              <w:jc w:val="center"/>
              <w:rPr>
                <w:rFonts w:cstheme="minorHAnsi"/>
                <w:b/>
                <w:bCs/>
                <w:sz w:val="18"/>
                <w:szCs w:val="18"/>
              </w:rPr>
            </w:pPr>
            <w:r w:rsidRPr="008E4CDF">
              <w:rPr>
                <w:rFonts w:cstheme="minorHAnsi"/>
                <w:b/>
                <w:bCs/>
                <w:sz w:val="18"/>
                <w:szCs w:val="18"/>
              </w:rPr>
              <w:t>Median Household Inc</w:t>
            </w:r>
          </w:p>
        </w:tc>
        <w:tc>
          <w:tcPr>
            <w:tcW w:w="2267" w:type="dxa"/>
          </w:tcPr>
          <w:p w14:paraId="20A0D6F9" w14:textId="6EE97B5D" w:rsidR="00A81C69" w:rsidRPr="008E4CDF" w:rsidRDefault="00A81C69" w:rsidP="00391787">
            <w:pPr>
              <w:jc w:val="center"/>
              <w:rPr>
                <w:rFonts w:cstheme="minorHAnsi"/>
                <w:b/>
                <w:bCs/>
                <w:sz w:val="18"/>
                <w:szCs w:val="18"/>
              </w:rPr>
            </w:pPr>
            <w:r w:rsidRPr="008E4CDF">
              <w:rPr>
                <w:rFonts w:cstheme="minorHAnsi"/>
                <w:b/>
                <w:bCs/>
                <w:sz w:val="18"/>
                <w:szCs w:val="18"/>
              </w:rPr>
              <w:t>Median Prop Value</w:t>
            </w:r>
          </w:p>
        </w:tc>
      </w:tr>
      <w:tr w:rsidR="000B732E" w:rsidRPr="008E4CDF" w14:paraId="17321549" w14:textId="77777777" w:rsidTr="00C8027E">
        <w:tc>
          <w:tcPr>
            <w:tcW w:w="2673" w:type="dxa"/>
          </w:tcPr>
          <w:p w14:paraId="7746BEB2" w14:textId="60E06FD0" w:rsidR="000B732E" w:rsidRPr="008E4CDF" w:rsidRDefault="000B732E" w:rsidP="000B732E">
            <w:pPr>
              <w:rPr>
                <w:rFonts w:cstheme="minorHAnsi"/>
                <w:color w:val="2F5496" w:themeColor="accent1" w:themeShade="BF"/>
                <w:sz w:val="18"/>
                <w:szCs w:val="18"/>
              </w:rPr>
            </w:pPr>
            <w:r w:rsidRPr="008E4CDF">
              <w:rPr>
                <w:rFonts w:cstheme="minorHAnsi"/>
                <w:color w:val="2F5496" w:themeColor="accent1" w:themeShade="BF"/>
                <w:sz w:val="18"/>
                <w:szCs w:val="18"/>
              </w:rPr>
              <w:t>Evictions (+)</w:t>
            </w:r>
            <w:r>
              <w:rPr>
                <w:rFonts w:cstheme="minorHAnsi"/>
                <w:color w:val="2F5496" w:themeColor="accent1" w:themeShade="BF"/>
                <w:sz w:val="18"/>
                <w:szCs w:val="18"/>
              </w:rPr>
              <w:t xml:space="preserve"> </w:t>
            </w:r>
            <w:r w:rsidR="00826900">
              <w:rPr>
                <w:rFonts w:cstheme="minorHAnsi"/>
                <w:color w:val="2F5496" w:themeColor="accent1" w:themeShade="BF"/>
                <w:sz w:val="18"/>
                <w:szCs w:val="18"/>
              </w:rPr>
              <w:t>[</w:t>
            </w:r>
            <w:r>
              <w:rPr>
                <w:rFonts w:cstheme="minorHAnsi"/>
                <w:color w:val="2F5496" w:themeColor="accent1" w:themeShade="BF"/>
                <w:sz w:val="18"/>
                <w:szCs w:val="18"/>
              </w:rPr>
              <w:t>Missing Data</w:t>
            </w:r>
            <w:r w:rsidR="00826900">
              <w:rPr>
                <w:rFonts w:cstheme="minorHAnsi"/>
                <w:color w:val="2F5496" w:themeColor="accent1" w:themeShade="BF"/>
                <w:sz w:val="18"/>
                <w:szCs w:val="18"/>
              </w:rPr>
              <w:t>]</w:t>
            </w:r>
          </w:p>
        </w:tc>
        <w:tc>
          <w:tcPr>
            <w:tcW w:w="2480" w:type="dxa"/>
          </w:tcPr>
          <w:p w14:paraId="700EB45D" w14:textId="333ADD33" w:rsidR="000B732E" w:rsidRPr="00C72020" w:rsidRDefault="00E163D0" w:rsidP="000B732E">
            <w:pPr>
              <w:rPr>
                <w:rFonts w:cstheme="minorHAnsi"/>
                <w:sz w:val="18"/>
                <w:szCs w:val="18"/>
              </w:rPr>
            </w:pPr>
            <w:r w:rsidRPr="00C72020">
              <w:rPr>
                <w:rFonts w:cstheme="minorHAnsi"/>
                <w:sz w:val="18"/>
                <w:szCs w:val="18"/>
              </w:rPr>
              <w:t>p= .072</w:t>
            </w:r>
          </w:p>
        </w:tc>
        <w:tc>
          <w:tcPr>
            <w:tcW w:w="2480" w:type="dxa"/>
          </w:tcPr>
          <w:p w14:paraId="7F2A3DCE" w14:textId="560605B6" w:rsidR="000B732E" w:rsidRPr="008E4CDF" w:rsidRDefault="000B732E" w:rsidP="000B732E">
            <w:pPr>
              <w:rPr>
                <w:rFonts w:cstheme="minorHAnsi"/>
                <w:sz w:val="18"/>
                <w:szCs w:val="18"/>
              </w:rPr>
            </w:pPr>
            <w:r w:rsidRPr="008E4CDF">
              <w:rPr>
                <w:sz w:val="18"/>
                <w:szCs w:val="18"/>
              </w:rPr>
              <w:t>NULL EFFECT</w:t>
            </w:r>
          </w:p>
        </w:tc>
        <w:tc>
          <w:tcPr>
            <w:tcW w:w="2267" w:type="dxa"/>
          </w:tcPr>
          <w:p w14:paraId="129208F1" w14:textId="3DA55924" w:rsidR="000B732E" w:rsidRPr="008E4CDF" w:rsidRDefault="000B732E" w:rsidP="000B732E">
            <w:pPr>
              <w:rPr>
                <w:rFonts w:cstheme="minorHAnsi"/>
                <w:sz w:val="18"/>
                <w:szCs w:val="18"/>
              </w:rPr>
            </w:pPr>
            <w:r w:rsidRPr="008E4CDF">
              <w:rPr>
                <w:sz w:val="18"/>
                <w:szCs w:val="18"/>
              </w:rPr>
              <w:t>NULL EFFECT</w:t>
            </w:r>
          </w:p>
        </w:tc>
      </w:tr>
      <w:tr w:rsidR="000B732E" w:rsidRPr="008E4CDF" w14:paraId="438EB536" w14:textId="77777777" w:rsidTr="00C8027E">
        <w:tc>
          <w:tcPr>
            <w:tcW w:w="2673" w:type="dxa"/>
          </w:tcPr>
          <w:p w14:paraId="7767601E" w14:textId="46E228C5" w:rsidR="000B732E" w:rsidRPr="008E4CDF" w:rsidRDefault="000B732E" w:rsidP="000B732E">
            <w:pPr>
              <w:rPr>
                <w:rFonts w:cstheme="minorHAnsi"/>
                <w:color w:val="2F5496" w:themeColor="accent1" w:themeShade="BF"/>
                <w:sz w:val="18"/>
                <w:szCs w:val="18"/>
              </w:rPr>
            </w:pPr>
            <w:r w:rsidRPr="008E4CDF">
              <w:rPr>
                <w:rFonts w:cstheme="minorHAnsi"/>
                <w:color w:val="2F5496" w:themeColor="accent1" w:themeShade="BF"/>
                <w:sz w:val="18"/>
                <w:szCs w:val="18"/>
              </w:rPr>
              <w:t>Evictions Filings (+)</w:t>
            </w:r>
          </w:p>
        </w:tc>
        <w:tc>
          <w:tcPr>
            <w:tcW w:w="2480" w:type="dxa"/>
          </w:tcPr>
          <w:p w14:paraId="53DF4D7E" w14:textId="204F0F07" w:rsidR="000B732E" w:rsidRPr="008E4CDF" w:rsidRDefault="000B732E" w:rsidP="000B732E">
            <w:pPr>
              <w:rPr>
                <w:rFonts w:cstheme="minorHAnsi"/>
                <w:color w:val="FF0000"/>
                <w:sz w:val="18"/>
                <w:szCs w:val="18"/>
              </w:rPr>
            </w:pPr>
            <w:r>
              <w:rPr>
                <w:color w:val="2F5496" w:themeColor="accent1" w:themeShade="BF"/>
                <w:sz w:val="18"/>
                <w:szCs w:val="18"/>
              </w:rPr>
              <w:t>p= .008**</w:t>
            </w:r>
          </w:p>
        </w:tc>
        <w:tc>
          <w:tcPr>
            <w:tcW w:w="2480" w:type="dxa"/>
          </w:tcPr>
          <w:p w14:paraId="38ACB882" w14:textId="1158EBC0" w:rsidR="000B732E" w:rsidRPr="008E4CDF" w:rsidRDefault="000B732E" w:rsidP="000B732E">
            <w:pPr>
              <w:rPr>
                <w:rFonts w:cstheme="minorHAnsi"/>
                <w:color w:val="FF0000"/>
                <w:sz w:val="18"/>
                <w:szCs w:val="18"/>
              </w:rPr>
            </w:pPr>
            <w:r w:rsidRPr="008E4CDF">
              <w:rPr>
                <w:sz w:val="18"/>
                <w:szCs w:val="18"/>
              </w:rPr>
              <w:t>NULL EFFECT</w:t>
            </w:r>
          </w:p>
        </w:tc>
        <w:tc>
          <w:tcPr>
            <w:tcW w:w="2267" w:type="dxa"/>
          </w:tcPr>
          <w:p w14:paraId="552F35FB" w14:textId="146A6365" w:rsidR="000B732E" w:rsidRPr="008E4CDF" w:rsidRDefault="000B732E" w:rsidP="000B732E">
            <w:pPr>
              <w:rPr>
                <w:rFonts w:cstheme="minorHAnsi"/>
                <w:color w:val="2F5496" w:themeColor="accent1" w:themeShade="BF"/>
                <w:sz w:val="18"/>
                <w:szCs w:val="18"/>
              </w:rPr>
            </w:pPr>
            <w:r w:rsidRPr="008E4CDF">
              <w:rPr>
                <w:sz w:val="18"/>
                <w:szCs w:val="18"/>
              </w:rPr>
              <w:t>NULL EFFECT</w:t>
            </w:r>
          </w:p>
        </w:tc>
      </w:tr>
      <w:tr w:rsidR="000B732E" w:rsidRPr="008E4CDF" w14:paraId="4A1D8FE5" w14:textId="77777777" w:rsidTr="00C8027E">
        <w:tc>
          <w:tcPr>
            <w:tcW w:w="2673" w:type="dxa"/>
          </w:tcPr>
          <w:p w14:paraId="54CAAD0F" w14:textId="621A7629" w:rsidR="000B732E" w:rsidRPr="008E4CDF" w:rsidRDefault="000B732E" w:rsidP="000B732E">
            <w:pPr>
              <w:rPr>
                <w:rFonts w:cstheme="minorHAnsi"/>
                <w:color w:val="2F5496" w:themeColor="accent1" w:themeShade="BF"/>
                <w:sz w:val="18"/>
                <w:szCs w:val="18"/>
              </w:rPr>
            </w:pPr>
            <w:r>
              <w:rPr>
                <w:rFonts w:cstheme="minorHAnsi"/>
                <w:color w:val="2F5496" w:themeColor="accent1" w:themeShade="BF"/>
                <w:sz w:val="18"/>
                <w:szCs w:val="18"/>
              </w:rPr>
              <w:t>Rent Burden (+)</w:t>
            </w:r>
          </w:p>
        </w:tc>
        <w:tc>
          <w:tcPr>
            <w:tcW w:w="2480" w:type="dxa"/>
          </w:tcPr>
          <w:p w14:paraId="7E5E0D7C" w14:textId="3884B114" w:rsidR="000B732E" w:rsidRPr="008E4CDF" w:rsidRDefault="000B732E" w:rsidP="000B732E">
            <w:pPr>
              <w:rPr>
                <w:rFonts w:cstheme="minorHAnsi"/>
                <w:color w:val="2F5496" w:themeColor="accent1" w:themeShade="BF"/>
                <w:sz w:val="18"/>
                <w:szCs w:val="18"/>
              </w:rPr>
            </w:pPr>
            <w:r>
              <w:rPr>
                <w:color w:val="2F5496" w:themeColor="accent1" w:themeShade="BF"/>
                <w:sz w:val="18"/>
                <w:szCs w:val="18"/>
              </w:rPr>
              <w:t>p= .006**</w:t>
            </w:r>
          </w:p>
        </w:tc>
        <w:tc>
          <w:tcPr>
            <w:tcW w:w="2480" w:type="dxa"/>
          </w:tcPr>
          <w:p w14:paraId="7938439B" w14:textId="01BF1564" w:rsidR="000B732E" w:rsidRPr="008E4CDF" w:rsidRDefault="000B732E" w:rsidP="000B732E">
            <w:pPr>
              <w:rPr>
                <w:rFonts w:cstheme="minorHAnsi"/>
                <w:sz w:val="18"/>
                <w:szCs w:val="18"/>
              </w:rPr>
            </w:pPr>
            <w:r>
              <w:rPr>
                <w:color w:val="2F5496" w:themeColor="accent1" w:themeShade="BF"/>
                <w:sz w:val="18"/>
                <w:szCs w:val="18"/>
              </w:rPr>
              <w:t>p= .025*</w:t>
            </w:r>
          </w:p>
        </w:tc>
        <w:tc>
          <w:tcPr>
            <w:tcW w:w="2267" w:type="dxa"/>
          </w:tcPr>
          <w:p w14:paraId="7E86915C" w14:textId="1AA45035" w:rsidR="000B732E" w:rsidRPr="008E4CDF" w:rsidRDefault="000B732E" w:rsidP="000B732E">
            <w:pPr>
              <w:rPr>
                <w:rFonts w:cstheme="minorHAnsi"/>
                <w:sz w:val="18"/>
                <w:szCs w:val="18"/>
              </w:rPr>
            </w:pPr>
            <w:r>
              <w:rPr>
                <w:color w:val="2F5496" w:themeColor="accent1" w:themeShade="BF"/>
                <w:sz w:val="18"/>
                <w:szCs w:val="18"/>
              </w:rPr>
              <w:t>p= .034*</w:t>
            </w:r>
          </w:p>
        </w:tc>
      </w:tr>
      <w:tr w:rsidR="000B732E" w:rsidRPr="008E4CDF" w14:paraId="7CB6EC76" w14:textId="77777777" w:rsidTr="00C8027E">
        <w:tc>
          <w:tcPr>
            <w:tcW w:w="2673" w:type="dxa"/>
          </w:tcPr>
          <w:p w14:paraId="7718726A" w14:textId="6764231A" w:rsidR="000B732E" w:rsidRPr="008E4CDF" w:rsidRDefault="000B732E" w:rsidP="000B732E">
            <w:pPr>
              <w:rPr>
                <w:rFonts w:cstheme="minorHAnsi"/>
                <w:color w:val="2F5496" w:themeColor="accent1" w:themeShade="BF"/>
                <w:sz w:val="18"/>
                <w:szCs w:val="18"/>
              </w:rPr>
            </w:pPr>
            <w:r>
              <w:rPr>
                <w:rFonts w:cstheme="minorHAnsi"/>
                <w:color w:val="2F5496" w:themeColor="accent1" w:themeShade="BF"/>
                <w:sz w:val="18"/>
                <w:szCs w:val="18"/>
              </w:rPr>
              <w:t>Median Gross Rent (+)</w:t>
            </w:r>
          </w:p>
        </w:tc>
        <w:tc>
          <w:tcPr>
            <w:tcW w:w="2480" w:type="dxa"/>
          </w:tcPr>
          <w:p w14:paraId="7FEA44FE" w14:textId="6E224375" w:rsidR="000B732E" w:rsidRPr="008E4CDF" w:rsidRDefault="000B732E" w:rsidP="000B732E">
            <w:pPr>
              <w:rPr>
                <w:rFonts w:cstheme="minorHAnsi"/>
                <w:i/>
                <w:iCs/>
                <w:sz w:val="18"/>
                <w:szCs w:val="18"/>
              </w:rPr>
            </w:pPr>
            <w:r>
              <w:rPr>
                <w:color w:val="2F5496" w:themeColor="accent1" w:themeShade="BF"/>
                <w:sz w:val="18"/>
                <w:szCs w:val="18"/>
              </w:rPr>
              <w:t>p= .002**</w:t>
            </w:r>
          </w:p>
        </w:tc>
        <w:tc>
          <w:tcPr>
            <w:tcW w:w="2480" w:type="dxa"/>
          </w:tcPr>
          <w:p w14:paraId="5965B830" w14:textId="137250E7" w:rsidR="000B732E" w:rsidRPr="008E4CDF" w:rsidRDefault="000B732E" w:rsidP="000B732E">
            <w:pPr>
              <w:rPr>
                <w:rFonts w:cstheme="minorHAnsi"/>
                <w:i/>
                <w:iCs/>
                <w:sz w:val="18"/>
                <w:szCs w:val="18"/>
              </w:rPr>
            </w:pPr>
            <w:r w:rsidRPr="008E4CDF">
              <w:rPr>
                <w:sz w:val="18"/>
                <w:szCs w:val="18"/>
              </w:rPr>
              <w:t>NULL EFFECT</w:t>
            </w:r>
          </w:p>
        </w:tc>
        <w:tc>
          <w:tcPr>
            <w:tcW w:w="2267" w:type="dxa"/>
          </w:tcPr>
          <w:p w14:paraId="2E57E347" w14:textId="379D748D" w:rsidR="000B732E" w:rsidRPr="008E4CDF" w:rsidRDefault="000B732E" w:rsidP="000B732E">
            <w:pPr>
              <w:rPr>
                <w:rFonts w:cstheme="minorHAnsi"/>
                <w:i/>
                <w:iCs/>
                <w:sz w:val="18"/>
                <w:szCs w:val="18"/>
              </w:rPr>
            </w:pPr>
            <w:r w:rsidRPr="008E4CDF">
              <w:rPr>
                <w:sz w:val="18"/>
                <w:szCs w:val="18"/>
              </w:rPr>
              <w:t>NULL EFFECT</w:t>
            </w:r>
          </w:p>
        </w:tc>
      </w:tr>
      <w:tr w:rsidR="000B732E" w:rsidRPr="008E4CDF" w14:paraId="234C4896" w14:textId="77777777" w:rsidTr="00C8027E">
        <w:tc>
          <w:tcPr>
            <w:tcW w:w="2673" w:type="dxa"/>
          </w:tcPr>
          <w:p w14:paraId="38C56B73" w14:textId="11EFED7D" w:rsidR="000B732E" w:rsidRPr="008E4CDF" w:rsidRDefault="000B732E" w:rsidP="000B732E">
            <w:pPr>
              <w:rPr>
                <w:rFonts w:cstheme="minorHAnsi"/>
                <w:color w:val="2F5496" w:themeColor="accent1" w:themeShade="BF"/>
                <w:sz w:val="18"/>
                <w:szCs w:val="18"/>
              </w:rPr>
            </w:pPr>
            <w:r w:rsidRPr="008E4CDF">
              <w:rPr>
                <w:rFonts w:cstheme="minorHAnsi"/>
                <w:color w:val="2F5496" w:themeColor="accent1" w:themeShade="BF"/>
                <w:sz w:val="18"/>
                <w:szCs w:val="18"/>
              </w:rPr>
              <w:t>Preferential Rent (+)</w:t>
            </w:r>
          </w:p>
        </w:tc>
        <w:tc>
          <w:tcPr>
            <w:tcW w:w="2480" w:type="dxa"/>
          </w:tcPr>
          <w:p w14:paraId="08B7FCB6" w14:textId="412CF0D0" w:rsidR="000B732E" w:rsidRPr="008E4CDF" w:rsidRDefault="000B732E" w:rsidP="000B732E">
            <w:pPr>
              <w:rPr>
                <w:rFonts w:cstheme="minorHAnsi"/>
                <w:i/>
                <w:iCs/>
                <w:sz w:val="18"/>
                <w:szCs w:val="18"/>
              </w:rPr>
            </w:pPr>
            <w:r w:rsidRPr="008E4CDF">
              <w:rPr>
                <w:rFonts w:cstheme="minorHAnsi"/>
                <w:i/>
                <w:iCs/>
                <w:sz w:val="18"/>
                <w:szCs w:val="18"/>
              </w:rPr>
              <w:t>NEED MORE DATA</w:t>
            </w:r>
          </w:p>
        </w:tc>
        <w:tc>
          <w:tcPr>
            <w:tcW w:w="2480" w:type="dxa"/>
          </w:tcPr>
          <w:p w14:paraId="1566951B" w14:textId="2343750F" w:rsidR="000B732E" w:rsidRPr="008E4CDF" w:rsidRDefault="000B732E" w:rsidP="000B732E">
            <w:pPr>
              <w:rPr>
                <w:rFonts w:cstheme="minorHAnsi"/>
                <w:i/>
                <w:iCs/>
                <w:sz w:val="18"/>
                <w:szCs w:val="18"/>
              </w:rPr>
            </w:pPr>
            <w:r w:rsidRPr="008E4CDF">
              <w:rPr>
                <w:rFonts w:cstheme="minorHAnsi"/>
                <w:i/>
                <w:iCs/>
                <w:sz w:val="18"/>
                <w:szCs w:val="18"/>
              </w:rPr>
              <w:t>NEED MORE DATA</w:t>
            </w:r>
          </w:p>
        </w:tc>
        <w:tc>
          <w:tcPr>
            <w:tcW w:w="2267" w:type="dxa"/>
          </w:tcPr>
          <w:p w14:paraId="1B72EF1F" w14:textId="21DEA8DE" w:rsidR="000B732E" w:rsidRPr="008E4CDF" w:rsidRDefault="000B732E" w:rsidP="000B732E">
            <w:pPr>
              <w:rPr>
                <w:rFonts w:cstheme="minorHAnsi"/>
                <w:i/>
                <w:iCs/>
                <w:sz w:val="18"/>
                <w:szCs w:val="18"/>
              </w:rPr>
            </w:pPr>
            <w:r w:rsidRPr="008E4CDF">
              <w:rPr>
                <w:rFonts w:cstheme="minorHAnsi"/>
                <w:i/>
                <w:iCs/>
                <w:sz w:val="18"/>
                <w:szCs w:val="18"/>
              </w:rPr>
              <w:t>NEED MORE DATA</w:t>
            </w:r>
          </w:p>
        </w:tc>
      </w:tr>
    </w:tbl>
    <w:tbl>
      <w:tblPr>
        <w:tblStyle w:val="TableGrid"/>
        <w:tblpPr w:leftFromText="180" w:rightFromText="180" w:vertAnchor="text" w:horzAnchor="margin" w:tblpXSpec="center" w:tblpY="930"/>
        <w:tblW w:w="9990" w:type="dxa"/>
        <w:tblLook w:val="04A0" w:firstRow="1" w:lastRow="0" w:firstColumn="1" w:lastColumn="0" w:noHBand="0" w:noVBand="1"/>
      </w:tblPr>
      <w:tblGrid>
        <w:gridCol w:w="2564"/>
        <w:gridCol w:w="2079"/>
        <w:gridCol w:w="1968"/>
        <w:gridCol w:w="1669"/>
        <w:gridCol w:w="1710"/>
      </w:tblGrid>
      <w:tr w:rsidR="00FA4F82" w:rsidRPr="001336C7" w14:paraId="482A43EA" w14:textId="77777777" w:rsidTr="00FA4F82">
        <w:tc>
          <w:tcPr>
            <w:tcW w:w="2564" w:type="dxa"/>
          </w:tcPr>
          <w:p w14:paraId="766D6641" w14:textId="77777777" w:rsidR="00FA4F82" w:rsidRPr="008E4CDF" w:rsidRDefault="00FA4F82" w:rsidP="00FA4F82">
            <w:pPr>
              <w:jc w:val="center"/>
              <w:rPr>
                <w:b/>
                <w:bCs/>
                <w:sz w:val="18"/>
                <w:szCs w:val="18"/>
              </w:rPr>
            </w:pPr>
            <w:r w:rsidRPr="008E4CDF">
              <w:rPr>
                <w:b/>
                <w:bCs/>
                <w:sz w:val="18"/>
                <w:szCs w:val="18"/>
              </w:rPr>
              <w:t>Moderator</w:t>
            </w:r>
          </w:p>
        </w:tc>
        <w:tc>
          <w:tcPr>
            <w:tcW w:w="2079" w:type="dxa"/>
          </w:tcPr>
          <w:p w14:paraId="5DF8C705" w14:textId="77777777" w:rsidR="00FA4F82" w:rsidRPr="008E4CDF" w:rsidRDefault="00FA4F82" w:rsidP="00FA4F82">
            <w:pPr>
              <w:jc w:val="center"/>
              <w:rPr>
                <w:b/>
                <w:bCs/>
                <w:sz w:val="18"/>
                <w:szCs w:val="18"/>
              </w:rPr>
            </w:pPr>
            <w:r>
              <w:rPr>
                <w:b/>
                <w:bCs/>
                <w:sz w:val="18"/>
                <w:szCs w:val="18"/>
              </w:rPr>
              <w:t>Evictions – missing data</w:t>
            </w:r>
          </w:p>
        </w:tc>
        <w:tc>
          <w:tcPr>
            <w:tcW w:w="1968" w:type="dxa"/>
          </w:tcPr>
          <w:p w14:paraId="2BF7EAF3" w14:textId="77777777" w:rsidR="00FA4F82" w:rsidRPr="008E4CDF" w:rsidRDefault="00FA4F82" w:rsidP="00FA4F82">
            <w:pPr>
              <w:jc w:val="center"/>
              <w:rPr>
                <w:b/>
                <w:bCs/>
                <w:sz w:val="18"/>
                <w:szCs w:val="18"/>
              </w:rPr>
            </w:pPr>
            <w:r>
              <w:rPr>
                <w:b/>
                <w:bCs/>
                <w:sz w:val="18"/>
                <w:szCs w:val="18"/>
              </w:rPr>
              <w:t>Evictions Filings</w:t>
            </w:r>
          </w:p>
        </w:tc>
        <w:tc>
          <w:tcPr>
            <w:tcW w:w="1669" w:type="dxa"/>
          </w:tcPr>
          <w:p w14:paraId="60FD47D7" w14:textId="77777777" w:rsidR="00FA4F82" w:rsidRPr="008E4CDF" w:rsidRDefault="00FA4F82" w:rsidP="00FA4F82">
            <w:pPr>
              <w:jc w:val="center"/>
              <w:rPr>
                <w:b/>
                <w:bCs/>
                <w:sz w:val="18"/>
                <w:szCs w:val="18"/>
              </w:rPr>
            </w:pPr>
            <w:r>
              <w:rPr>
                <w:b/>
                <w:bCs/>
                <w:sz w:val="18"/>
                <w:szCs w:val="18"/>
              </w:rPr>
              <w:t>Rent Burden</w:t>
            </w:r>
          </w:p>
        </w:tc>
        <w:tc>
          <w:tcPr>
            <w:tcW w:w="1710" w:type="dxa"/>
          </w:tcPr>
          <w:p w14:paraId="6FB9DB98" w14:textId="77777777" w:rsidR="00FA4F82" w:rsidRDefault="00FA4F82" w:rsidP="00FA4F82">
            <w:pPr>
              <w:jc w:val="center"/>
              <w:rPr>
                <w:b/>
                <w:bCs/>
                <w:sz w:val="18"/>
                <w:szCs w:val="18"/>
              </w:rPr>
            </w:pPr>
            <w:r>
              <w:rPr>
                <w:b/>
                <w:bCs/>
                <w:sz w:val="18"/>
                <w:szCs w:val="18"/>
              </w:rPr>
              <w:t>Median Gross Rent</w:t>
            </w:r>
          </w:p>
        </w:tc>
      </w:tr>
      <w:tr w:rsidR="00FA4F82" w:rsidRPr="00036863" w14:paraId="418D1C67" w14:textId="77777777" w:rsidTr="00FA4F82">
        <w:tc>
          <w:tcPr>
            <w:tcW w:w="2564" w:type="dxa"/>
          </w:tcPr>
          <w:p w14:paraId="187C3EDA" w14:textId="77777777" w:rsidR="00FA4F82" w:rsidRPr="008E4CDF" w:rsidRDefault="00FA4F82" w:rsidP="00FA4F82">
            <w:pPr>
              <w:rPr>
                <w:color w:val="FF0000"/>
                <w:sz w:val="18"/>
                <w:szCs w:val="18"/>
              </w:rPr>
            </w:pPr>
            <w:r w:rsidRPr="008E4CDF">
              <w:rPr>
                <w:color w:val="FF0000"/>
                <w:sz w:val="18"/>
                <w:szCs w:val="18"/>
              </w:rPr>
              <w:t>Black (-)</w:t>
            </w:r>
          </w:p>
        </w:tc>
        <w:tc>
          <w:tcPr>
            <w:tcW w:w="2079" w:type="dxa"/>
          </w:tcPr>
          <w:p w14:paraId="7183F8AD" w14:textId="77777777" w:rsidR="00FA4F82" w:rsidRPr="008E4CDF" w:rsidRDefault="00FA4F82" w:rsidP="00FA4F82">
            <w:pPr>
              <w:rPr>
                <w:color w:val="2F5496" w:themeColor="accent1" w:themeShade="BF"/>
                <w:sz w:val="18"/>
                <w:szCs w:val="18"/>
              </w:rPr>
            </w:pPr>
            <w:r>
              <w:rPr>
                <w:color w:val="FF0000"/>
                <w:sz w:val="18"/>
                <w:szCs w:val="18"/>
              </w:rPr>
              <w:t>p= .041*</w:t>
            </w:r>
          </w:p>
        </w:tc>
        <w:tc>
          <w:tcPr>
            <w:tcW w:w="1968" w:type="dxa"/>
          </w:tcPr>
          <w:p w14:paraId="6EE7E9A0" w14:textId="77777777" w:rsidR="00FA4F82" w:rsidRPr="008E4CDF" w:rsidRDefault="00FA4F82" w:rsidP="00FA4F82">
            <w:pPr>
              <w:rPr>
                <w:sz w:val="18"/>
                <w:szCs w:val="18"/>
              </w:rPr>
            </w:pPr>
            <w:r>
              <w:rPr>
                <w:color w:val="FF0000"/>
                <w:sz w:val="18"/>
                <w:szCs w:val="18"/>
              </w:rPr>
              <w:t>p= .003**</w:t>
            </w:r>
          </w:p>
        </w:tc>
        <w:tc>
          <w:tcPr>
            <w:tcW w:w="1669" w:type="dxa"/>
          </w:tcPr>
          <w:p w14:paraId="51FA84CD" w14:textId="77777777" w:rsidR="00FA4F82" w:rsidRPr="008E4CDF" w:rsidRDefault="00FA4F82" w:rsidP="00FA4F82">
            <w:pPr>
              <w:rPr>
                <w:color w:val="2F5496" w:themeColor="accent1" w:themeShade="BF"/>
                <w:sz w:val="18"/>
                <w:szCs w:val="18"/>
              </w:rPr>
            </w:pPr>
            <w:r>
              <w:rPr>
                <w:color w:val="FF0000"/>
                <w:sz w:val="18"/>
                <w:szCs w:val="18"/>
              </w:rPr>
              <w:t>p= .000**</w:t>
            </w:r>
          </w:p>
        </w:tc>
        <w:tc>
          <w:tcPr>
            <w:tcW w:w="1710" w:type="dxa"/>
          </w:tcPr>
          <w:p w14:paraId="12C5990C" w14:textId="77777777" w:rsidR="00FA4F82" w:rsidRDefault="00FA4F82" w:rsidP="00FA4F82">
            <w:pPr>
              <w:rPr>
                <w:color w:val="FF0000"/>
                <w:sz w:val="18"/>
                <w:szCs w:val="18"/>
              </w:rPr>
            </w:pPr>
            <w:r>
              <w:rPr>
                <w:color w:val="FF0000"/>
                <w:sz w:val="18"/>
                <w:szCs w:val="18"/>
              </w:rPr>
              <w:t>p= .000**</w:t>
            </w:r>
          </w:p>
        </w:tc>
      </w:tr>
      <w:tr w:rsidR="00FA4F82" w:rsidRPr="00036863" w14:paraId="1DE5C0BF" w14:textId="77777777" w:rsidTr="00FA4F82">
        <w:tc>
          <w:tcPr>
            <w:tcW w:w="2564" w:type="dxa"/>
          </w:tcPr>
          <w:p w14:paraId="5D877A5A" w14:textId="77777777" w:rsidR="00FA4F82" w:rsidRPr="008E4CDF" w:rsidRDefault="00FA4F82" w:rsidP="00FA4F82">
            <w:pPr>
              <w:rPr>
                <w:color w:val="FF0000"/>
                <w:sz w:val="18"/>
                <w:szCs w:val="18"/>
              </w:rPr>
            </w:pPr>
            <w:r w:rsidRPr="008E4CDF">
              <w:rPr>
                <w:color w:val="FF0000"/>
                <w:sz w:val="18"/>
                <w:szCs w:val="18"/>
              </w:rPr>
              <w:t>White (-)</w:t>
            </w:r>
          </w:p>
        </w:tc>
        <w:tc>
          <w:tcPr>
            <w:tcW w:w="2079" w:type="dxa"/>
          </w:tcPr>
          <w:p w14:paraId="316DADDB" w14:textId="77777777" w:rsidR="00FA4F82" w:rsidRPr="00C72020" w:rsidRDefault="00FA4F82" w:rsidP="00FA4F82">
            <w:pPr>
              <w:rPr>
                <w:sz w:val="18"/>
                <w:szCs w:val="18"/>
              </w:rPr>
            </w:pPr>
            <w:r w:rsidRPr="00C72020">
              <w:rPr>
                <w:sz w:val="18"/>
                <w:szCs w:val="18"/>
              </w:rPr>
              <w:t>p= .060</w:t>
            </w:r>
          </w:p>
        </w:tc>
        <w:tc>
          <w:tcPr>
            <w:tcW w:w="1968" w:type="dxa"/>
          </w:tcPr>
          <w:p w14:paraId="57B37842" w14:textId="77777777" w:rsidR="00FA4F82" w:rsidRPr="008E4CDF" w:rsidRDefault="00FA4F82" w:rsidP="00FA4F82">
            <w:pPr>
              <w:rPr>
                <w:sz w:val="18"/>
                <w:szCs w:val="18"/>
              </w:rPr>
            </w:pPr>
            <w:r>
              <w:rPr>
                <w:color w:val="FF0000"/>
                <w:sz w:val="18"/>
                <w:szCs w:val="18"/>
              </w:rPr>
              <w:t>p= .006**</w:t>
            </w:r>
          </w:p>
        </w:tc>
        <w:tc>
          <w:tcPr>
            <w:tcW w:w="1669" w:type="dxa"/>
          </w:tcPr>
          <w:p w14:paraId="1B1963AE" w14:textId="77777777" w:rsidR="00FA4F82" w:rsidRPr="008E4CDF" w:rsidRDefault="00FA4F82" w:rsidP="00FA4F82">
            <w:pPr>
              <w:rPr>
                <w:sz w:val="18"/>
                <w:szCs w:val="18"/>
              </w:rPr>
            </w:pPr>
            <w:r>
              <w:rPr>
                <w:color w:val="FF0000"/>
                <w:sz w:val="18"/>
                <w:szCs w:val="18"/>
              </w:rPr>
              <w:t>p= .000**</w:t>
            </w:r>
          </w:p>
        </w:tc>
        <w:tc>
          <w:tcPr>
            <w:tcW w:w="1710" w:type="dxa"/>
          </w:tcPr>
          <w:p w14:paraId="3811CCAC" w14:textId="77777777" w:rsidR="00FA4F82" w:rsidRPr="008E4CDF" w:rsidRDefault="00FA4F82" w:rsidP="00FA4F82">
            <w:pPr>
              <w:rPr>
                <w:sz w:val="18"/>
                <w:szCs w:val="18"/>
              </w:rPr>
            </w:pPr>
            <w:r>
              <w:rPr>
                <w:color w:val="FF0000"/>
                <w:sz w:val="18"/>
                <w:szCs w:val="18"/>
              </w:rPr>
              <w:t>p= .000**</w:t>
            </w:r>
          </w:p>
        </w:tc>
      </w:tr>
      <w:tr w:rsidR="00FA4F82" w:rsidRPr="00036863" w14:paraId="07738F82" w14:textId="77777777" w:rsidTr="00FA4F82">
        <w:tc>
          <w:tcPr>
            <w:tcW w:w="2564" w:type="dxa"/>
          </w:tcPr>
          <w:p w14:paraId="12202632" w14:textId="77777777" w:rsidR="00FA4F82" w:rsidRPr="008E4CDF" w:rsidRDefault="00FA4F82" w:rsidP="00FA4F82">
            <w:pPr>
              <w:rPr>
                <w:color w:val="2F5496" w:themeColor="accent1" w:themeShade="BF"/>
                <w:sz w:val="18"/>
                <w:szCs w:val="18"/>
              </w:rPr>
            </w:pPr>
            <w:r w:rsidRPr="008E4CDF">
              <w:rPr>
                <w:color w:val="2F5496" w:themeColor="accent1" w:themeShade="BF"/>
                <w:sz w:val="18"/>
                <w:szCs w:val="18"/>
              </w:rPr>
              <w:t>Hispanic (+)</w:t>
            </w:r>
          </w:p>
        </w:tc>
        <w:tc>
          <w:tcPr>
            <w:tcW w:w="2079" w:type="dxa"/>
          </w:tcPr>
          <w:p w14:paraId="76661897" w14:textId="70F3D6C3" w:rsidR="00FA4F82" w:rsidRPr="008E4CDF" w:rsidRDefault="00FA4F82" w:rsidP="00FA4F82">
            <w:pPr>
              <w:rPr>
                <w:sz w:val="18"/>
                <w:szCs w:val="18"/>
              </w:rPr>
            </w:pPr>
            <w:r>
              <w:rPr>
                <w:color w:val="2F5496" w:themeColor="accent1" w:themeShade="BF"/>
                <w:sz w:val="18"/>
                <w:szCs w:val="18"/>
              </w:rPr>
              <w:t>p= .028*</w:t>
            </w:r>
          </w:p>
        </w:tc>
        <w:tc>
          <w:tcPr>
            <w:tcW w:w="1968" w:type="dxa"/>
          </w:tcPr>
          <w:p w14:paraId="45CA3D2F" w14:textId="1CDB4241" w:rsidR="00FA4F82" w:rsidRPr="008E4CDF" w:rsidRDefault="00FA4F82" w:rsidP="00FA4F82">
            <w:pPr>
              <w:rPr>
                <w:sz w:val="18"/>
                <w:szCs w:val="18"/>
              </w:rPr>
            </w:pPr>
            <w:r>
              <w:rPr>
                <w:color w:val="2F5496" w:themeColor="accent1" w:themeShade="BF"/>
                <w:sz w:val="18"/>
                <w:szCs w:val="18"/>
              </w:rPr>
              <w:t>p= .039*</w:t>
            </w:r>
          </w:p>
        </w:tc>
        <w:tc>
          <w:tcPr>
            <w:tcW w:w="1669" w:type="dxa"/>
          </w:tcPr>
          <w:p w14:paraId="7A9A164D" w14:textId="77777777" w:rsidR="00FA4F82" w:rsidRPr="008E4CDF" w:rsidRDefault="00FA4F82" w:rsidP="00FA4F82">
            <w:pPr>
              <w:rPr>
                <w:sz w:val="18"/>
                <w:szCs w:val="18"/>
              </w:rPr>
            </w:pPr>
            <w:r>
              <w:rPr>
                <w:color w:val="2F5496" w:themeColor="accent1" w:themeShade="BF"/>
                <w:sz w:val="18"/>
                <w:szCs w:val="18"/>
              </w:rPr>
              <w:t>p= .000**</w:t>
            </w:r>
          </w:p>
        </w:tc>
        <w:tc>
          <w:tcPr>
            <w:tcW w:w="1710" w:type="dxa"/>
          </w:tcPr>
          <w:p w14:paraId="04568D33" w14:textId="77777777" w:rsidR="00FA4F82" w:rsidRDefault="00FA4F82" w:rsidP="00FA4F82">
            <w:pPr>
              <w:rPr>
                <w:color w:val="2F5496" w:themeColor="accent1" w:themeShade="BF"/>
                <w:sz w:val="18"/>
                <w:szCs w:val="18"/>
              </w:rPr>
            </w:pPr>
            <w:r>
              <w:rPr>
                <w:color w:val="2F5496" w:themeColor="accent1" w:themeShade="BF"/>
                <w:sz w:val="18"/>
                <w:szCs w:val="18"/>
              </w:rPr>
              <w:t>p= .001**</w:t>
            </w:r>
          </w:p>
        </w:tc>
      </w:tr>
      <w:tr w:rsidR="00FA4F82" w:rsidRPr="00036863" w14:paraId="531F4E75" w14:textId="77777777" w:rsidTr="00FA4F82">
        <w:tc>
          <w:tcPr>
            <w:tcW w:w="2564" w:type="dxa"/>
          </w:tcPr>
          <w:p w14:paraId="7755279E" w14:textId="77777777" w:rsidR="00FA4F82" w:rsidRPr="008E4CDF" w:rsidRDefault="00FA4F82" w:rsidP="00FA4F82">
            <w:pPr>
              <w:rPr>
                <w:color w:val="2F5496" w:themeColor="accent1" w:themeShade="BF"/>
                <w:sz w:val="18"/>
                <w:szCs w:val="18"/>
              </w:rPr>
            </w:pPr>
            <w:r w:rsidRPr="008E4CDF">
              <w:rPr>
                <w:color w:val="2F5496" w:themeColor="accent1" w:themeShade="BF"/>
                <w:sz w:val="18"/>
                <w:szCs w:val="18"/>
              </w:rPr>
              <w:t>Asian (+)</w:t>
            </w:r>
          </w:p>
        </w:tc>
        <w:tc>
          <w:tcPr>
            <w:tcW w:w="2079" w:type="dxa"/>
          </w:tcPr>
          <w:p w14:paraId="18DDDDD9" w14:textId="5582ECDA" w:rsidR="00FA4F82" w:rsidRPr="008E4CDF" w:rsidRDefault="00FA4F82" w:rsidP="00FA4F82">
            <w:pPr>
              <w:rPr>
                <w:sz w:val="18"/>
                <w:szCs w:val="18"/>
              </w:rPr>
            </w:pPr>
            <w:r>
              <w:rPr>
                <w:color w:val="2F5496" w:themeColor="accent1" w:themeShade="BF"/>
                <w:sz w:val="18"/>
                <w:szCs w:val="18"/>
              </w:rPr>
              <w:t>p= .026*</w:t>
            </w:r>
          </w:p>
        </w:tc>
        <w:tc>
          <w:tcPr>
            <w:tcW w:w="1968" w:type="dxa"/>
          </w:tcPr>
          <w:p w14:paraId="129494A4" w14:textId="22897522" w:rsidR="00FA4F82" w:rsidRPr="008E4CDF" w:rsidRDefault="00FA4F82" w:rsidP="00FA4F82">
            <w:pPr>
              <w:rPr>
                <w:sz w:val="18"/>
                <w:szCs w:val="18"/>
              </w:rPr>
            </w:pPr>
            <w:r>
              <w:rPr>
                <w:color w:val="2F5496" w:themeColor="accent1" w:themeShade="BF"/>
                <w:sz w:val="18"/>
                <w:szCs w:val="18"/>
              </w:rPr>
              <w:t>p= .036*</w:t>
            </w:r>
          </w:p>
        </w:tc>
        <w:tc>
          <w:tcPr>
            <w:tcW w:w="1669" w:type="dxa"/>
          </w:tcPr>
          <w:p w14:paraId="69172401" w14:textId="77777777" w:rsidR="00FA4F82" w:rsidRPr="008E4CDF" w:rsidRDefault="00FA4F82" w:rsidP="00FA4F82">
            <w:pPr>
              <w:rPr>
                <w:sz w:val="18"/>
                <w:szCs w:val="18"/>
              </w:rPr>
            </w:pPr>
            <w:r>
              <w:rPr>
                <w:color w:val="2F5496" w:themeColor="accent1" w:themeShade="BF"/>
                <w:sz w:val="18"/>
                <w:szCs w:val="18"/>
              </w:rPr>
              <w:t>p= .000**</w:t>
            </w:r>
          </w:p>
        </w:tc>
        <w:tc>
          <w:tcPr>
            <w:tcW w:w="1710" w:type="dxa"/>
          </w:tcPr>
          <w:p w14:paraId="37CD1EB1" w14:textId="77777777" w:rsidR="00FA4F82" w:rsidRDefault="00FA4F82" w:rsidP="00FA4F82">
            <w:pPr>
              <w:rPr>
                <w:color w:val="2F5496" w:themeColor="accent1" w:themeShade="BF"/>
                <w:sz w:val="18"/>
                <w:szCs w:val="18"/>
              </w:rPr>
            </w:pPr>
            <w:r>
              <w:rPr>
                <w:color w:val="2F5496" w:themeColor="accent1" w:themeShade="BF"/>
                <w:sz w:val="18"/>
                <w:szCs w:val="18"/>
              </w:rPr>
              <w:t>p= .003**</w:t>
            </w:r>
          </w:p>
        </w:tc>
      </w:tr>
      <w:tr w:rsidR="00FA4F82" w:rsidRPr="00036863" w14:paraId="319172E8" w14:textId="77777777" w:rsidTr="00FA4F82">
        <w:tc>
          <w:tcPr>
            <w:tcW w:w="2564" w:type="dxa"/>
          </w:tcPr>
          <w:p w14:paraId="7311B664" w14:textId="77777777" w:rsidR="00FA4F82" w:rsidRPr="008E4CDF" w:rsidRDefault="00FA4F82" w:rsidP="00FA4F82">
            <w:pPr>
              <w:rPr>
                <w:color w:val="FF0000"/>
                <w:sz w:val="18"/>
                <w:szCs w:val="18"/>
              </w:rPr>
            </w:pPr>
            <w:r w:rsidRPr="008E4CDF">
              <w:rPr>
                <w:color w:val="FF0000"/>
                <w:sz w:val="18"/>
                <w:szCs w:val="18"/>
              </w:rPr>
              <w:t>Native American (-)</w:t>
            </w:r>
          </w:p>
        </w:tc>
        <w:tc>
          <w:tcPr>
            <w:tcW w:w="2079" w:type="dxa"/>
          </w:tcPr>
          <w:p w14:paraId="098F1D02" w14:textId="1AC54455" w:rsidR="00FA4F82" w:rsidRPr="008E4CDF" w:rsidRDefault="00FA4F82" w:rsidP="00FA4F82">
            <w:pPr>
              <w:rPr>
                <w:sz w:val="18"/>
                <w:szCs w:val="18"/>
              </w:rPr>
            </w:pPr>
            <w:r>
              <w:rPr>
                <w:color w:val="FF0000"/>
                <w:sz w:val="18"/>
                <w:szCs w:val="18"/>
              </w:rPr>
              <w:t>p= .037*</w:t>
            </w:r>
          </w:p>
        </w:tc>
        <w:tc>
          <w:tcPr>
            <w:tcW w:w="1968" w:type="dxa"/>
          </w:tcPr>
          <w:p w14:paraId="525880CF" w14:textId="77777777" w:rsidR="00FA4F82" w:rsidRPr="008E4CDF" w:rsidRDefault="00FA4F82" w:rsidP="00FA4F82">
            <w:pPr>
              <w:rPr>
                <w:sz w:val="18"/>
                <w:szCs w:val="18"/>
              </w:rPr>
            </w:pPr>
            <w:r>
              <w:rPr>
                <w:color w:val="FF0000"/>
                <w:sz w:val="18"/>
                <w:szCs w:val="18"/>
              </w:rPr>
              <w:t>p= .002**</w:t>
            </w:r>
          </w:p>
        </w:tc>
        <w:tc>
          <w:tcPr>
            <w:tcW w:w="1669" w:type="dxa"/>
          </w:tcPr>
          <w:p w14:paraId="2852700C" w14:textId="77777777" w:rsidR="00FA4F82" w:rsidRPr="008E4CDF" w:rsidRDefault="00FA4F82" w:rsidP="00FA4F82">
            <w:pPr>
              <w:rPr>
                <w:sz w:val="18"/>
                <w:szCs w:val="18"/>
              </w:rPr>
            </w:pPr>
            <w:r>
              <w:rPr>
                <w:color w:val="FF0000"/>
                <w:sz w:val="18"/>
                <w:szCs w:val="18"/>
              </w:rPr>
              <w:t>p= .000**</w:t>
            </w:r>
          </w:p>
        </w:tc>
        <w:tc>
          <w:tcPr>
            <w:tcW w:w="1710" w:type="dxa"/>
          </w:tcPr>
          <w:p w14:paraId="7DA156F2" w14:textId="77777777" w:rsidR="00FA4F82" w:rsidRDefault="00FA4F82" w:rsidP="00FA4F82">
            <w:pPr>
              <w:rPr>
                <w:color w:val="FF0000"/>
                <w:sz w:val="18"/>
                <w:szCs w:val="18"/>
              </w:rPr>
            </w:pPr>
            <w:r>
              <w:rPr>
                <w:color w:val="FF0000"/>
                <w:sz w:val="18"/>
                <w:szCs w:val="18"/>
              </w:rPr>
              <w:t>p= .000**</w:t>
            </w:r>
          </w:p>
        </w:tc>
      </w:tr>
      <w:tr w:rsidR="00FA4F82" w:rsidRPr="00036863" w14:paraId="24E2BDD3" w14:textId="77777777" w:rsidTr="00FA4F82">
        <w:tc>
          <w:tcPr>
            <w:tcW w:w="2564" w:type="dxa"/>
          </w:tcPr>
          <w:p w14:paraId="33F204D3" w14:textId="77777777" w:rsidR="00FA4F82" w:rsidRPr="008E4CDF" w:rsidRDefault="00FA4F82" w:rsidP="00FA4F82">
            <w:pPr>
              <w:rPr>
                <w:color w:val="FF0000"/>
                <w:sz w:val="18"/>
                <w:szCs w:val="18"/>
              </w:rPr>
            </w:pPr>
            <w:r w:rsidRPr="008E4CDF">
              <w:rPr>
                <w:color w:val="FF0000"/>
                <w:sz w:val="18"/>
                <w:szCs w:val="18"/>
              </w:rPr>
              <w:t>Families w/Children (-)</w:t>
            </w:r>
          </w:p>
        </w:tc>
        <w:tc>
          <w:tcPr>
            <w:tcW w:w="2079" w:type="dxa"/>
          </w:tcPr>
          <w:p w14:paraId="66AFE49F" w14:textId="77777777" w:rsidR="00FA4F82" w:rsidRPr="008E4CDF" w:rsidRDefault="00FA4F82" w:rsidP="00FA4F82">
            <w:pPr>
              <w:rPr>
                <w:sz w:val="18"/>
                <w:szCs w:val="18"/>
              </w:rPr>
            </w:pPr>
            <w:r w:rsidRPr="008E4CDF">
              <w:rPr>
                <w:sz w:val="18"/>
                <w:szCs w:val="18"/>
              </w:rPr>
              <w:t>NULL EFFECT</w:t>
            </w:r>
          </w:p>
        </w:tc>
        <w:tc>
          <w:tcPr>
            <w:tcW w:w="1968" w:type="dxa"/>
          </w:tcPr>
          <w:p w14:paraId="04E29D07" w14:textId="77777777" w:rsidR="00FA4F82" w:rsidRPr="008E4CDF" w:rsidRDefault="00FA4F82" w:rsidP="00FA4F82">
            <w:pPr>
              <w:rPr>
                <w:sz w:val="18"/>
                <w:szCs w:val="18"/>
              </w:rPr>
            </w:pPr>
            <w:r w:rsidRPr="008E4CDF">
              <w:rPr>
                <w:sz w:val="18"/>
                <w:szCs w:val="18"/>
              </w:rPr>
              <w:t>NULL EFFECT</w:t>
            </w:r>
          </w:p>
        </w:tc>
        <w:tc>
          <w:tcPr>
            <w:tcW w:w="1669" w:type="dxa"/>
          </w:tcPr>
          <w:p w14:paraId="04AED34A" w14:textId="77777777" w:rsidR="00FA4F82" w:rsidRPr="008E4CDF" w:rsidRDefault="00FA4F82" w:rsidP="00FA4F82">
            <w:pPr>
              <w:rPr>
                <w:sz w:val="18"/>
                <w:szCs w:val="18"/>
              </w:rPr>
            </w:pPr>
            <w:r>
              <w:rPr>
                <w:color w:val="FF0000"/>
                <w:sz w:val="18"/>
                <w:szCs w:val="18"/>
              </w:rPr>
              <w:t>p= .001**</w:t>
            </w:r>
          </w:p>
        </w:tc>
        <w:tc>
          <w:tcPr>
            <w:tcW w:w="1710" w:type="dxa"/>
          </w:tcPr>
          <w:p w14:paraId="41EC64C5" w14:textId="77777777" w:rsidR="00FA4F82" w:rsidRDefault="00FA4F82" w:rsidP="00FA4F82">
            <w:pPr>
              <w:rPr>
                <w:color w:val="FF0000"/>
                <w:sz w:val="18"/>
                <w:szCs w:val="18"/>
              </w:rPr>
            </w:pPr>
            <w:r w:rsidRPr="008E4CDF">
              <w:rPr>
                <w:sz w:val="18"/>
                <w:szCs w:val="18"/>
              </w:rPr>
              <w:t>NULL EFFECT</w:t>
            </w:r>
          </w:p>
        </w:tc>
      </w:tr>
    </w:tbl>
    <w:p w14:paraId="0B77DBEF" w14:textId="4FF39B1D" w:rsidR="00857F50" w:rsidRPr="007E33E3" w:rsidRDefault="00857F50" w:rsidP="00252EBE">
      <w:pPr>
        <w:spacing w:before="240"/>
        <w:jc w:val="both"/>
        <w:rPr>
          <w:lang w:val="en"/>
        </w:rPr>
      </w:pPr>
      <w:r>
        <w:rPr>
          <w:lang w:val="en"/>
        </w:rPr>
        <w:t>The final data</w:t>
      </w:r>
      <w:r w:rsidR="008D1BF6">
        <w:rPr>
          <w:lang w:val="en"/>
        </w:rPr>
        <w:t xml:space="preserve"> analysis</w:t>
      </w:r>
      <w:r>
        <w:rPr>
          <w:lang w:val="en"/>
        </w:rPr>
        <w:t xml:space="preserve">, and the one that is the focus of this </w:t>
      </w:r>
      <w:r w:rsidR="004951E8">
        <w:rPr>
          <w:lang w:val="en"/>
        </w:rPr>
        <w:t>project</w:t>
      </w:r>
      <w:r w:rsidR="008D1BF6">
        <w:rPr>
          <w:lang w:val="en"/>
        </w:rPr>
        <w:t>,</w:t>
      </w:r>
      <w:r>
        <w:rPr>
          <w:lang w:val="en"/>
        </w:rPr>
        <w:t xml:space="preserve"> is to show the affordable housing crisis</w:t>
      </w:r>
      <w:r w:rsidR="006A235B">
        <w:rPr>
          <w:lang w:val="en"/>
        </w:rPr>
        <w:t xml:space="preserve"> </w:t>
      </w:r>
      <w:r>
        <w:rPr>
          <w:lang w:val="en"/>
        </w:rPr>
        <w:t xml:space="preserve">as having </w:t>
      </w:r>
      <w:r w:rsidR="00523FEB">
        <w:rPr>
          <w:i/>
          <w:iCs/>
          <w:lang w:val="en"/>
        </w:rPr>
        <w:t>D</w:t>
      </w:r>
      <w:r w:rsidR="00141185" w:rsidRPr="000E78E2">
        <w:rPr>
          <w:i/>
          <w:iCs/>
          <w:lang w:val="en"/>
        </w:rPr>
        <w:t>isparate</w:t>
      </w:r>
      <w:r w:rsidRPr="000E78E2">
        <w:rPr>
          <w:i/>
          <w:iCs/>
          <w:lang w:val="en"/>
        </w:rPr>
        <w:t xml:space="preserve"> impact</w:t>
      </w:r>
      <w:r w:rsidR="000E78E2">
        <w:rPr>
          <w:i/>
          <w:iCs/>
          <w:lang w:val="en"/>
        </w:rPr>
        <w:t xml:space="preserve"> </w:t>
      </w:r>
      <w:r w:rsidR="00C72020">
        <w:rPr>
          <w:i/>
          <w:iCs/>
          <w:lang w:val="en"/>
        </w:rPr>
        <w:t>under the Fair Housing Act of 1968</w:t>
      </w:r>
      <w:r w:rsidR="00523FEB">
        <w:rPr>
          <w:lang w:val="en"/>
        </w:rPr>
        <w:t>. Initial analysis results</w:t>
      </w:r>
      <w:r w:rsidR="007E33E3">
        <w:rPr>
          <w:lang w:val="en"/>
        </w:rPr>
        <w:t xml:space="preserve"> </w:t>
      </w:r>
      <w:r w:rsidR="00523FEB">
        <w:rPr>
          <w:lang w:val="en"/>
        </w:rPr>
        <w:t>shared</w:t>
      </w:r>
      <w:r w:rsidR="007E33E3">
        <w:rPr>
          <w:lang w:val="en"/>
        </w:rPr>
        <w:t xml:space="preserve"> below:</w:t>
      </w:r>
    </w:p>
    <w:p w14:paraId="2AC9DD56" w14:textId="77777777" w:rsidR="00166970" w:rsidRDefault="00166970" w:rsidP="003F11F4">
      <w:pPr>
        <w:jc w:val="both"/>
        <w:rPr>
          <w:lang w:val="en"/>
        </w:rPr>
      </w:pPr>
    </w:p>
    <w:p w14:paraId="674F2F42" w14:textId="195ADD66" w:rsidR="000E78E2" w:rsidRDefault="007F7B55" w:rsidP="003F11F4">
      <w:pPr>
        <w:jc w:val="both"/>
        <w:rPr>
          <w:lang w:val="en"/>
        </w:rPr>
      </w:pPr>
      <w:r>
        <w:rPr>
          <w:lang w:val="en"/>
        </w:rPr>
        <w:t xml:space="preserve">The effect on </w:t>
      </w:r>
      <w:r w:rsidR="002F6353">
        <w:rPr>
          <w:lang w:val="en"/>
        </w:rPr>
        <w:t>protected group</w:t>
      </w:r>
      <w:r>
        <w:rPr>
          <w:lang w:val="en"/>
        </w:rPr>
        <w:t>s is especially troubling</w:t>
      </w:r>
      <w:r w:rsidR="00E163D0">
        <w:rPr>
          <w:lang w:val="en"/>
        </w:rPr>
        <w:t>,</w:t>
      </w:r>
      <w:r>
        <w:rPr>
          <w:lang w:val="en"/>
        </w:rPr>
        <w:t xml:space="preserve"> as COVID has shown us how precarious the living situation for thes</w:t>
      </w:r>
      <w:r w:rsidR="001427EF">
        <w:rPr>
          <w:lang w:val="en"/>
        </w:rPr>
        <w:t>e</w:t>
      </w:r>
      <w:r>
        <w:rPr>
          <w:lang w:val="en"/>
        </w:rPr>
        <w:t xml:space="preserve"> populations really is. </w:t>
      </w:r>
      <w:r w:rsidR="000E78E2">
        <w:rPr>
          <w:lang w:val="en"/>
        </w:rPr>
        <w:t>The effect of contribution</w:t>
      </w:r>
      <w:r w:rsidR="00CE6F17">
        <w:rPr>
          <w:lang w:val="en"/>
        </w:rPr>
        <w:t xml:space="preserve">s </w:t>
      </w:r>
      <w:r w:rsidR="000E78E2">
        <w:rPr>
          <w:lang w:val="en"/>
        </w:rPr>
        <w:t xml:space="preserve">on </w:t>
      </w:r>
      <w:r w:rsidR="00EF3333">
        <w:rPr>
          <w:lang w:val="en"/>
        </w:rPr>
        <w:t xml:space="preserve">the </w:t>
      </w:r>
      <w:r w:rsidR="00EF3333">
        <w:rPr>
          <w:i/>
          <w:iCs/>
          <w:lang w:val="en"/>
        </w:rPr>
        <w:t xml:space="preserve">Displacement </w:t>
      </w:r>
      <w:r w:rsidR="00EF3333" w:rsidRPr="007E33E3">
        <w:rPr>
          <w:i/>
          <w:iCs/>
          <w:lang w:val="en"/>
        </w:rPr>
        <w:t>variables</w:t>
      </w:r>
      <w:r w:rsidR="000E78E2">
        <w:rPr>
          <w:lang w:val="en"/>
        </w:rPr>
        <w:t xml:space="preserve"> can now </w:t>
      </w:r>
      <w:r w:rsidR="001427EF">
        <w:rPr>
          <w:lang w:val="en"/>
        </w:rPr>
        <w:t>be</w:t>
      </w:r>
      <w:r w:rsidR="000E78E2">
        <w:rPr>
          <w:lang w:val="en"/>
        </w:rPr>
        <w:t xml:space="preserve"> a causal link to</w:t>
      </w:r>
      <w:r w:rsidR="00CE6F17">
        <w:rPr>
          <w:lang w:val="en"/>
        </w:rPr>
        <w:t xml:space="preserve"> effects on</w:t>
      </w:r>
      <w:r w:rsidR="000E78E2">
        <w:rPr>
          <w:lang w:val="en"/>
        </w:rPr>
        <w:t xml:space="preserve"> </w:t>
      </w:r>
      <w:r w:rsidR="00EF3333">
        <w:rPr>
          <w:i/>
          <w:iCs/>
          <w:lang w:val="en"/>
        </w:rPr>
        <w:t>Affordability Crisis variables having a “</w:t>
      </w:r>
      <w:r w:rsidR="000E78E2">
        <w:rPr>
          <w:i/>
          <w:iCs/>
          <w:lang w:val="en"/>
        </w:rPr>
        <w:t>Disparate Impact</w:t>
      </w:r>
      <w:r w:rsidR="00EF3333">
        <w:rPr>
          <w:i/>
          <w:iCs/>
          <w:lang w:val="en"/>
        </w:rPr>
        <w:t>”</w:t>
      </w:r>
      <w:r w:rsidR="000E78E2">
        <w:rPr>
          <w:i/>
          <w:iCs/>
          <w:lang w:val="en"/>
        </w:rPr>
        <w:t xml:space="preserve"> on protected groups</w:t>
      </w:r>
      <w:r>
        <w:rPr>
          <w:lang w:val="en"/>
        </w:rPr>
        <w:t xml:space="preserve">. </w:t>
      </w:r>
    </w:p>
    <w:p w14:paraId="4EF3AA80" w14:textId="23B827A3" w:rsidR="008E1471" w:rsidRDefault="007F7B55" w:rsidP="003F11F4">
      <w:pPr>
        <w:jc w:val="both"/>
        <w:rPr>
          <w:lang w:val="en"/>
        </w:rPr>
      </w:pPr>
      <w:r>
        <w:rPr>
          <w:lang w:val="en"/>
        </w:rPr>
        <w:t xml:space="preserve">The initial analysis provides enough foundation to </w:t>
      </w:r>
      <w:r w:rsidR="000E78E2">
        <w:rPr>
          <w:lang w:val="en"/>
        </w:rPr>
        <w:t>further study</w:t>
      </w:r>
      <w:r w:rsidR="00E163D0">
        <w:rPr>
          <w:lang w:val="en"/>
        </w:rPr>
        <w:t xml:space="preserve"> impact of </w:t>
      </w:r>
      <w:r w:rsidR="00E163D0">
        <w:rPr>
          <w:i/>
          <w:iCs/>
          <w:lang w:val="en"/>
        </w:rPr>
        <w:t xml:space="preserve">Campaign Contributions on Displacement </w:t>
      </w:r>
      <w:r w:rsidR="009D0A65">
        <w:rPr>
          <w:i/>
          <w:iCs/>
          <w:lang w:val="en"/>
        </w:rPr>
        <w:t>v</w:t>
      </w:r>
      <w:r w:rsidR="00E163D0">
        <w:rPr>
          <w:i/>
          <w:iCs/>
          <w:lang w:val="en"/>
        </w:rPr>
        <w:t xml:space="preserve">ariables, </w:t>
      </w:r>
      <w:r w:rsidR="00E163D0" w:rsidRPr="007E33E3">
        <w:rPr>
          <w:lang w:val="en"/>
        </w:rPr>
        <w:t>and their impact, in turn, on the</w:t>
      </w:r>
      <w:r w:rsidR="00E163D0">
        <w:rPr>
          <w:i/>
          <w:iCs/>
          <w:lang w:val="en"/>
        </w:rPr>
        <w:t xml:space="preserve"> Affordability Crisis </w:t>
      </w:r>
      <w:r w:rsidR="009D0A65">
        <w:rPr>
          <w:i/>
          <w:iCs/>
          <w:lang w:val="en"/>
        </w:rPr>
        <w:t>v</w:t>
      </w:r>
      <w:r w:rsidR="00E163D0">
        <w:rPr>
          <w:i/>
          <w:iCs/>
          <w:lang w:val="en"/>
        </w:rPr>
        <w:t>ariables</w:t>
      </w:r>
      <w:r w:rsidR="009D0A65">
        <w:rPr>
          <w:i/>
          <w:iCs/>
          <w:lang w:val="en"/>
        </w:rPr>
        <w:t>.</w:t>
      </w:r>
      <w:r w:rsidR="008E1471">
        <w:rPr>
          <w:i/>
          <w:iCs/>
          <w:lang w:val="en"/>
        </w:rPr>
        <w:t xml:space="preserve"> </w:t>
      </w:r>
      <w:r w:rsidR="009D0A65">
        <w:rPr>
          <w:lang w:val="en"/>
        </w:rPr>
        <w:t>S</w:t>
      </w:r>
      <w:r w:rsidR="00E163D0">
        <w:rPr>
          <w:lang w:val="en"/>
        </w:rPr>
        <w:t xml:space="preserve">pecifically </w:t>
      </w:r>
      <w:r w:rsidR="009D0A65">
        <w:rPr>
          <w:lang w:val="en"/>
        </w:rPr>
        <w:t xml:space="preserve">receiving </w:t>
      </w:r>
      <w:r w:rsidR="00E163D0">
        <w:rPr>
          <w:lang w:val="en"/>
        </w:rPr>
        <w:t>evictions and preferential rent data</w:t>
      </w:r>
      <w:r w:rsidR="009D0A65">
        <w:rPr>
          <w:lang w:val="en"/>
        </w:rPr>
        <w:t xml:space="preserve"> is a first step</w:t>
      </w:r>
      <w:r w:rsidR="008E1471">
        <w:rPr>
          <w:lang w:val="en"/>
        </w:rPr>
        <w:t xml:space="preserve">. The pattern of missing data is during a period where the legislative policies mentioned earlier, were in full effect. </w:t>
      </w:r>
      <w:r w:rsidR="00DA2867">
        <w:rPr>
          <w:lang w:val="en"/>
        </w:rPr>
        <w:t>The timeline below shows this relationship</w:t>
      </w:r>
      <w:r w:rsidR="007E33E3">
        <w:rPr>
          <w:lang w:val="en"/>
        </w:rPr>
        <w:t>:</w:t>
      </w:r>
    </w:p>
    <w:p w14:paraId="416B5C40" w14:textId="537A4D98" w:rsidR="00FA4F82" w:rsidRDefault="00FA4F82" w:rsidP="00FA4F82">
      <w:pPr>
        <w:ind w:left="-540"/>
        <w:jc w:val="both"/>
        <w:rPr>
          <w:lang w:val="en"/>
        </w:rPr>
      </w:pPr>
      <w:r>
        <w:rPr>
          <w:noProof/>
        </w:rPr>
        <w:drawing>
          <wp:inline distT="0" distB="0" distL="0" distR="0" wp14:anchorId="15FF9B09" wp14:editId="61014D48">
            <wp:extent cx="6912610" cy="366257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64641" cy="3690142"/>
                    </a:xfrm>
                    <a:prstGeom prst="rect">
                      <a:avLst/>
                    </a:prstGeom>
                    <a:noFill/>
                    <a:ln>
                      <a:noFill/>
                    </a:ln>
                  </pic:spPr>
                </pic:pic>
              </a:graphicData>
            </a:graphic>
          </wp:inline>
        </w:drawing>
      </w:r>
    </w:p>
    <w:p w14:paraId="2079029F" w14:textId="6456ABF3" w:rsidR="007F7B55" w:rsidRPr="00FA4F82" w:rsidRDefault="007F7B55" w:rsidP="003F11F4">
      <w:pPr>
        <w:jc w:val="both"/>
        <w:rPr>
          <w:lang w:val="en"/>
        </w:rPr>
      </w:pPr>
      <w:r>
        <w:rPr>
          <w:lang w:val="en"/>
        </w:rPr>
        <w:lastRenderedPageBreak/>
        <w:t xml:space="preserve">The accountability </w:t>
      </w:r>
      <w:r w:rsidR="005E0B23">
        <w:rPr>
          <w:lang w:val="en"/>
        </w:rPr>
        <w:t>paradigm</w:t>
      </w:r>
      <w:r>
        <w:rPr>
          <w:lang w:val="en"/>
        </w:rPr>
        <w:t xml:space="preserve"> </w:t>
      </w:r>
      <w:r w:rsidR="006904E7">
        <w:rPr>
          <w:lang w:val="en"/>
        </w:rPr>
        <w:t xml:space="preserve">proposed here </w:t>
      </w:r>
      <w:r>
        <w:rPr>
          <w:lang w:val="en"/>
        </w:rPr>
        <w:t>seeks responsibility directly from agency commissioners and boards of directors, besides elected officials</w:t>
      </w:r>
      <w:r w:rsidR="000E78E2">
        <w:rPr>
          <w:lang w:val="en"/>
        </w:rPr>
        <w:t xml:space="preserve">, as the purveyors of the “Tone at the Top” that created </w:t>
      </w:r>
      <w:r w:rsidR="00826900">
        <w:rPr>
          <w:lang w:val="en"/>
        </w:rPr>
        <w:t>legislation/</w:t>
      </w:r>
      <w:r w:rsidR="000E78E2">
        <w:rPr>
          <w:lang w:val="en"/>
        </w:rPr>
        <w:t>policies/procedures that were incongruent to citizen mandate</w:t>
      </w:r>
      <w:r w:rsidR="004A5ADE">
        <w:rPr>
          <w:lang w:val="en"/>
        </w:rPr>
        <w:t xml:space="preserve"> and organizational ethos</w:t>
      </w:r>
      <w:r w:rsidR="000E78E2">
        <w:rPr>
          <w:lang w:val="en"/>
        </w:rPr>
        <w:t>.</w:t>
      </w:r>
      <w:r>
        <w:rPr>
          <w:lang w:val="en"/>
        </w:rPr>
        <w:t xml:space="preserve"> </w:t>
      </w:r>
      <w:r w:rsidR="00FA4F82">
        <w:rPr>
          <w:lang w:val="en"/>
        </w:rPr>
        <w:t xml:space="preserve">The timeline above only shows part of the data, which </w:t>
      </w:r>
      <w:r w:rsidR="006907DE">
        <w:rPr>
          <w:lang w:val="en"/>
        </w:rPr>
        <w:t>displays</w:t>
      </w:r>
      <w:r w:rsidR="00FA4F82">
        <w:rPr>
          <w:lang w:val="en"/>
        </w:rPr>
        <w:t xml:space="preserve"> a trend of underreporting at the HPD when compared to </w:t>
      </w:r>
      <w:r w:rsidR="00FA4F82">
        <w:rPr>
          <w:i/>
          <w:iCs/>
          <w:lang w:val="en"/>
        </w:rPr>
        <w:t xml:space="preserve">Maintenance Deficiencies </w:t>
      </w:r>
      <w:r w:rsidR="00FA4F82">
        <w:rPr>
          <w:lang w:val="en"/>
        </w:rPr>
        <w:t xml:space="preserve">reporting from the Census Housing &amp; Vacancy Survey. Furthermore, </w:t>
      </w:r>
      <w:r w:rsidR="005D4F08">
        <w:rPr>
          <w:lang w:val="en"/>
        </w:rPr>
        <w:t>missing</w:t>
      </w:r>
      <w:r w:rsidR="00FA4F82">
        <w:rPr>
          <w:lang w:val="en"/>
        </w:rPr>
        <w:t xml:space="preserve"> oversight, that the dearth of reports between 2004 – 2012 indicates, shows a lack of motivation to see the Housing Affordability Crisis that had been deepening </w:t>
      </w:r>
      <w:r w:rsidR="00826900">
        <w:rPr>
          <w:lang w:val="en"/>
        </w:rPr>
        <w:t>in New</w:t>
      </w:r>
      <w:r w:rsidR="00FA4F82">
        <w:rPr>
          <w:lang w:val="en"/>
        </w:rPr>
        <w:t xml:space="preserve"> York City.</w:t>
      </w:r>
    </w:p>
    <w:p w14:paraId="779BC80A" w14:textId="77777777" w:rsidR="005D4F08" w:rsidRDefault="007F7B55" w:rsidP="003F11F4">
      <w:pPr>
        <w:jc w:val="both"/>
        <w:rPr>
          <w:lang w:val="en"/>
        </w:rPr>
      </w:pPr>
      <w:r w:rsidRPr="005E0B23">
        <w:rPr>
          <w:i/>
          <w:iCs/>
          <w:lang w:val="en"/>
        </w:rPr>
        <w:t>Phase 2</w:t>
      </w:r>
      <w:r>
        <w:rPr>
          <w:lang w:val="en"/>
        </w:rPr>
        <w:t xml:space="preserve"> of this proposal seek</w:t>
      </w:r>
      <w:r w:rsidR="005D4F08">
        <w:rPr>
          <w:lang w:val="en"/>
        </w:rPr>
        <w:t>s</w:t>
      </w:r>
      <w:r>
        <w:rPr>
          <w:lang w:val="en"/>
        </w:rPr>
        <w:t xml:space="preserve"> to build </w:t>
      </w:r>
      <w:r w:rsidR="00FA4F82">
        <w:rPr>
          <w:lang w:val="en"/>
        </w:rPr>
        <w:t>an</w:t>
      </w:r>
      <w:r>
        <w:rPr>
          <w:lang w:val="en"/>
        </w:rPr>
        <w:t xml:space="preserve"> accountability measurement model by </w:t>
      </w:r>
      <w:r w:rsidR="00FA4F82">
        <w:rPr>
          <w:lang w:val="en"/>
        </w:rPr>
        <w:t xml:space="preserve">reviewing causal relationships between existing data, and </w:t>
      </w:r>
      <w:r>
        <w:rPr>
          <w:lang w:val="en"/>
        </w:rPr>
        <w:t xml:space="preserve">working directly with tenants, agencies, and housing activists to understand what parts of the </w:t>
      </w:r>
      <w:r w:rsidRPr="0040173D">
        <w:rPr>
          <w:i/>
          <w:iCs/>
          <w:lang w:val="en"/>
        </w:rPr>
        <w:t>2019 Rent Reform Act</w:t>
      </w:r>
      <w:r>
        <w:rPr>
          <w:lang w:val="en"/>
        </w:rPr>
        <w:t xml:space="preserve"> will continue to fail tenants if not appropriately fortified. </w:t>
      </w:r>
    </w:p>
    <w:p w14:paraId="0CC0E0B6" w14:textId="317BDB60" w:rsidR="00A81C69" w:rsidRDefault="007F7B55" w:rsidP="003F11F4">
      <w:pPr>
        <w:jc w:val="both"/>
        <w:rPr>
          <w:lang w:val="en"/>
        </w:rPr>
      </w:pPr>
      <w:r w:rsidRPr="005E0B23">
        <w:rPr>
          <w:i/>
          <w:iCs/>
          <w:lang w:val="en"/>
        </w:rPr>
        <w:t>Phase 3</w:t>
      </w:r>
      <w:r>
        <w:rPr>
          <w:lang w:val="en"/>
        </w:rPr>
        <w:t xml:space="preserve"> seeks to increase communication, information dissemination, and provide forensic acculturation to tenants and activists alike for building accountability paradigms that suit the culture of their unique neighborhood</w:t>
      </w:r>
      <w:r w:rsidR="00141185">
        <w:rPr>
          <w:lang w:val="en"/>
        </w:rPr>
        <w:t>s</w:t>
      </w:r>
      <w:r>
        <w:rPr>
          <w:lang w:val="en"/>
        </w:rPr>
        <w:t xml:space="preserve">. </w:t>
      </w:r>
    </w:p>
    <w:p w14:paraId="4539B22D" w14:textId="51754C4D" w:rsidR="00166970" w:rsidRDefault="00166970" w:rsidP="003F11F4">
      <w:pPr>
        <w:jc w:val="both"/>
        <w:rPr>
          <w:lang w:val="en"/>
        </w:rPr>
      </w:pPr>
    </w:p>
    <w:p w14:paraId="1BFD0BA7" w14:textId="2B823AB4" w:rsidR="00166970" w:rsidRDefault="00166970" w:rsidP="003F11F4">
      <w:pPr>
        <w:jc w:val="both"/>
        <w:rPr>
          <w:lang w:val="en"/>
        </w:rPr>
      </w:pPr>
    </w:p>
    <w:p w14:paraId="3E12C3D0" w14:textId="444F1365" w:rsidR="00166970" w:rsidRDefault="00166970" w:rsidP="003F11F4">
      <w:pPr>
        <w:jc w:val="both"/>
        <w:rPr>
          <w:lang w:val="en"/>
        </w:rPr>
      </w:pPr>
    </w:p>
    <w:p w14:paraId="28A7DA2B" w14:textId="180BC3EA" w:rsidR="00166970" w:rsidRDefault="00166970" w:rsidP="003F11F4">
      <w:pPr>
        <w:jc w:val="both"/>
        <w:rPr>
          <w:lang w:val="en"/>
        </w:rPr>
      </w:pPr>
    </w:p>
    <w:p w14:paraId="16679F9C" w14:textId="19AE91EA" w:rsidR="00166970" w:rsidRDefault="00166970" w:rsidP="003F11F4">
      <w:pPr>
        <w:jc w:val="both"/>
        <w:rPr>
          <w:lang w:val="en"/>
        </w:rPr>
      </w:pPr>
    </w:p>
    <w:p w14:paraId="59206F89" w14:textId="4C63B715" w:rsidR="00FA4F82" w:rsidRDefault="00FA4F82" w:rsidP="003F11F4">
      <w:pPr>
        <w:jc w:val="both"/>
        <w:rPr>
          <w:lang w:val="en"/>
        </w:rPr>
      </w:pPr>
    </w:p>
    <w:p w14:paraId="28737214" w14:textId="77A1494E" w:rsidR="00FA4F82" w:rsidRDefault="00FA4F82" w:rsidP="003F11F4">
      <w:pPr>
        <w:jc w:val="both"/>
        <w:rPr>
          <w:lang w:val="en"/>
        </w:rPr>
      </w:pPr>
    </w:p>
    <w:p w14:paraId="01863937" w14:textId="71F97CBB" w:rsidR="00FA4F82" w:rsidRDefault="00FA4F82" w:rsidP="003F11F4">
      <w:pPr>
        <w:jc w:val="both"/>
        <w:rPr>
          <w:lang w:val="en"/>
        </w:rPr>
      </w:pPr>
    </w:p>
    <w:p w14:paraId="0B32FFA2" w14:textId="5C8F8C33" w:rsidR="00FA4F82" w:rsidRDefault="00FA4F82" w:rsidP="003F11F4">
      <w:pPr>
        <w:jc w:val="both"/>
        <w:rPr>
          <w:lang w:val="en"/>
        </w:rPr>
      </w:pPr>
    </w:p>
    <w:p w14:paraId="0A026622" w14:textId="48199F45" w:rsidR="00FA4F82" w:rsidRDefault="00FA4F82" w:rsidP="003F11F4">
      <w:pPr>
        <w:jc w:val="both"/>
        <w:rPr>
          <w:lang w:val="en"/>
        </w:rPr>
      </w:pPr>
    </w:p>
    <w:p w14:paraId="19FFFC60" w14:textId="2BA1A60C" w:rsidR="00FA4F82" w:rsidRDefault="00FA4F82" w:rsidP="003F11F4">
      <w:pPr>
        <w:jc w:val="both"/>
        <w:rPr>
          <w:lang w:val="en"/>
        </w:rPr>
      </w:pPr>
    </w:p>
    <w:p w14:paraId="736BD7CC" w14:textId="3621FB9F" w:rsidR="00FA4F82" w:rsidRDefault="00FA4F82" w:rsidP="003F11F4">
      <w:pPr>
        <w:jc w:val="both"/>
        <w:rPr>
          <w:lang w:val="en"/>
        </w:rPr>
      </w:pPr>
    </w:p>
    <w:p w14:paraId="50BEC260" w14:textId="0ED833A5" w:rsidR="00FA4F82" w:rsidRDefault="00FA4F82" w:rsidP="003F11F4">
      <w:pPr>
        <w:jc w:val="both"/>
        <w:rPr>
          <w:lang w:val="en"/>
        </w:rPr>
      </w:pPr>
    </w:p>
    <w:p w14:paraId="1741EB6E" w14:textId="3DD6015C" w:rsidR="00FA4F82" w:rsidRDefault="00FA4F82" w:rsidP="003F11F4">
      <w:pPr>
        <w:jc w:val="both"/>
        <w:rPr>
          <w:lang w:val="en"/>
        </w:rPr>
      </w:pPr>
    </w:p>
    <w:p w14:paraId="55FEF2C6" w14:textId="45ED3069" w:rsidR="00FA4F82" w:rsidRDefault="00FA4F82" w:rsidP="003F11F4">
      <w:pPr>
        <w:jc w:val="both"/>
        <w:rPr>
          <w:lang w:val="en"/>
        </w:rPr>
      </w:pPr>
    </w:p>
    <w:p w14:paraId="37670BFB" w14:textId="2E6A49BF" w:rsidR="00FA4F82" w:rsidRDefault="00FA4F82" w:rsidP="003F11F4">
      <w:pPr>
        <w:jc w:val="both"/>
        <w:rPr>
          <w:lang w:val="en"/>
        </w:rPr>
      </w:pPr>
    </w:p>
    <w:p w14:paraId="3E9BE2F4" w14:textId="7F2278FF" w:rsidR="00FA4F82" w:rsidRDefault="00FA4F82" w:rsidP="003F11F4">
      <w:pPr>
        <w:jc w:val="both"/>
        <w:rPr>
          <w:lang w:val="en"/>
        </w:rPr>
      </w:pPr>
    </w:p>
    <w:p w14:paraId="6888D79A" w14:textId="77777777" w:rsidR="00FA4F82" w:rsidRDefault="00FA4F82" w:rsidP="003F11F4">
      <w:pPr>
        <w:jc w:val="both"/>
        <w:rPr>
          <w:lang w:val="en"/>
        </w:rPr>
      </w:pPr>
    </w:p>
    <w:p w14:paraId="507A4C5A" w14:textId="3268A41F" w:rsidR="00EF714A" w:rsidRPr="00C239CA" w:rsidRDefault="005E0B23" w:rsidP="007F7B55">
      <w:pPr>
        <w:pStyle w:val="Heading2"/>
        <w:rPr>
          <w:i/>
          <w:iCs/>
          <w:lang w:val="en"/>
        </w:rPr>
      </w:pPr>
      <w:bookmarkStart w:id="4" w:name="_Toc68084994"/>
      <w:r w:rsidRPr="00C239CA">
        <w:rPr>
          <w:i/>
          <w:iCs/>
          <w:lang w:val="en"/>
        </w:rPr>
        <w:lastRenderedPageBreak/>
        <w:t xml:space="preserve">Phase 2 - </w:t>
      </w:r>
      <w:r w:rsidR="008858D0" w:rsidRPr="00C239CA">
        <w:rPr>
          <w:i/>
          <w:iCs/>
          <w:lang w:val="en"/>
        </w:rPr>
        <w:t>Measuring</w:t>
      </w:r>
      <w:r w:rsidR="007F7B55" w:rsidRPr="00C239CA">
        <w:rPr>
          <w:i/>
          <w:iCs/>
          <w:lang w:val="en"/>
        </w:rPr>
        <w:t xml:space="preserve"> </w:t>
      </w:r>
      <w:r w:rsidR="007F7B55" w:rsidRPr="00C239CA">
        <w:rPr>
          <w:i/>
          <w:iCs/>
          <w:sz w:val="24"/>
          <w:szCs w:val="24"/>
          <w:lang w:val="en"/>
        </w:rPr>
        <w:t>Accountability</w:t>
      </w:r>
      <w:r w:rsidR="007F7B55" w:rsidRPr="00C239CA">
        <w:rPr>
          <w:i/>
          <w:iCs/>
          <w:lang w:val="en"/>
        </w:rPr>
        <w:t xml:space="preserve"> Avoidance</w:t>
      </w:r>
      <w:r w:rsidRPr="00C239CA">
        <w:rPr>
          <w:i/>
          <w:iCs/>
          <w:lang w:val="en"/>
        </w:rPr>
        <w:t>:</w:t>
      </w:r>
      <w:r w:rsidR="007F7B55" w:rsidRPr="00C239CA">
        <w:rPr>
          <w:i/>
          <w:iCs/>
          <w:lang w:val="en"/>
        </w:rPr>
        <w:t xml:space="preserve"> A </w:t>
      </w:r>
      <w:r w:rsidRPr="00C239CA">
        <w:rPr>
          <w:i/>
          <w:iCs/>
          <w:lang w:val="en"/>
        </w:rPr>
        <w:t>design science</w:t>
      </w:r>
      <w:r w:rsidR="007F7B55" w:rsidRPr="00C239CA">
        <w:rPr>
          <w:i/>
          <w:iCs/>
          <w:lang w:val="en"/>
        </w:rPr>
        <w:t xml:space="preserve"> paradigm</w:t>
      </w:r>
      <w:bookmarkEnd w:id="4"/>
    </w:p>
    <w:p w14:paraId="604E1F31" w14:textId="45E73CBC" w:rsidR="00C16321" w:rsidRDefault="003F11F4" w:rsidP="003F11F4">
      <w:pPr>
        <w:jc w:val="both"/>
        <w:rPr>
          <w:lang w:val="en"/>
        </w:rPr>
      </w:pPr>
      <w:r>
        <w:rPr>
          <w:lang w:val="en"/>
        </w:rPr>
        <w:t xml:space="preserve">The proposal combines measurement tools presented by Paul Light </w:t>
      </w:r>
      <w:r w:rsidR="008B45FB">
        <w:rPr>
          <w:lang w:val="en"/>
        </w:rPr>
        <w:t xml:space="preserve">and </w:t>
      </w:r>
      <w:r>
        <w:rPr>
          <w:lang w:val="en"/>
        </w:rPr>
        <w:t>J. Koppell</w:t>
      </w:r>
      <w:r w:rsidR="008B45FB">
        <w:rPr>
          <w:lang w:val="en"/>
        </w:rPr>
        <w:t xml:space="preserve"> </w:t>
      </w:r>
      <w:r>
        <w:rPr>
          <w:lang w:val="en"/>
        </w:rPr>
        <w:t xml:space="preserve">to </w:t>
      </w:r>
      <w:r w:rsidR="008B45FB">
        <w:rPr>
          <w:lang w:val="en"/>
        </w:rPr>
        <w:t>“audit”</w:t>
      </w:r>
      <w:r w:rsidR="00BF51AB">
        <w:rPr>
          <w:lang w:val="en"/>
        </w:rPr>
        <w:t xml:space="preserve"> both </w:t>
      </w:r>
      <w:r>
        <w:rPr>
          <w:lang w:val="en"/>
        </w:rPr>
        <w:t>the</w:t>
      </w:r>
      <w:r w:rsidR="00BF51AB">
        <w:rPr>
          <w:lang w:val="en"/>
        </w:rPr>
        <w:t xml:space="preserve"> financial (capacity) &amp;</w:t>
      </w:r>
      <w:r>
        <w:rPr>
          <w:lang w:val="en"/>
        </w:rPr>
        <w:t xml:space="preserve"> non-financial</w:t>
      </w:r>
      <w:r w:rsidR="00BF51AB">
        <w:rPr>
          <w:lang w:val="en"/>
        </w:rPr>
        <w:t xml:space="preserve"> (compliance, performance)</w:t>
      </w:r>
      <w:r w:rsidR="008B45FB">
        <w:rPr>
          <w:lang w:val="en"/>
        </w:rPr>
        <w:t xml:space="preserve"> reality of</w:t>
      </w:r>
      <w:r>
        <w:rPr>
          <w:lang w:val="en"/>
        </w:rPr>
        <w:t xml:space="preserve"> </w:t>
      </w:r>
      <w:r w:rsidR="008B45FB">
        <w:rPr>
          <w:lang w:val="en"/>
        </w:rPr>
        <w:t>NYC’s housing</w:t>
      </w:r>
      <w:r>
        <w:rPr>
          <w:lang w:val="en"/>
        </w:rPr>
        <w:t xml:space="preserve"> agencies</w:t>
      </w:r>
      <w:r w:rsidR="008B45FB">
        <w:rPr>
          <w:lang w:val="en"/>
        </w:rPr>
        <w:t xml:space="preserve"> [1990-2020]</w:t>
      </w:r>
      <w:r w:rsidR="00036A5E">
        <w:rPr>
          <w:lang w:val="en"/>
        </w:rPr>
        <w:t>. The goal is</w:t>
      </w:r>
      <w:r>
        <w:rPr>
          <w:lang w:val="en"/>
        </w:rPr>
        <w:t xml:space="preserve"> </w:t>
      </w:r>
      <w:r w:rsidR="00BF51AB">
        <w:rPr>
          <w:lang w:val="en"/>
        </w:rPr>
        <w:t xml:space="preserve">to </w:t>
      </w:r>
      <w:r w:rsidR="00C55A70">
        <w:rPr>
          <w:lang w:val="en"/>
        </w:rPr>
        <w:t xml:space="preserve">study unresponsive policy environments that paid little attention to </w:t>
      </w:r>
      <w:r w:rsidR="00970C0F">
        <w:rPr>
          <w:lang w:val="en"/>
        </w:rPr>
        <w:t xml:space="preserve">alarms raised by </w:t>
      </w:r>
      <w:r w:rsidR="008B45FB">
        <w:rPr>
          <w:lang w:val="en"/>
        </w:rPr>
        <w:t>tenants, which was directed by the “Tone at the Top” of agency management [includes commissioners], boards of directors, and elected officials.</w:t>
      </w:r>
    </w:p>
    <w:p w14:paraId="16E7D4D3" w14:textId="2EBC6E86" w:rsidR="00F5083F" w:rsidRPr="00225050" w:rsidRDefault="00F5083F" w:rsidP="0070714F">
      <w:pPr>
        <w:pStyle w:val="Heading3"/>
        <w:rPr>
          <w:lang w:val="en"/>
        </w:rPr>
      </w:pPr>
      <w:bookmarkStart w:id="5" w:name="_Toc68084995"/>
      <w:r w:rsidRPr="00225050">
        <w:rPr>
          <w:lang w:val="en"/>
        </w:rPr>
        <w:t>Paul Ligh</w:t>
      </w:r>
      <w:r w:rsidR="008B45FB">
        <w:rPr>
          <w:lang w:val="en"/>
        </w:rPr>
        <w:t>t [Monitoring Government]:</w:t>
      </w:r>
      <w:r w:rsidRPr="00225050">
        <w:rPr>
          <w:lang w:val="en"/>
        </w:rPr>
        <w:t xml:space="preserve"> Measures of Accountability</w:t>
      </w:r>
      <w:r w:rsidR="00C55A70" w:rsidRPr="00225050">
        <w:rPr>
          <w:lang w:val="en"/>
        </w:rPr>
        <w:t xml:space="preserve"> for Administrative Agencies</w:t>
      </w:r>
      <w:r w:rsidR="006F125C">
        <w:rPr>
          <w:rStyle w:val="FootnoteReference"/>
          <w:lang w:val="en"/>
        </w:rPr>
        <w:footnoteReference w:id="10"/>
      </w:r>
      <w:bookmarkEnd w:id="5"/>
    </w:p>
    <w:p w14:paraId="538D7BA1" w14:textId="0921F62F" w:rsidR="00C16321" w:rsidRDefault="00C16321" w:rsidP="00C16321">
      <w:pPr>
        <w:pStyle w:val="ListParagraph"/>
        <w:numPr>
          <w:ilvl w:val="0"/>
          <w:numId w:val="2"/>
        </w:numPr>
        <w:spacing w:line="240" w:lineRule="auto"/>
        <w:jc w:val="both"/>
      </w:pPr>
      <w:r w:rsidRPr="009021F7">
        <w:rPr>
          <w:b/>
          <w:bCs/>
        </w:rPr>
        <w:t>Compliance</w:t>
      </w:r>
      <w:r>
        <w:t xml:space="preserve"> – A quantitative measure recording requests </w:t>
      </w:r>
      <w:r w:rsidR="0075351E">
        <w:t>received,</w:t>
      </w:r>
      <w:r>
        <w:t xml:space="preserve"> and services performed as defined by existing regulatory and oversight </w:t>
      </w:r>
      <w:r w:rsidR="00DE5945">
        <w:t>frameworks.</w:t>
      </w:r>
    </w:p>
    <w:p w14:paraId="4C7874C9" w14:textId="1FE6C63E" w:rsidR="00C16321" w:rsidRDefault="00C16321" w:rsidP="00C16321">
      <w:pPr>
        <w:pStyle w:val="ListParagraph"/>
        <w:numPr>
          <w:ilvl w:val="0"/>
          <w:numId w:val="2"/>
        </w:numPr>
        <w:spacing w:line="240" w:lineRule="auto"/>
        <w:jc w:val="both"/>
      </w:pPr>
      <w:r w:rsidRPr="009021F7">
        <w:rPr>
          <w:b/>
          <w:bCs/>
        </w:rPr>
        <w:t>Capacity</w:t>
      </w:r>
      <w:r>
        <w:t xml:space="preserve"> – A qualitative, but quantifiable, measure recording the skills, qualifications of civil servants and the </w:t>
      </w:r>
      <w:r w:rsidR="00036A5E">
        <w:t xml:space="preserve">fiscal </w:t>
      </w:r>
      <w:r>
        <w:t>resources available to perform the duties demanded by the</w:t>
      </w:r>
      <w:r w:rsidR="00036A5E">
        <w:t xml:space="preserve"> </w:t>
      </w:r>
      <w:r w:rsidR="00DE5945">
        <w:t>mandate.</w:t>
      </w:r>
    </w:p>
    <w:p w14:paraId="5E01FEE7" w14:textId="5F3E9EDD" w:rsidR="00C16321" w:rsidRDefault="00C16321" w:rsidP="00C16321">
      <w:pPr>
        <w:pStyle w:val="ListParagraph"/>
        <w:numPr>
          <w:ilvl w:val="0"/>
          <w:numId w:val="2"/>
        </w:numPr>
        <w:spacing w:line="240" w:lineRule="auto"/>
        <w:jc w:val="both"/>
      </w:pPr>
      <w:r w:rsidRPr="00C16321">
        <w:rPr>
          <w:b/>
          <w:bCs/>
        </w:rPr>
        <w:t>Performance</w:t>
      </w:r>
      <w:r>
        <w:t xml:space="preserve"> – A qualitative measure of whether performance relates to agency ethos and mandates, as measured using compliance &amp; capacity parameters, but can have quantitative measurements such as “Timeliness” of performance assessment and resolution.</w:t>
      </w:r>
    </w:p>
    <w:p w14:paraId="55007E7B" w14:textId="049DDFCB" w:rsidR="00C011DC" w:rsidRPr="00225050" w:rsidRDefault="00C011DC" w:rsidP="0070714F">
      <w:pPr>
        <w:pStyle w:val="Heading3"/>
      </w:pPr>
      <w:bookmarkStart w:id="6" w:name="_Toc68084996"/>
      <w:r w:rsidRPr="00225050">
        <w:t xml:space="preserve">J.Koppell – </w:t>
      </w:r>
      <w:r w:rsidR="00104D17">
        <w:t xml:space="preserve">External </w:t>
      </w:r>
      <w:r w:rsidRPr="00225050">
        <w:t>Audit questions for measuring accountability</w:t>
      </w:r>
      <w:r w:rsidR="006907DE">
        <w:rPr>
          <w:rStyle w:val="FootnoteReference"/>
        </w:rPr>
        <w:footnoteReference w:id="11"/>
      </w:r>
      <w:bookmarkEnd w:id="6"/>
    </w:p>
    <w:p w14:paraId="02E4798B" w14:textId="66FB8981" w:rsidR="000731D4" w:rsidRDefault="000731D4" w:rsidP="00C16321">
      <w:pPr>
        <w:spacing w:line="240" w:lineRule="auto"/>
        <w:jc w:val="both"/>
      </w:pPr>
      <w:r>
        <w:rPr>
          <w:noProof/>
        </w:rPr>
        <w:drawing>
          <wp:inline distT="0" distB="0" distL="0" distR="0" wp14:anchorId="290E3A8C" wp14:editId="19116FC4">
            <wp:extent cx="3500957" cy="2010508"/>
            <wp:effectExtent l="0" t="0" r="4445"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45086" cy="2265559"/>
                    </a:xfrm>
                    <a:prstGeom prst="rect">
                      <a:avLst/>
                    </a:prstGeom>
                  </pic:spPr>
                </pic:pic>
              </a:graphicData>
            </a:graphic>
          </wp:inline>
        </w:drawing>
      </w:r>
    </w:p>
    <w:p w14:paraId="468C751D" w14:textId="64E5D338" w:rsidR="000731D4" w:rsidRDefault="000731D4" w:rsidP="00C16321">
      <w:pPr>
        <w:spacing w:line="240" w:lineRule="auto"/>
        <w:jc w:val="both"/>
      </w:pPr>
      <w:r>
        <w:t>Using Koppell’s conceptions, we can now assign Paul Light’s 3 measures as shown in the following table:</w:t>
      </w:r>
    </w:p>
    <w:tbl>
      <w:tblPr>
        <w:tblStyle w:val="TableGrid"/>
        <w:tblW w:w="0" w:type="auto"/>
        <w:tblLook w:val="04A0" w:firstRow="1" w:lastRow="0" w:firstColumn="1" w:lastColumn="0" w:noHBand="0" w:noVBand="1"/>
      </w:tblPr>
      <w:tblGrid>
        <w:gridCol w:w="4675"/>
        <w:gridCol w:w="4675"/>
      </w:tblGrid>
      <w:tr w:rsidR="000731D4" w:rsidRPr="00B47985" w14:paraId="358F4247" w14:textId="77777777" w:rsidTr="003F11F4">
        <w:tc>
          <w:tcPr>
            <w:tcW w:w="4675" w:type="dxa"/>
          </w:tcPr>
          <w:p w14:paraId="2A7F2BF7" w14:textId="77777777" w:rsidR="000731D4" w:rsidRPr="008E4CDF" w:rsidRDefault="000731D4" w:rsidP="00C011DC">
            <w:pPr>
              <w:jc w:val="center"/>
              <w:rPr>
                <w:b/>
                <w:bCs/>
                <w:sz w:val="18"/>
                <w:szCs w:val="18"/>
              </w:rPr>
            </w:pPr>
            <w:r w:rsidRPr="008E4CDF">
              <w:rPr>
                <w:b/>
                <w:bCs/>
                <w:sz w:val="18"/>
                <w:szCs w:val="18"/>
              </w:rPr>
              <w:t>Measure of Accountability</w:t>
            </w:r>
          </w:p>
        </w:tc>
        <w:tc>
          <w:tcPr>
            <w:tcW w:w="4675" w:type="dxa"/>
          </w:tcPr>
          <w:p w14:paraId="6BC667F6" w14:textId="77777777" w:rsidR="000731D4" w:rsidRPr="008E4CDF" w:rsidRDefault="000731D4" w:rsidP="00C011DC">
            <w:pPr>
              <w:jc w:val="center"/>
              <w:rPr>
                <w:b/>
                <w:bCs/>
                <w:sz w:val="18"/>
                <w:szCs w:val="18"/>
              </w:rPr>
            </w:pPr>
            <w:r w:rsidRPr="008E4CDF">
              <w:rPr>
                <w:b/>
                <w:bCs/>
                <w:sz w:val="18"/>
                <w:szCs w:val="18"/>
              </w:rPr>
              <w:t>Conceptualization of Accountability Measure</w:t>
            </w:r>
          </w:p>
        </w:tc>
      </w:tr>
      <w:tr w:rsidR="000731D4" w14:paraId="543DCF4F" w14:textId="77777777" w:rsidTr="003F11F4">
        <w:tc>
          <w:tcPr>
            <w:tcW w:w="4675" w:type="dxa"/>
          </w:tcPr>
          <w:p w14:paraId="53EE65A6" w14:textId="77777777" w:rsidR="000731D4" w:rsidRPr="008E4CDF" w:rsidRDefault="000731D4" w:rsidP="00C011DC">
            <w:pPr>
              <w:rPr>
                <w:sz w:val="18"/>
                <w:szCs w:val="18"/>
              </w:rPr>
            </w:pPr>
            <w:r w:rsidRPr="008E4CDF">
              <w:rPr>
                <w:sz w:val="18"/>
                <w:szCs w:val="18"/>
              </w:rPr>
              <w:t>Compliance</w:t>
            </w:r>
          </w:p>
        </w:tc>
        <w:tc>
          <w:tcPr>
            <w:tcW w:w="4675" w:type="dxa"/>
          </w:tcPr>
          <w:p w14:paraId="7BBE728F" w14:textId="2C2E4867" w:rsidR="000731D4" w:rsidRPr="008E4CDF" w:rsidRDefault="000731D4" w:rsidP="00C011DC">
            <w:pPr>
              <w:rPr>
                <w:sz w:val="18"/>
                <w:szCs w:val="18"/>
              </w:rPr>
            </w:pPr>
            <w:r w:rsidRPr="008E4CDF">
              <w:rPr>
                <w:b/>
                <w:bCs/>
                <w:sz w:val="18"/>
                <w:szCs w:val="18"/>
              </w:rPr>
              <w:t>Transparency</w:t>
            </w:r>
            <w:r w:rsidR="00EF714A" w:rsidRPr="008E4CDF">
              <w:rPr>
                <w:sz w:val="18"/>
                <w:szCs w:val="18"/>
              </w:rPr>
              <w:t xml:space="preserve"> (record and release </w:t>
            </w:r>
            <w:r w:rsidR="00C011DC" w:rsidRPr="008E4CDF">
              <w:rPr>
                <w:sz w:val="18"/>
                <w:szCs w:val="18"/>
              </w:rPr>
              <w:t xml:space="preserve">all </w:t>
            </w:r>
            <w:r w:rsidR="00EF714A" w:rsidRPr="008E4CDF">
              <w:rPr>
                <w:sz w:val="18"/>
                <w:szCs w:val="18"/>
              </w:rPr>
              <w:t>operational data</w:t>
            </w:r>
            <w:r w:rsidR="00C011DC" w:rsidRPr="008E4CDF">
              <w:rPr>
                <w:sz w:val="18"/>
                <w:szCs w:val="18"/>
              </w:rPr>
              <w:t xml:space="preserve"> relevant to agency mandate</w:t>
            </w:r>
            <w:r w:rsidR="00104D17">
              <w:rPr>
                <w:sz w:val="18"/>
                <w:szCs w:val="18"/>
              </w:rPr>
              <w:t xml:space="preserve"> – ie. code violations, evictions, preferential rent</w:t>
            </w:r>
            <w:r w:rsidR="00EF714A" w:rsidRPr="008E4CDF">
              <w:rPr>
                <w:sz w:val="18"/>
                <w:szCs w:val="18"/>
              </w:rPr>
              <w:t>)</w:t>
            </w:r>
          </w:p>
        </w:tc>
      </w:tr>
      <w:tr w:rsidR="000731D4" w14:paraId="317F5E54" w14:textId="77777777" w:rsidTr="003F11F4">
        <w:tc>
          <w:tcPr>
            <w:tcW w:w="4675" w:type="dxa"/>
          </w:tcPr>
          <w:p w14:paraId="6246F12C" w14:textId="77777777" w:rsidR="000731D4" w:rsidRPr="008E4CDF" w:rsidRDefault="000731D4" w:rsidP="00C011DC">
            <w:pPr>
              <w:rPr>
                <w:sz w:val="18"/>
                <w:szCs w:val="18"/>
              </w:rPr>
            </w:pPr>
            <w:r w:rsidRPr="008E4CDF">
              <w:rPr>
                <w:sz w:val="18"/>
                <w:szCs w:val="18"/>
              </w:rPr>
              <w:t>Capacity</w:t>
            </w:r>
          </w:p>
        </w:tc>
        <w:tc>
          <w:tcPr>
            <w:tcW w:w="4675" w:type="dxa"/>
          </w:tcPr>
          <w:p w14:paraId="6C413D04" w14:textId="3E9D787C" w:rsidR="00391787" w:rsidRPr="008E4CDF" w:rsidRDefault="000731D4" w:rsidP="00C011DC">
            <w:pPr>
              <w:rPr>
                <w:sz w:val="18"/>
                <w:szCs w:val="18"/>
              </w:rPr>
            </w:pPr>
            <w:r w:rsidRPr="008E4CDF">
              <w:rPr>
                <w:b/>
                <w:bCs/>
                <w:sz w:val="18"/>
                <w:szCs w:val="18"/>
              </w:rPr>
              <w:t>Controllability</w:t>
            </w:r>
            <w:r w:rsidR="00EF714A" w:rsidRPr="008E4CDF">
              <w:rPr>
                <w:sz w:val="18"/>
                <w:szCs w:val="18"/>
              </w:rPr>
              <w:t xml:space="preserve"> (resources in personnel and budget to accomplish task</w:t>
            </w:r>
            <w:r w:rsidR="00C011DC" w:rsidRPr="008E4CDF">
              <w:rPr>
                <w:sz w:val="18"/>
                <w:szCs w:val="18"/>
              </w:rPr>
              <w:t xml:space="preserve"> = fiscal controllability elected official’s “Tone at the Top”</w:t>
            </w:r>
            <w:r w:rsidR="00EF714A" w:rsidRPr="008E4CDF">
              <w:rPr>
                <w:sz w:val="18"/>
                <w:szCs w:val="18"/>
              </w:rPr>
              <w:t>)</w:t>
            </w:r>
            <w:r w:rsidRPr="008E4CDF">
              <w:rPr>
                <w:sz w:val="18"/>
                <w:szCs w:val="18"/>
              </w:rPr>
              <w:t xml:space="preserve">; </w:t>
            </w:r>
          </w:p>
          <w:p w14:paraId="569F1F44" w14:textId="2D22EACB" w:rsidR="000731D4" w:rsidRPr="008E4CDF" w:rsidRDefault="000731D4" w:rsidP="00C011DC">
            <w:pPr>
              <w:rPr>
                <w:sz w:val="18"/>
                <w:szCs w:val="18"/>
              </w:rPr>
            </w:pPr>
            <w:r w:rsidRPr="008E4CDF">
              <w:rPr>
                <w:b/>
                <w:bCs/>
                <w:sz w:val="18"/>
                <w:szCs w:val="18"/>
              </w:rPr>
              <w:t>Responsiveness</w:t>
            </w:r>
            <w:r w:rsidR="00EF714A" w:rsidRPr="008E4CDF">
              <w:rPr>
                <w:sz w:val="18"/>
                <w:szCs w:val="18"/>
              </w:rPr>
              <w:t xml:space="preserve"> (ability to respond to violations and investigations in a timely manner</w:t>
            </w:r>
            <w:r w:rsidR="00C011DC" w:rsidRPr="008E4CDF">
              <w:rPr>
                <w:sz w:val="18"/>
                <w:szCs w:val="18"/>
              </w:rPr>
              <w:t xml:space="preserve"> – were agency policies being followed. Were agency policies relevant to mandate.</w:t>
            </w:r>
            <w:r w:rsidR="00EF714A" w:rsidRPr="008E4CDF">
              <w:rPr>
                <w:sz w:val="18"/>
                <w:szCs w:val="18"/>
              </w:rPr>
              <w:t>)</w:t>
            </w:r>
          </w:p>
        </w:tc>
      </w:tr>
      <w:tr w:rsidR="000731D4" w14:paraId="129584D0" w14:textId="77777777" w:rsidTr="008E4CDF">
        <w:trPr>
          <w:trHeight w:val="42"/>
        </w:trPr>
        <w:tc>
          <w:tcPr>
            <w:tcW w:w="4675" w:type="dxa"/>
          </w:tcPr>
          <w:p w14:paraId="7E528232" w14:textId="77777777" w:rsidR="000731D4" w:rsidRPr="008E4CDF" w:rsidRDefault="000731D4" w:rsidP="00C011DC">
            <w:pPr>
              <w:rPr>
                <w:sz w:val="18"/>
                <w:szCs w:val="18"/>
              </w:rPr>
            </w:pPr>
            <w:r w:rsidRPr="008E4CDF">
              <w:rPr>
                <w:sz w:val="18"/>
                <w:szCs w:val="18"/>
              </w:rPr>
              <w:t>Performance</w:t>
            </w:r>
          </w:p>
        </w:tc>
        <w:tc>
          <w:tcPr>
            <w:tcW w:w="4675" w:type="dxa"/>
          </w:tcPr>
          <w:p w14:paraId="1E9BA98A" w14:textId="6644E687" w:rsidR="00391787" w:rsidRPr="008E4CDF" w:rsidRDefault="000731D4" w:rsidP="00C011DC">
            <w:pPr>
              <w:rPr>
                <w:sz w:val="18"/>
                <w:szCs w:val="18"/>
              </w:rPr>
            </w:pPr>
            <w:r w:rsidRPr="008E4CDF">
              <w:rPr>
                <w:b/>
                <w:bCs/>
                <w:sz w:val="18"/>
                <w:szCs w:val="18"/>
              </w:rPr>
              <w:t>Responsibility</w:t>
            </w:r>
            <w:r w:rsidR="00EF714A" w:rsidRPr="008E4CDF">
              <w:rPr>
                <w:sz w:val="18"/>
                <w:szCs w:val="18"/>
              </w:rPr>
              <w:t xml:space="preserve"> (policies supporting transparent investigations</w:t>
            </w:r>
            <w:r w:rsidR="00C011DC" w:rsidRPr="008E4CDF">
              <w:rPr>
                <w:sz w:val="18"/>
                <w:szCs w:val="18"/>
              </w:rPr>
              <w:t>; access to agency for reporting violations and policy complaints.</w:t>
            </w:r>
            <w:r w:rsidR="00EF714A" w:rsidRPr="008E4CDF">
              <w:rPr>
                <w:sz w:val="18"/>
                <w:szCs w:val="18"/>
              </w:rPr>
              <w:t>)</w:t>
            </w:r>
            <w:r w:rsidRPr="008E4CDF">
              <w:rPr>
                <w:sz w:val="18"/>
                <w:szCs w:val="18"/>
              </w:rPr>
              <w:t xml:space="preserve">; </w:t>
            </w:r>
          </w:p>
          <w:p w14:paraId="3E59B585" w14:textId="058A83E9" w:rsidR="000731D4" w:rsidRPr="008E4CDF" w:rsidRDefault="000731D4" w:rsidP="00C011DC">
            <w:pPr>
              <w:rPr>
                <w:sz w:val="18"/>
                <w:szCs w:val="18"/>
              </w:rPr>
            </w:pPr>
            <w:r w:rsidRPr="008E4CDF">
              <w:rPr>
                <w:b/>
                <w:bCs/>
                <w:sz w:val="18"/>
                <w:szCs w:val="18"/>
              </w:rPr>
              <w:t>Liability</w:t>
            </w:r>
            <w:r w:rsidR="00EF714A" w:rsidRPr="008E4CDF">
              <w:rPr>
                <w:sz w:val="18"/>
                <w:szCs w:val="18"/>
              </w:rPr>
              <w:t xml:space="preserve"> (regular performance auditing and sharing to provide risk management </w:t>
            </w:r>
            <w:r w:rsidR="00104D17">
              <w:rPr>
                <w:sz w:val="18"/>
                <w:szCs w:val="18"/>
              </w:rPr>
              <w:t>framework to stakeholders</w:t>
            </w:r>
            <w:r w:rsidR="00C011DC" w:rsidRPr="008E4CDF">
              <w:rPr>
                <w:sz w:val="18"/>
                <w:szCs w:val="18"/>
              </w:rPr>
              <w:t xml:space="preserve">; agency </w:t>
            </w:r>
            <w:r w:rsidR="00104D17">
              <w:rPr>
                <w:sz w:val="18"/>
                <w:szCs w:val="18"/>
              </w:rPr>
              <w:t>M</w:t>
            </w:r>
            <w:r w:rsidR="00C011DC" w:rsidRPr="008E4CDF">
              <w:rPr>
                <w:sz w:val="18"/>
                <w:szCs w:val="18"/>
              </w:rPr>
              <w:t>anagement responding to oversight agency corrective recommendations; agency</w:t>
            </w:r>
            <w:r w:rsidR="00104D17">
              <w:rPr>
                <w:sz w:val="18"/>
                <w:szCs w:val="18"/>
              </w:rPr>
              <w:t xml:space="preserve"> Management responding directly to citizen’s groups. </w:t>
            </w:r>
          </w:p>
        </w:tc>
      </w:tr>
    </w:tbl>
    <w:p w14:paraId="0FE5FCF5" w14:textId="707C50CE" w:rsidR="006907DE" w:rsidRDefault="006907DE" w:rsidP="006907DE">
      <w:pPr>
        <w:spacing w:line="240" w:lineRule="auto"/>
        <w:jc w:val="both"/>
      </w:pPr>
      <w:r>
        <w:lastRenderedPageBreak/>
        <w:t xml:space="preserve">Having areas to focus for measuring accountability does not provide guaranteed definitions for how those areas can be assessed to attain such a measurement. Audit tools are helpful here, and </w:t>
      </w:r>
      <w:r w:rsidRPr="00C55A70">
        <w:t>Koppell’s</w:t>
      </w:r>
      <w:r>
        <w:rPr>
          <w:i/>
          <w:iCs/>
        </w:rPr>
        <w:t xml:space="preserve"> </w:t>
      </w:r>
      <w:r>
        <w:t xml:space="preserve">conceptions provide excellent audit questions for measuring accountability, </w:t>
      </w:r>
      <w:r w:rsidR="009D4BF2">
        <w:t xml:space="preserve">as </w:t>
      </w:r>
      <w:r w:rsidR="001002AE">
        <w:t>o</w:t>
      </w:r>
      <w:r>
        <w:t>perationalize</w:t>
      </w:r>
      <w:r w:rsidR="001002AE">
        <w:t>d below</w:t>
      </w:r>
      <w:r>
        <w:t>.</w:t>
      </w:r>
    </w:p>
    <w:p w14:paraId="1B03FDFD" w14:textId="77777777" w:rsidR="00E22A4A" w:rsidRDefault="00E22A4A" w:rsidP="00E22A4A">
      <w:pPr>
        <w:jc w:val="both"/>
      </w:pPr>
      <w:r>
        <w:t xml:space="preserve">The legislative and administrative policies presented earlier can be studied through this model as there is extensive publicly available data, even if it has strict access controls. An attempt will be made to causally link the legislative policies of </w:t>
      </w:r>
      <w:r>
        <w:rPr>
          <w:i/>
          <w:iCs/>
        </w:rPr>
        <w:t>Vacancy Decontrol</w:t>
      </w:r>
      <w:r>
        <w:t xml:space="preserve"> and </w:t>
      </w:r>
      <w:r>
        <w:rPr>
          <w:i/>
          <w:iCs/>
        </w:rPr>
        <w:t xml:space="preserve">Preferential Rent </w:t>
      </w:r>
      <w:r>
        <w:t>directly to:</w:t>
      </w:r>
    </w:p>
    <w:p w14:paraId="03339E4B" w14:textId="77777777" w:rsidR="00E22A4A" w:rsidRDefault="00E22A4A" w:rsidP="00E22A4A">
      <w:pPr>
        <w:pStyle w:val="ListParagraph"/>
        <w:numPr>
          <w:ilvl w:val="0"/>
          <w:numId w:val="26"/>
        </w:numPr>
        <w:jc w:val="both"/>
      </w:pPr>
      <w:r w:rsidRPr="00B1288C">
        <w:rPr>
          <w:u w:val="single"/>
        </w:rPr>
        <w:t xml:space="preserve">HCR </w:t>
      </w:r>
      <w:r w:rsidRPr="00B1288C">
        <w:rPr>
          <w:i/>
          <w:iCs/>
          <w:u w:val="single"/>
        </w:rPr>
        <w:t>Compliance</w:t>
      </w:r>
      <w:r>
        <w:t xml:space="preserve"> – Recording annual rent information from landlords and making rent charge basis reports easily accessible to tenant.</w:t>
      </w:r>
    </w:p>
    <w:p w14:paraId="6E4C4C61" w14:textId="77777777" w:rsidR="00E22A4A" w:rsidRDefault="00E22A4A" w:rsidP="00E22A4A">
      <w:pPr>
        <w:pStyle w:val="ListParagraph"/>
        <w:numPr>
          <w:ilvl w:val="0"/>
          <w:numId w:val="26"/>
        </w:numPr>
        <w:jc w:val="both"/>
      </w:pPr>
      <w:r w:rsidRPr="00B1288C">
        <w:rPr>
          <w:u w:val="single"/>
        </w:rPr>
        <w:t xml:space="preserve">HCR </w:t>
      </w:r>
      <w:r w:rsidRPr="00B1288C">
        <w:rPr>
          <w:i/>
          <w:iCs/>
          <w:u w:val="single"/>
        </w:rPr>
        <w:t>Capacity</w:t>
      </w:r>
      <w:r>
        <w:rPr>
          <w:i/>
          <w:iCs/>
        </w:rPr>
        <w:t xml:space="preserve"> </w:t>
      </w:r>
      <w:r>
        <w:t>– The ability of HCR staff and management to adequately conduct due-diligence on rent-charge basis to prevent landlord fraud and abuse.</w:t>
      </w:r>
    </w:p>
    <w:p w14:paraId="001B1ABB" w14:textId="77777777" w:rsidR="00E22A4A" w:rsidRDefault="00E22A4A" w:rsidP="00E22A4A">
      <w:pPr>
        <w:pStyle w:val="ListParagraph"/>
        <w:numPr>
          <w:ilvl w:val="0"/>
          <w:numId w:val="26"/>
        </w:numPr>
        <w:jc w:val="both"/>
      </w:pPr>
      <w:r w:rsidRPr="00B1288C">
        <w:rPr>
          <w:u w:val="single"/>
        </w:rPr>
        <w:t xml:space="preserve">HCR </w:t>
      </w:r>
      <w:r w:rsidRPr="00B1288C">
        <w:rPr>
          <w:i/>
          <w:iCs/>
          <w:u w:val="single"/>
        </w:rPr>
        <w:t>Performance</w:t>
      </w:r>
      <w:r>
        <w:t xml:space="preserve"> – The timeliness and accuracy of HCR staff and management in responding to tenant “Rent-Overcharge” complaints.</w:t>
      </w:r>
    </w:p>
    <w:p w14:paraId="2ADD3B4C" w14:textId="77777777" w:rsidR="00E22A4A" w:rsidRDefault="00E22A4A" w:rsidP="00E22A4A">
      <w:pPr>
        <w:pStyle w:val="ListParagraph"/>
        <w:numPr>
          <w:ilvl w:val="0"/>
          <w:numId w:val="26"/>
        </w:numPr>
        <w:jc w:val="both"/>
      </w:pPr>
      <w:r w:rsidRPr="00B1288C">
        <w:rPr>
          <w:u w:val="single"/>
        </w:rPr>
        <w:t xml:space="preserve">HPD </w:t>
      </w:r>
      <w:r w:rsidRPr="00B1288C">
        <w:rPr>
          <w:i/>
          <w:iCs/>
          <w:u w:val="single"/>
        </w:rPr>
        <w:t>Compliance</w:t>
      </w:r>
      <w:r>
        <w:rPr>
          <w:i/>
          <w:iCs/>
        </w:rPr>
        <w:t xml:space="preserve"> </w:t>
      </w:r>
      <w:r>
        <w:t>– Recording maintenance Code Violations for annual reporting to oversight and other stakeholders.</w:t>
      </w:r>
    </w:p>
    <w:p w14:paraId="04389168" w14:textId="770585A5" w:rsidR="00E22A4A" w:rsidRDefault="00E22A4A" w:rsidP="00E22A4A">
      <w:pPr>
        <w:pStyle w:val="ListParagraph"/>
        <w:numPr>
          <w:ilvl w:val="0"/>
          <w:numId w:val="26"/>
        </w:numPr>
        <w:jc w:val="both"/>
      </w:pPr>
      <w:r w:rsidRPr="00B1288C">
        <w:rPr>
          <w:u w:val="single"/>
        </w:rPr>
        <w:t xml:space="preserve">HPD </w:t>
      </w:r>
      <w:r w:rsidRPr="00B1288C">
        <w:rPr>
          <w:i/>
          <w:iCs/>
          <w:u w:val="single"/>
        </w:rPr>
        <w:t>Performance</w:t>
      </w:r>
      <w:r>
        <w:t xml:space="preserve"> – The timeliness of closing code violations with corrective action from landlord.</w:t>
      </w:r>
    </w:p>
    <w:p w14:paraId="34C49592" w14:textId="03281176" w:rsidR="005379E0" w:rsidRPr="00B1288C" w:rsidRDefault="00FB4B2B" w:rsidP="00E22A4A">
      <w:pPr>
        <w:pStyle w:val="ListParagraph"/>
        <w:numPr>
          <w:ilvl w:val="0"/>
          <w:numId w:val="26"/>
        </w:numPr>
        <w:jc w:val="both"/>
        <w:rPr>
          <w:u w:val="single"/>
        </w:rPr>
      </w:pPr>
      <w:r w:rsidRPr="00B1288C">
        <w:rPr>
          <w:u w:val="single"/>
        </w:rPr>
        <w:t xml:space="preserve">Comparisons between Preferential Rent &amp; Legal Rent leases </w:t>
      </w:r>
      <w:r w:rsidR="005379E0" w:rsidRPr="00B1288C">
        <w:rPr>
          <w:u w:val="single"/>
        </w:rPr>
        <w:t xml:space="preserve">in stabilized housing </w:t>
      </w:r>
      <w:r w:rsidRPr="00B1288C">
        <w:rPr>
          <w:u w:val="single"/>
        </w:rPr>
        <w:t xml:space="preserve">for: </w:t>
      </w:r>
    </w:p>
    <w:p w14:paraId="5815CBAE" w14:textId="710E3D37" w:rsidR="005379E0" w:rsidRDefault="0075351E" w:rsidP="005379E0">
      <w:pPr>
        <w:pStyle w:val="ListParagraph"/>
        <w:numPr>
          <w:ilvl w:val="1"/>
          <w:numId w:val="26"/>
        </w:numPr>
        <w:jc w:val="both"/>
      </w:pPr>
      <w:r>
        <w:t>1 or 2-year lease – Duration of Lease</w:t>
      </w:r>
      <w:r w:rsidR="00FB4B2B">
        <w:t xml:space="preserve">; </w:t>
      </w:r>
    </w:p>
    <w:p w14:paraId="29E4F784" w14:textId="5733ABE6" w:rsidR="00FB4B2B" w:rsidRDefault="00FB4B2B" w:rsidP="005379E0">
      <w:pPr>
        <w:pStyle w:val="ListParagraph"/>
        <w:numPr>
          <w:ilvl w:val="1"/>
          <w:numId w:val="26"/>
        </w:numPr>
        <w:jc w:val="both"/>
      </w:pPr>
      <w:r>
        <w:t xml:space="preserve">% change in rent, year-on-year; </w:t>
      </w:r>
    </w:p>
    <w:p w14:paraId="745680A6" w14:textId="5661726E" w:rsidR="005379E0" w:rsidRPr="005379E0" w:rsidRDefault="005379E0" w:rsidP="005379E0">
      <w:pPr>
        <w:pStyle w:val="ListParagraph"/>
        <w:numPr>
          <w:ilvl w:val="1"/>
          <w:numId w:val="26"/>
        </w:numPr>
        <w:jc w:val="both"/>
      </w:pPr>
      <w:r>
        <w:t xml:space="preserve">Duration of tenant prior to </w:t>
      </w:r>
      <w:r>
        <w:rPr>
          <w:i/>
          <w:iCs/>
        </w:rPr>
        <w:t>Displacement</w:t>
      </w:r>
    </w:p>
    <w:p w14:paraId="52C31DDE" w14:textId="3F326685" w:rsidR="00B1288C" w:rsidRDefault="005379E0" w:rsidP="00B1288C">
      <w:pPr>
        <w:pStyle w:val="ListParagraph"/>
        <w:numPr>
          <w:ilvl w:val="1"/>
          <w:numId w:val="26"/>
        </w:numPr>
        <w:jc w:val="both"/>
      </w:pPr>
      <w:r>
        <w:t>Demographics of tenant [non-identifying census demographics only]</w:t>
      </w:r>
    </w:p>
    <w:p w14:paraId="0B93C12E" w14:textId="527217A4" w:rsidR="00B1288C" w:rsidRPr="00B1288C" w:rsidRDefault="00B1288C" w:rsidP="00B1288C">
      <w:pPr>
        <w:pStyle w:val="ListParagraph"/>
        <w:numPr>
          <w:ilvl w:val="0"/>
          <w:numId w:val="26"/>
        </w:numPr>
        <w:jc w:val="both"/>
      </w:pPr>
      <w:r>
        <w:rPr>
          <w:u w:val="single"/>
        </w:rPr>
        <w:t xml:space="preserve">Comparing impact of Evictions &amp; Evictions filings on </w:t>
      </w:r>
      <w:r>
        <w:rPr>
          <w:i/>
          <w:iCs/>
          <w:u w:val="single"/>
        </w:rPr>
        <w:t xml:space="preserve">Displacement </w:t>
      </w:r>
      <w:r>
        <w:rPr>
          <w:u w:val="single"/>
        </w:rPr>
        <w:t>of Protected Groups:</w:t>
      </w:r>
    </w:p>
    <w:p w14:paraId="7E01BD2D" w14:textId="0355E608" w:rsidR="00B1288C" w:rsidRDefault="00B1288C" w:rsidP="00B1288C">
      <w:pPr>
        <w:pStyle w:val="ListParagraph"/>
        <w:numPr>
          <w:ilvl w:val="1"/>
          <w:numId w:val="26"/>
        </w:numPr>
        <w:jc w:val="both"/>
      </w:pPr>
      <w:r>
        <w:t>Black populations</w:t>
      </w:r>
    </w:p>
    <w:p w14:paraId="11668279" w14:textId="3C48FA20" w:rsidR="00B1288C" w:rsidRDefault="00B1288C" w:rsidP="00B1288C">
      <w:pPr>
        <w:pStyle w:val="ListParagraph"/>
        <w:numPr>
          <w:ilvl w:val="1"/>
          <w:numId w:val="26"/>
        </w:numPr>
        <w:jc w:val="both"/>
      </w:pPr>
      <w:r>
        <w:t>Hispanic populations</w:t>
      </w:r>
    </w:p>
    <w:p w14:paraId="56B0766A" w14:textId="3D4A424F" w:rsidR="00B1288C" w:rsidRDefault="00B1288C" w:rsidP="00B1288C">
      <w:pPr>
        <w:pStyle w:val="ListParagraph"/>
        <w:numPr>
          <w:ilvl w:val="1"/>
          <w:numId w:val="26"/>
        </w:numPr>
        <w:jc w:val="both"/>
      </w:pPr>
      <w:r>
        <w:t>Native Americans</w:t>
      </w:r>
    </w:p>
    <w:p w14:paraId="64DEA07F" w14:textId="3D20DC47" w:rsidR="00B1288C" w:rsidRDefault="00B1288C" w:rsidP="00B1288C">
      <w:pPr>
        <w:pStyle w:val="ListParagraph"/>
        <w:numPr>
          <w:ilvl w:val="1"/>
          <w:numId w:val="26"/>
        </w:numPr>
        <w:jc w:val="both"/>
      </w:pPr>
      <w:r>
        <w:t>Families with Children</w:t>
      </w:r>
    </w:p>
    <w:p w14:paraId="30AF7339" w14:textId="101F9C16" w:rsidR="00B1288C" w:rsidRDefault="00B1288C" w:rsidP="00B1288C">
      <w:pPr>
        <w:pStyle w:val="ListParagraph"/>
        <w:numPr>
          <w:ilvl w:val="1"/>
          <w:numId w:val="26"/>
        </w:numPr>
        <w:jc w:val="both"/>
      </w:pPr>
      <w:r>
        <w:t>Single parent families with children</w:t>
      </w:r>
    </w:p>
    <w:p w14:paraId="27B3C219" w14:textId="39A9A59E" w:rsidR="00B1288C" w:rsidRDefault="00B1288C" w:rsidP="00B1288C">
      <w:pPr>
        <w:pStyle w:val="ListParagraph"/>
        <w:numPr>
          <w:ilvl w:val="0"/>
          <w:numId w:val="26"/>
        </w:numPr>
        <w:jc w:val="both"/>
        <w:rPr>
          <w:u w:val="single"/>
        </w:rPr>
      </w:pPr>
      <w:r w:rsidRPr="00B1288C">
        <w:rPr>
          <w:u w:val="single"/>
        </w:rPr>
        <w:t xml:space="preserve">Comparing </w:t>
      </w:r>
      <w:r w:rsidRPr="00B1288C">
        <w:rPr>
          <w:i/>
          <w:iCs/>
          <w:u w:val="single"/>
        </w:rPr>
        <w:t>Displacement and Affordable Crisis variables</w:t>
      </w:r>
      <w:r w:rsidRPr="00B1288C">
        <w:rPr>
          <w:u w:val="single"/>
        </w:rPr>
        <w:t xml:space="preserve"> with Census </w:t>
      </w:r>
      <w:r w:rsidR="008A04FB">
        <w:rPr>
          <w:u w:val="single"/>
        </w:rPr>
        <w:t>“real wage”</w:t>
      </w:r>
      <w:r w:rsidRPr="00B1288C">
        <w:rPr>
          <w:u w:val="single"/>
        </w:rPr>
        <w:t xml:space="preserve"> data for:</w:t>
      </w:r>
    </w:p>
    <w:p w14:paraId="5DDF281F" w14:textId="6832E10B" w:rsidR="00B1288C" w:rsidRPr="00B1288C" w:rsidRDefault="00B1288C" w:rsidP="00B1288C">
      <w:pPr>
        <w:pStyle w:val="ListParagraph"/>
        <w:numPr>
          <w:ilvl w:val="1"/>
          <w:numId w:val="26"/>
        </w:numPr>
        <w:jc w:val="both"/>
        <w:rPr>
          <w:u w:val="single"/>
        </w:rPr>
      </w:pPr>
      <w:r>
        <w:t xml:space="preserve">Causal link showing that </w:t>
      </w:r>
      <w:r>
        <w:rPr>
          <w:i/>
          <w:iCs/>
        </w:rPr>
        <w:t xml:space="preserve">Displacement </w:t>
      </w:r>
      <w:r>
        <w:t>led to higher-paying tenant, not “real wage” growth.</w:t>
      </w:r>
    </w:p>
    <w:p w14:paraId="02F0424F" w14:textId="7045FA91" w:rsidR="00B1288C" w:rsidRPr="00B1288C" w:rsidRDefault="00B1288C" w:rsidP="00B1288C">
      <w:pPr>
        <w:pStyle w:val="ListParagraph"/>
        <w:numPr>
          <w:ilvl w:val="1"/>
          <w:numId w:val="26"/>
        </w:numPr>
        <w:jc w:val="both"/>
        <w:rPr>
          <w:u w:val="single"/>
        </w:rPr>
      </w:pPr>
      <w:r>
        <w:t xml:space="preserve">Causal link showing that </w:t>
      </w:r>
      <w:r>
        <w:rPr>
          <w:i/>
          <w:iCs/>
        </w:rPr>
        <w:t xml:space="preserve">Affordability Crisis </w:t>
      </w:r>
      <w:r>
        <w:t>was an undue burden on protected groups.</w:t>
      </w:r>
    </w:p>
    <w:p w14:paraId="7E816904" w14:textId="7867F062" w:rsidR="005572F4" w:rsidRDefault="005572F4" w:rsidP="006907DE">
      <w:pPr>
        <w:spacing w:line="240" w:lineRule="auto"/>
        <w:jc w:val="both"/>
      </w:pPr>
    </w:p>
    <w:p w14:paraId="467DCF2B" w14:textId="3E5E6780" w:rsidR="005572F4" w:rsidRDefault="005572F4" w:rsidP="006907DE">
      <w:pPr>
        <w:spacing w:line="240" w:lineRule="auto"/>
        <w:jc w:val="both"/>
      </w:pPr>
    </w:p>
    <w:p w14:paraId="46B5743D" w14:textId="461D36BC" w:rsidR="005572F4" w:rsidRDefault="005572F4" w:rsidP="006907DE">
      <w:pPr>
        <w:spacing w:line="240" w:lineRule="auto"/>
        <w:jc w:val="both"/>
      </w:pPr>
    </w:p>
    <w:p w14:paraId="69C99227" w14:textId="44A697B2" w:rsidR="005572F4" w:rsidRDefault="005572F4" w:rsidP="006907DE">
      <w:pPr>
        <w:spacing w:line="240" w:lineRule="auto"/>
        <w:jc w:val="both"/>
      </w:pPr>
    </w:p>
    <w:p w14:paraId="46165B95" w14:textId="15902B1B" w:rsidR="005572F4" w:rsidRDefault="005572F4" w:rsidP="006907DE">
      <w:pPr>
        <w:spacing w:line="240" w:lineRule="auto"/>
        <w:jc w:val="both"/>
      </w:pPr>
    </w:p>
    <w:p w14:paraId="56D259DD" w14:textId="41869F10" w:rsidR="005572F4" w:rsidRDefault="005572F4" w:rsidP="006907DE">
      <w:pPr>
        <w:spacing w:line="240" w:lineRule="auto"/>
        <w:jc w:val="both"/>
      </w:pPr>
    </w:p>
    <w:p w14:paraId="64910486" w14:textId="6D2D95EE" w:rsidR="005572F4" w:rsidRDefault="005572F4" w:rsidP="006907DE">
      <w:pPr>
        <w:spacing w:line="240" w:lineRule="auto"/>
        <w:jc w:val="both"/>
      </w:pPr>
    </w:p>
    <w:p w14:paraId="08DDB244" w14:textId="40AED12F" w:rsidR="005572F4" w:rsidRDefault="005572F4" w:rsidP="006907DE">
      <w:pPr>
        <w:spacing w:line="240" w:lineRule="auto"/>
        <w:jc w:val="both"/>
      </w:pPr>
    </w:p>
    <w:p w14:paraId="0D9BC867" w14:textId="2F395B6C" w:rsidR="005572F4" w:rsidRDefault="005572F4" w:rsidP="006907DE">
      <w:pPr>
        <w:spacing w:line="240" w:lineRule="auto"/>
        <w:jc w:val="both"/>
      </w:pPr>
    </w:p>
    <w:p w14:paraId="4674FCE0" w14:textId="3FB8D25E" w:rsidR="005572F4" w:rsidRDefault="005572F4" w:rsidP="006907DE">
      <w:pPr>
        <w:spacing w:line="240" w:lineRule="auto"/>
        <w:jc w:val="both"/>
      </w:pPr>
    </w:p>
    <w:p w14:paraId="71153936" w14:textId="70D234C3" w:rsidR="00891268" w:rsidRPr="00C239CA" w:rsidRDefault="00B1288C" w:rsidP="00141185">
      <w:pPr>
        <w:pStyle w:val="Heading2"/>
        <w:rPr>
          <w:i/>
          <w:iCs/>
          <w:sz w:val="24"/>
          <w:szCs w:val="24"/>
        </w:rPr>
      </w:pPr>
      <w:bookmarkStart w:id="7" w:name="_Toc68084997"/>
      <w:r>
        <w:rPr>
          <w:i/>
          <w:iCs/>
          <w:sz w:val="24"/>
          <w:szCs w:val="24"/>
        </w:rPr>
        <w:lastRenderedPageBreak/>
        <w:t>P</w:t>
      </w:r>
      <w:r w:rsidR="00141185" w:rsidRPr="00C239CA">
        <w:rPr>
          <w:i/>
          <w:iCs/>
          <w:sz w:val="24"/>
          <w:szCs w:val="24"/>
        </w:rPr>
        <w:t xml:space="preserve">hase 3: Building an accountability model </w:t>
      </w:r>
      <w:r w:rsidR="002F34CE" w:rsidRPr="00C239CA">
        <w:rPr>
          <w:i/>
          <w:iCs/>
          <w:sz w:val="24"/>
          <w:szCs w:val="24"/>
        </w:rPr>
        <w:t>directed by</w:t>
      </w:r>
      <w:r w:rsidR="00141185" w:rsidRPr="00C239CA">
        <w:rPr>
          <w:i/>
          <w:iCs/>
          <w:sz w:val="24"/>
          <w:szCs w:val="24"/>
        </w:rPr>
        <w:t xml:space="preserve"> the </w:t>
      </w:r>
      <w:r w:rsidR="00F723A1">
        <w:rPr>
          <w:i/>
          <w:iCs/>
          <w:sz w:val="24"/>
          <w:szCs w:val="24"/>
        </w:rPr>
        <w:t>C</w:t>
      </w:r>
      <w:r w:rsidR="00141185" w:rsidRPr="00C239CA">
        <w:rPr>
          <w:i/>
          <w:iCs/>
          <w:sz w:val="24"/>
          <w:szCs w:val="24"/>
        </w:rPr>
        <w:t>itizen</w:t>
      </w:r>
      <w:bookmarkEnd w:id="7"/>
    </w:p>
    <w:p w14:paraId="05EA1BA0" w14:textId="5EDD206B" w:rsidR="00141185" w:rsidRDefault="00141185" w:rsidP="00141185">
      <w:pPr>
        <w:jc w:val="both"/>
      </w:pPr>
      <w:r>
        <w:rPr>
          <w:i/>
          <w:iCs/>
        </w:rPr>
        <w:t>Lee &amp; Whitford</w:t>
      </w:r>
      <w:r w:rsidR="005572F4">
        <w:rPr>
          <w:rStyle w:val="FootnoteReference"/>
          <w:i/>
          <w:iCs/>
        </w:rPr>
        <w:footnoteReference w:id="12"/>
      </w:r>
      <w:r>
        <w:t xml:space="preserve"> introduce a strong concept of public accountability that uses models presented in accounting and audit paradigms for publicly traded companies. With the increased use of non-financial measures, combined with the regulatory frameworks available to us through Sarbanes Oxley &amp; Dodd Frank, their paradigm makes complete sense</w:t>
      </w:r>
      <w:r w:rsidR="00030D8D">
        <w:t xml:space="preserve"> for transference to public management performance</w:t>
      </w:r>
      <w:r w:rsidR="005572F4">
        <w:t xml:space="preserve"> audits</w:t>
      </w:r>
      <w:r>
        <w:t xml:space="preserve">. </w:t>
      </w:r>
      <w:r>
        <w:rPr>
          <w:i/>
          <w:iCs/>
        </w:rPr>
        <w:t>Kurpierz &amp; Smith</w:t>
      </w:r>
      <w:r w:rsidR="00505D94">
        <w:rPr>
          <w:rStyle w:val="FootnoteReference"/>
        </w:rPr>
        <w:footnoteReference w:id="13"/>
      </w:r>
      <w:r>
        <w:t xml:space="preserve"> take this notion to the next level by introducing a viable experimental model to bring public accountability under accounting and audit paradigms, while doing it working with citizens and activists directly.</w:t>
      </w:r>
    </w:p>
    <w:p w14:paraId="4F398B42" w14:textId="36552652" w:rsidR="00141185" w:rsidRDefault="00141185" w:rsidP="00141185">
      <w:pPr>
        <w:jc w:val="both"/>
      </w:pPr>
      <w:r>
        <w:t xml:space="preserve">The </w:t>
      </w:r>
      <w:r>
        <w:rPr>
          <w:i/>
          <w:iCs/>
        </w:rPr>
        <w:t xml:space="preserve">Kurpierz &amp; Smith </w:t>
      </w:r>
      <w:r>
        <w:t>model to counter accountability avoidance pairs a forensically acculturated individual</w:t>
      </w:r>
      <w:r w:rsidR="00547519">
        <w:t xml:space="preserve"> with a lay citizen not trained in those skills. By providing this pairing, </w:t>
      </w:r>
      <w:r w:rsidR="00547519">
        <w:rPr>
          <w:i/>
          <w:iCs/>
        </w:rPr>
        <w:t>Kurpierz &amp; Smith</w:t>
      </w:r>
      <w:r w:rsidR="00547519">
        <w:t xml:space="preserve"> allow citizens to understand the </w:t>
      </w:r>
      <w:r w:rsidR="000A753A">
        <w:t xml:space="preserve">[audit] </w:t>
      </w:r>
      <w:r w:rsidR="00547519">
        <w:t>questions that make most sense for not only understanding if an agency is adhering to its mandate, but also if an agency is taking liability for policies that hinder that adherence.</w:t>
      </w:r>
      <w:r w:rsidR="00030D8D">
        <w:t xml:space="preserve"> This is referred to as an audit of culture and conduct at the agencies through the lens of the “customer”</w:t>
      </w:r>
      <w:r w:rsidR="000A753A">
        <w:t xml:space="preserve"> and other external stakeholders</w:t>
      </w:r>
      <w:r w:rsidR="00030D8D">
        <w:t xml:space="preserve">, which in this case </w:t>
      </w:r>
      <w:r w:rsidR="000A753A">
        <w:t>are</w:t>
      </w:r>
      <w:r w:rsidR="00030D8D">
        <w:t xml:space="preserve"> the citizen</w:t>
      </w:r>
      <w:r w:rsidR="000A753A">
        <w:t>, and citizen-activists</w:t>
      </w:r>
      <w:r w:rsidR="00030D8D">
        <w:t>.</w:t>
      </w:r>
    </w:p>
    <w:p w14:paraId="2C79DC98" w14:textId="5E7A28BC" w:rsidR="00547519" w:rsidRDefault="00547519" w:rsidP="00141185">
      <w:pPr>
        <w:jc w:val="both"/>
      </w:pPr>
      <w:r>
        <w:rPr>
          <w:i/>
          <w:iCs/>
        </w:rPr>
        <w:t>Kurpierz &amp; Smith</w:t>
      </w:r>
      <w:r>
        <w:t xml:space="preserve"> built their experimental model around the compliant and relevant use of monetary resources [</w:t>
      </w:r>
      <w:r w:rsidR="005D4F08">
        <w:t>taxpayer</w:t>
      </w:r>
      <w:r>
        <w:t xml:space="preserve"> funds] to support citizen concerns. By linking compliance to the use of monetary funds, which can be easily assessed using big data that is publicly available, </w:t>
      </w:r>
      <w:r>
        <w:rPr>
          <w:i/>
          <w:iCs/>
        </w:rPr>
        <w:t>Kurpierz &amp; Smith</w:t>
      </w:r>
      <w:r>
        <w:t xml:space="preserve"> provide a framework that can be compared to</w:t>
      </w:r>
      <w:r w:rsidR="00950EBB">
        <w:t xml:space="preserve"> </w:t>
      </w:r>
      <w:r>
        <w:t>standardized industry KPI’s. While these KPI’s are linked to effective and efficient performance to maximize profit, they are easily transferred to</w:t>
      </w:r>
      <w:r w:rsidR="006371BC">
        <w:t xml:space="preserve"> performance effectiveness and efficiency as an end in itself</w:t>
      </w:r>
      <w:r>
        <w:t xml:space="preserve">. </w:t>
      </w:r>
    </w:p>
    <w:p w14:paraId="307830D5" w14:textId="77777777" w:rsidR="00E22A4A" w:rsidRDefault="00E22A4A" w:rsidP="00141185">
      <w:pPr>
        <w:jc w:val="both"/>
      </w:pPr>
      <w:r>
        <w:t xml:space="preserve">This phase will also study the </w:t>
      </w:r>
      <w:r w:rsidR="00547519">
        <w:t>budget [including detailed breakdown of budgetary buckets] to understand if the “Tone at the Top” was focusing on the correct budget line items</w:t>
      </w:r>
      <w:r w:rsidR="00ED4F99">
        <w:t xml:space="preserve">, as billions of dollars were spent to “correct” New York’s [100-yr+] Affordable Housing crisis. </w:t>
      </w:r>
      <w:r>
        <w:t xml:space="preserve">The causal relationships we will study in phase 2 of this proposal will be compared to “budget focus” to bring the conversation, full-circle, back to “Tone at the Top” as the driving force behind the Affordable Housing Crisis in New York City, and likely other cities as well. </w:t>
      </w:r>
    </w:p>
    <w:p w14:paraId="1DBFB03E" w14:textId="1FC0D53D" w:rsidR="00E22A4A" w:rsidRDefault="00547519" w:rsidP="00141185">
      <w:pPr>
        <w:jc w:val="both"/>
      </w:pPr>
      <w:r>
        <w:t>Furthermore, comparative data from NYC Council will be used to show that resources were being directed to the wrong budget categories, leaving the NYC Council to fund the immediate crises neighborhoods were experiencing</w:t>
      </w:r>
      <w:r w:rsidR="00A201C2">
        <w:t>,</w:t>
      </w:r>
      <w:r>
        <w:t xml:space="preserve"> through discretionary spending. From 2009 – 201</w:t>
      </w:r>
      <w:r w:rsidR="008A04FB">
        <w:t>5</w:t>
      </w:r>
      <w:r>
        <w:t>, this discretionary spending amount</w:t>
      </w:r>
      <w:r w:rsidR="00030D8D">
        <w:t>s</w:t>
      </w:r>
      <w:r>
        <w:t xml:space="preserve"> to</w:t>
      </w:r>
      <w:r w:rsidR="000B1A3C">
        <w:t xml:space="preserve"> nearly</w:t>
      </w:r>
      <w:r>
        <w:t xml:space="preserve"> $</w:t>
      </w:r>
      <w:r w:rsidR="000B1A3C">
        <w:t>5</w:t>
      </w:r>
      <w:r w:rsidR="00A21E05">
        <w:t>0</w:t>
      </w:r>
      <w:r>
        <w:t xml:space="preserve">M </w:t>
      </w:r>
      <w:r w:rsidR="003A56BA">
        <w:t>for HPD related programs</w:t>
      </w:r>
      <w:r w:rsidR="0014456F">
        <w:t xml:space="preserve">, as shown in the table </w:t>
      </w:r>
      <w:r w:rsidR="008A04FB">
        <w:t>on the next page</w:t>
      </w:r>
      <w:r w:rsidR="0014456F">
        <w:t xml:space="preserve">. </w:t>
      </w:r>
    </w:p>
    <w:p w14:paraId="660F7BDF" w14:textId="77777777" w:rsidR="008A04FB" w:rsidRDefault="008A04FB" w:rsidP="008A04FB">
      <w:pPr>
        <w:jc w:val="both"/>
      </w:pPr>
      <w:r>
        <w:t>As part of Phase 2, we will collect more NYC Council &amp; NYS Assembly discretionary spending data to pinpoint the budget focus of the “Tone at the Top”, which is more NYS Assembly then it is NYC Council. The proposal hopes to connect discretionary spending as a “stop-gap” to underperforming agencies. The Council, unfortunately, still cannot control NYC Housing policy due to the URSTADT Law.</w:t>
      </w:r>
      <w:r>
        <w:rPr>
          <w:rStyle w:val="FootnoteReference"/>
        </w:rPr>
        <w:footnoteReference w:id="14"/>
      </w:r>
      <w:r>
        <w:t xml:space="preserve"> </w:t>
      </w:r>
    </w:p>
    <w:p w14:paraId="2ECC135C" w14:textId="33492779" w:rsidR="008A04FB" w:rsidRDefault="008A04FB" w:rsidP="00141185">
      <w:pPr>
        <w:jc w:val="both"/>
      </w:pPr>
    </w:p>
    <w:p w14:paraId="187C200E" w14:textId="77777777" w:rsidR="008A04FB" w:rsidRDefault="008A04FB" w:rsidP="00141185">
      <w:pPr>
        <w:jc w:val="both"/>
      </w:pPr>
    </w:p>
    <w:tbl>
      <w:tblPr>
        <w:tblW w:w="10345" w:type="dxa"/>
        <w:tblInd w:w="-455" w:type="dxa"/>
        <w:tblLook w:val="04A0" w:firstRow="1" w:lastRow="0" w:firstColumn="1" w:lastColumn="0" w:noHBand="0" w:noVBand="1"/>
      </w:tblPr>
      <w:tblGrid>
        <w:gridCol w:w="3235"/>
        <w:gridCol w:w="1128"/>
        <w:gridCol w:w="997"/>
        <w:gridCol w:w="997"/>
        <w:gridCol w:w="997"/>
        <w:gridCol w:w="997"/>
        <w:gridCol w:w="997"/>
        <w:gridCol w:w="997"/>
      </w:tblGrid>
      <w:tr w:rsidR="008A04FB" w:rsidRPr="000B1A3C" w14:paraId="2195D257" w14:textId="77777777" w:rsidTr="004D6ADA">
        <w:trPr>
          <w:trHeight w:val="144"/>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7A94C" w14:textId="7482F2C5" w:rsidR="008A04FB" w:rsidRPr="000B1A3C" w:rsidRDefault="008A04FB" w:rsidP="004D6ADA">
            <w:pPr>
              <w:spacing w:after="0" w:line="240" w:lineRule="auto"/>
              <w:rPr>
                <w:rFonts w:eastAsia="Times New Roman" w:cs="Times New Roman"/>
                <w:b/>
                <w:bCs/>
                <w:color w:val="000000"/>
                <w:sz w:val="18"/>
                <w:szCs w:val="18"/>
              </w:rPr>
            </w:pPr>
            <w:r w:rsidRPr="000B1A3C">
              <w:rPr>
                <w:rFonts w:eastAsia="Times New Roman" w:cs="Times New Roman"/>
                <w:b/>
                <w:bCs/>
                <w:color w:val="000000"/>
                <w:sz w:val="18"/>
                <w:szCs w:val="18"/>
              </w:rPr>
              <w:lastRenderedPageBreak/>
              <w:t>Agency</w:t>
            </w:r>
            <w:r w:rsidR="00D64E7A">
              <w:rPr>
                <w:rStyle w:val="FootnoteReference"/>
                <w:rFonts w:eastAsia="Times New Roman" w:cs="Times New Roman"/>
                <w:b/>
                <w:bCs/>
                <w:color w:val="000000"/>
                <w:sz w:val="18"/>
                <w:szCs w:val="18"/>
              </w:rPr>
              <w:footnoteReference w:id="15"/>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14:paraId="11F68202" w14:textId="77777777" w:rsidR="008A04FB" w:rsidRPr="000B1A3C" w:rsidRDefault="008A04FB" w:rsidP="004D6ADA">
            <w:pPr>
              <w:spacing w:after="0" w:line="240" w:lineRule="auto"/>
              <w:rPr>
                <w:rFonts w:eastAsia="Times New Roman" w:cs="Times New Roman"/>
                <w:b/>
                <w:bCs/>
                <w:color w:val="000000"/>
                <w:sz w:val="18"/>
                <w:szCs w:val="18"/>
              </w:rPr>
            </w:pPr>
            <w:r w:rsidRPr="000B1A3C">
              <w:rPr>
                <w:rFonts w:eastAsia="Times New Roman" w:cs="Times New Roman"/>
                <w:b/>
                <w:bCs/>
                <w:color w:val="000000"/>
                <w:sz w:val="18"/>
                <w:szCs w:val="18"/>
              </w:rPr>
              <w:t>HPD</w:t>
            </w:r>
          </w:p>
        </w:tc>
        <w:tc>
          <w:tcPr>
            <w:tcW w:w="997" w:type="dxa"/>
            <w:tcBorders>
              <w:top w:val="nil"/>
              <w:left w:val="nil"/>
              <w:bottom w:val="nil"/>
              <w:right w:val="nil"/>
            </w:tcBorders>
            <w:shd w:val="clear" w:color="auto" w:fill="auto"/>
            <w:noWrap/>
            <w:vAlign w:val="bottom"/>
            <w:hideMark/>
          </w:tcPr>
          <w:p w14:paraId="38E63F73" w14:textId="77777777" w:rsidR="008A04FB" w:rsidRPr="000B1A3C" w:rsidRDefault="008A04FB" w:rsidP="004D6ADA">
            <w:pPr>
              <w:spacing w:after="0" w:line="240" w:lineRule="auto"/>
              <w:rPr>
                <w:rFonts w:eastAsia="Times New Roman" w:cs="Times New Roman"/>
                <w:b/>
                <w:bCs/>
                <w:color w:val="000000"/>
                <w:sz w:val="18"/>
                <w:szCs w:val="18"/>
              </w:rPr>
            </w:pPr>
          </w:p>
        </w:tc>
        <w:tc>
          <w:tcPr>
            <w:tcW w:w="997" w:type="dxa"/>
            <w:tcBorders>
              <w:top w:val="nil"/>
              <w:left w:val="nil"/>
              <w:bottom w:val="nil"/>
              <w:right w:val="nil"/>
            </w:tcBorders>
            <w:shd w:val="clear" w:color="auto" w:fill="auto"/>
            <w:noWrap/>
            <w:vAlign w:val="bottom"/>
            <w:hideMark/>
          </w:tcPr>
          <w:p w14:paraId="741CE582" w14:textId="77777777" w:rsidR="008A04FB" w:rsidRPr="000B1A3C" w:rsidRDefault="008A04FB" w:rsidP="004D6ADA">
            <w:pPr>
              <w:spacing w:after="0" w:line="240" w:lineRule="auto"/>
              <w:rPr>
                <w:rFonts w:eastAsia="Times New Roman" w:cs="Times New Roman"/>
                <w:sz w:val="18"/>
                <w:szCs w:val="18"/>
              </w:rPr>
            </w:pPr>
          </w:p>
        </w:tc>
        <w:tc>
          <w:tcPr>
            <w:tcW w:w="997" w:type="dxa"/>
            <w:tcBorders>
              <w:top w:val="nil"/>
              <w:left w:val="nil"/>
              <w:bottom w:val="nil"/>
              <w:right w:val="nil"/>
            </w:tcBorders>
            <w:shd w:val="clear" w:color="auto" w:fill="auto"/>
            <w:noWrap/>
            <w:vAlign w:val="bottom"/>
            <w:hideMark/>
          </w:tcPr>
          <w:p w14:paraId="139D980D" w14:textId="77777777" w:rsidR="008A04FB" w:rsidRPr="000B1A3C" w:rsidRDefault="008A04FB" w:rsidP="004D6ADA">
            <w:pPr>
              <w:spacing w:after="0" w:line="240" w:lineRule="auto"/>
              <w:rPr>
                <w:rFonts w:eastAsia="Times New Roman" w:cs="Times New Roman"/>
                <w:sz w:val="18"/>
                <w:szCs w:val="18"/>
              </w:rPr>
            </w:pPr>
          </w:p>
        </w:tc>
        <w:tc>
          <w:tcPr>
            <w:tcW w:w="997" w:type="dxa"/>
            <w:tcBorders>
              <w:top w:val="nil"/>
              <w:left w:val="nil"/>
              <w:bottom w:val="nil"/>
              <w:right w:val="nil"/>
            </w:tcBorders>
            <w:shd w:val="clear" w:color="auto" w:fill="auto"/>
            <w:noWrap/>
            <w:vAlign w:val="bottom"/>
            <w:hideMark/>
          </w:tcPr>
          <w:p w14:paraId="1FDEECE3" w14:textId="77777777" w:rsidR="008A04FB" w:rsidRPr="000B1A3C" w:rsidRDefault="008A04FB" w:rsidP="004D6ADA">
            <w:pPr>
              <w:spacing w:after="0" w:line="240" w:lineRule="auto"/>
              <w:rPr>
                <w:rFonts w:eastAsia="Times New Roman" w:cs="Times New Roman"/>
                <w:sz w:val="18"/>
                <w:szCs w:val="18"/>
              </w:rPr>
            </w:pPr>
          </w:p>
        </w:tc>
        <w:tc>
          <w:tcPr>
            <w:tcW w:w="997" w:type="dxa"/>
            <w:tcBorders>
              <w:top w:val="nil"/>
              <w:left w:val="nil"/>
              <w:bottom w:val="nil"/>
              <w:right w:val="nil"/>
            </w:tcBorders>
            <w:shd w:val="clear" w:color="auto" w:fill="auto"/>
            <w:noWrap/>
            <w:vAlign w:val="bottom"/>
            <w:hideMark/>
          </w:tcPr>
          <w:p w14:paraId="463282DA" w14:textId="77777777" w:rsidR="008A04FB" w:rsidRPr="000B1A3C" w:rsidRDefault="008A04FB" w:rsidP="004D6ADA">
            <w:pPr>
              <w:spacing w:after="0" w:line="240" w:lineRule="auto"/>
              <w:rPr>
                <w:rFonts w:eastAsia="Times New Roman" w:cs="Times New Roman"/>
                <w:sz w:val="18"/>
                <w:szCs w:val="18"/>
              </w:rPr>
            </w:pPr>
          </w:p>
        </w:tc>
        <w:tc>
          <w:tcPr>
            <w:tcW w:w="997" w:type="dxa"/>
            <w:tcBorders>
              <w:top w:val="nil"/>
              <w:left w:val="nil"/>
              <w:bottom w:val="nil"/>
              <w:right w:val="nil"/>
            </w:tcBorders>
            <w:shd w:val="clear" w:color="auto" w:fill="auto"/>
            <w:noWrap/>
            <w:vAlign w:val="bottom"/>
            <w:hideMark/>
          </w:tcPr>
          <w:p w14:paraId="1AD2BC7D" w14:textId="77777777" w:rsidR="008A04FB" w:rsidRPr="000B1A3C" w:rsidRDefault="008A04FB" w:rsidP="004D6ADA">
            <w:pPr>
              <w:spacing w:after="0" w:line="240" w:lineRule="auto"/>
              <w:rPr>
                <w:rFonts w:eastAsia="Times New Roman" w:cs="Times New Roman"/>
                <w:sz w:val="18"/>
                <w:szCs w:val="18"/>
              </w:rPr>
            </w:pPr>
          </w:p>
        </w:tc>
      </w:tr>
      <w:tr w:rsidR="008A04FB" w:rsidRPr="000B1A3C" w14:paraId="5855B83A"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BB31FA9" w14:textId="77777777" w:rsidR="008A04FB" w:rsidRPr="000B1A3C" w:rsidRDefault="008A04FB" w:rsidP="004D6ADA">
            <w:pPr>
              <w:spacing w:after="0" w:line="240" w:lineRule="auto"/>
              <w:rPr>
                <w:rFonts w:eastAsia="Times New Roman" w:cs="Times New Roman"/>
                <w:b/>
                <w:bCs/>
                <w:color w:val="000000"/>
                <w:sz w:val="18"/>
                <w:szCs w:val="18"/>
              </w:rPr>
            </w:pPr>
            <w:r w:rsidRPr="000B1A3C">
              <w:rPr>
                <w:rFonts w:eastAsia="Times New Roman" w:cs="Times New Roman"/>
                <w:b/>
                <w:bCs/>
                <w:color w:val="000000"/>
                <w:sz w:val="18"/>
                <w:szCs w:val="18"/>
              </w:rPr>
              <w:t xml:space="preserve">Amount Spent </w:t>
            </w:r>
            <w:r w:rsidRPr="0040173D">
              <w:rPr>
                <w:rFonts w:eastAsia="Times New Roman" w:cs="Times New Roman"/>
                <w:b/>
                <w:bCs/>
                <w:color w:val="000000"/>
                <w:sz w:val="18"/>
                <w:szCs w:val="18"/>
              </w:rPr>
              <w:t>b</w:t>
            </w:r>
            <w:r w:rsidRPr="000B1A3C">
              <w:rPr>
                <w:rFonts w:eastAsia="Times New Roman" w:cs="Times New Roman"/>
                <w:b/>
                <w:bCs/>
                <w:color w:val="000000"/>
                <w:sz w:val="18"/>
                <w:szCs w:val="18"/>
              </w:rPr>
              <w:t>y Program</w:t>
            </w:r>
          </w:p>
        </w:tc>
        <w:tc>
          <w:tcPr>
            <w:tcW w:w="1128" w:type="dxa"/>
            <w:tcBorders>
              <w:top w:val="nil"/>
              <w:left w:val="nil"/>
              <w:bottom w:val="single" w:sz="4" w:space="0" w:color="auto"/>
              <w:right w:val="single" w:sz="4" w:space="0" w:color="auto"/>
            </w:tcBorders>
            <w:shd w:val="clear" w:color="auto" w:fill="auto"/>
            <w:noWrap/>
            <w:vAlign w:val="bottom"/>
            <w:hideMark/>
          </w:tcPr>
          <w:p w14:paraId="71D257E1" w14:textId="77777777" w:rsidR="008A04FB" w:rsidRPr="000B1A3C" w:rsidRDefault="008A04FB" w:rsidP="004D6ADA">
            <w:pPr>
              <w:spacing w:after="0" w:line="240" w:lineRule="auto"/>
              <w:rPr>
                <w:rFonts w:eastAsia="Times New Roman" w:cs="Times New Roman"/>
                <w:b/>
                <w:bCs/>
                <w:color w:val="000000"/>
                <w:sz w:val="18"/>
                <w:szCs w:val="18"/>
              </w:rPr>
            </w:pPr>
            <w:r w:rsidRPr="000B1A3C">
              <w:rPr>
                <w:rFonts w:eastAsia="Times New Roman" w:cs="Times New Roman"/>
                <w:b/>
                <w:bCs/>
                <w:color w:val="000000"/>
                <w:sz w:val="18"/>
                <w:szCs w:val="18"/>
              </w:rPr>
              <w:t>Fiscal Year</w:t>
            </w:r>
          </w:p>
        </w:tc>
        <w:tc>
          <w:tcPr>
            <w:tcW w:w="997" w:type="dxa"/>
            <w:tcBorders>
              <w:top w:val="nil"/>
              <w:left w:val="nil"/>
              <w:bottom w:val="nil"/>
              <w:right w:val="nil"/>
            </w:tcBorders>
            <w:shd w:val="clear" w:color="auto" w:fill="auto"/>
            <w:noWrap/>
            <w:vAlign w:val="bottom"/>
            <w:hideMark/>
          </w:tcPr>
          <w:p w14:paraId="2D824980" w14:textId="77777777" w:rsidR="008A04FB" w:rsidRPr="000B1A3C" w:rsidRDefault="008A04FB" w:rsidP="004D6ADA">
            <w:pPr>
              <w:spacing w:after="0" w:line="240" w:lineRule="auto"/>
              <w:rPr>
                <w:rFonts w:eastAsia="Times New Roman" w:cs="Times New Roman"/>
                <w:b/>
                <w:bCs/>
                <w:color w:val="000000"/>
                <w:sz w:val="18"/>
                <w:szCs w:val="18"/>
              </w:rPr>
            </w:pPr>
          </w:p>
        </w:tc>
        <w:tc>
          <w:tcPr>
            <w:tcW w:w="997" w:type="dxa"/>
            <w:tcBorders>
              <w:top w:val="nil"/>
              <w:left w:val="nil"/>
              <w:bottom w:val="nil"/>
              <w:right w:val="nil"/>
            </w:tcBorders>
            <w:shd w:val="clear" w:color="auto" w:fill="auto"/>
            <w:noWrap/>
            <w:vAlign w:val="bottom"/>
            <w:hideMark/>
          </w:tcPr>
          <w:p w14:paraId="7A4A8997" w14:textId="77777777" w:rsidR="008A04FB" w:rsidRPr="000B1A3C" w:rsidRDefault="008A04FB" w:rsidP="004D6ADA">
            <w:pPr>
              <w:spacing w:after="0" w:line="240" w:lineRule="auto"/>
              <w:rPr>
                <w:rFonts w:eastAsia="Times New Roman" w:cs="Times New Roman"/>
                <w:sz w:val="18"/>
                <w:szCs w:val="18"/>
              </w:rPr>
            </w:pPr>
          </w:p>
        </w:tc>
        <w:tc>
          <w:tcPr>
            <w:tcW w:w="997" w:type="dxa"/>
            <w:tcBorders>
              <w:top w:val="nil"/>
              <w:left w:val="nil"/>
              <w:bottom w:val="nil"/>
              <w:right w:val="nil"/>
            </w:tcBorders>
            <w:shd w:val="clear" w:color="auto" w:fill="auto"/>
            <w:noWrap/>
            <w:vAlign w:val="bottom"/>
            <w:hideMark/>
          </w:tcPr>
          <w:p w14:paraId="188D5ABF" w14:textId="77777777" w:rsidR="008A04FB" w:rsidRPr="000B1A3C" w:rsidRDefault="008A04FB" w:rsidP="004D6ADA">
            <w:pPr>
              <w:spacing w:after="0" w:line="240" w:lineRule="auto"/>
              <w:rPr>
                <w:rFonts w:eastAsia="Times New Roman" w:cs="Times New Roman"/>
                <w:sz w:val="18"/>
                <w:szCs w:val="18"/>
              </w:rPr>
            </w:pPr>
          </w:p>
        </w:tc>
        <w:tc>
          <w:tcPr>
            <w:tcW w:w="997" w:type="dxa"/>
            <w:tcBorders>
              <w:top w:val="nil"/>
              <w:left w:val="nil"/>
              <w:bottom w:val="nil"/>
              <w:right w:val="nil"/>
            </w:tcBorders>
            <w:shd w:val="clear" w:color="auto" w:fill="auto"/>
            <w:noWrap/>
            <w:vAlign w:val="bottom"/>
            <w:hideMark/>
          </w:tcPr>
          <w:p w14:paraId="01DF12A7" w14:textId="77777777" w:rsidR="008A04FB" w:rsidRPr="000B1A3C" w:rsidRDefault="008A04FB" w:rsidP="004D6ADA">
            <w:pPr>
              <w:spacing w:after="0" w:line="240" w:lineRule="auto"/>
              <w:rPr>
                <w:rFonts w:eastAsia="Times New Roman" w:cs="Times New Roman"/>
                <w:sz w:val="18"/>
                <w:szCs w:val="18"/>
              </w:rPr>
            </w:pPr>
          </w:p>
        </w:tc>
        <w:tc>
          <w:tcPr>
            <w:tcW w:w="997" w:type="dxa"/>
            <w:tcBorders>
              <w:top w:val="nil"/>
              <w:left w:val="nil"/>
              <w:bottom w:val="nil"/>
              <w:right w:val="nil"/>
            </w:tcBorders>
            <w:shd w:val="clear" w:color="auto" w:fill="auto"/>
            <w:noWrap/>
            <w:vAlign w:val="bottom"/>
            <w:hideMark/>
          </w:tcPr>
          <w:p w14:paraId="65DB4C29" w14:textId="77777777" w:rsidR="008A04FB" w:rsidRPr="000B1A3C" w:rsidRDefault="008A04FB" w:rsidP="004D6ADA">
            <w:pPr>
              <w:spacing w:after="0" w:line="240" w:lineRule="auto"/>
              <w:rPr>
                <w:rFonts w:eastAsia="Times New Roman" w:cs="Times New Roman"/>
                <w:sz w:val="18"/>
                <w:szCs w:val="18"/>
              </w:rPr>
            </w:pPr>
          </w:p>
        </w:tc>
        <w:tc>
          <w:tcPr>
            <w:tcW w:w="997" w:type="dxa"/>
            <w:tcBorders>
              <w:top w:val="nil"/>
              <w:left w:val="nil"/>
              <w:bottom w:val="nil"/>
              <w:right w:val="nil"/>
            </w:tcBorders>
            <w:shd w:val="clear" w:color="auto" w:fill="auto"/>
            <w:noWrap/>
            <w:vAlign w:val="bottom"/>
            <w:hideMark/>
          </w:tcPr>
          <w:p w14:paraId="2905A348" w14:textId="77777777" w:rsidR="008A04FB" w:rsidRPr="000B1A3C" w:rsidRDefault="008A04FB" w:rsidP="004D6ADA">
            <w:pPr>
              <w:spacing w:after="0" w:line="240" w:lineRule="auto"/>
              <w:rPr>
                <w:rFonts w:eastAsia="Times New Roman" w:cs="Times New Roman"/>
                <w:sz w:val="18"/>
                <w:szCs w:val="18"/>
              </w:rPr>
            </w:pPr>
          </w:p>
        </w:tc>
      </w:tr>
      <w:tr w:rsidR="008A04FB" w:rsidRPr="000B1A3C" w14:paraId="12888268"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6B897650" w14:textId="77777777" w:rsidR="008A04FB" w:rsidRPr="000B1A3C" w:rsidRDefault="008A04FB" w:rsidP="004D6ADA">
            <w:pPr>
              <w:spacing w:after="0" w:line="240" w:lineRule="auto"/>
              <w:rPr>
                <w:rFonts w:eastAsia="Times New Roman" w:cs="Times New Roman"/>
                <w:b/>
                <w:bCs/>
                <w:color w:val="000000"/>
                <w:sz w:val="18"/>
                <w:szCs w:val="18"/>
              </w:rPr>
            </w:pPr>
            <w:r w:rsidRPr="000B1A3C">
              <w:rPr>
                <w:rFonts w:eastAsia="Times New Roman" w:cs="Times New Roman"/>
                <w:b/>
                <w:bCs/>
                <w:color w:val="000000"/>
                <w:sz w:val="18"/>
                <w:szCs w:val="18"/>
              </w:rPr>
              <w:t> </w:t>
            </w:r>
          </w:p>
        </w:tc>
        <w:tc>
          <w:tcPr>
            <w:tcW w:w="1128" w:type="dxa"/>
            <w:tcBorders>
              <w:top w:val="nil"/>
              <w:left w:val="nil"/>
              <w:bottom w:val="single" w:sz="4" w:space="0" w:color="auto"/>
              <w:right w:val="single" w:sz="4" w:space="0" w:color="auto"/>
            </w:tcBorders>
            <w:shd w:val="clear" w:color="auto" w:fill="auto"/>
            <w:noWrap/>
            <w:vAlign w:val="bottom"/>
            <w:hideMark/>
          </w:tcPr>
          <w:p w14:paraId="138CD4D3" w14:textId="77777777" w:rsidR="008A04FB" w:rsidRPr="000B1A3C" w:rsidRDefault="008A04FB" w:rsidP="004D6ADA">
            <w:pPr>
              <w:spacing w:after="0" w:line="240" w:lineRule="auto"/>
              <w:jc w:val="right"/>
              <w:rPr>
                <w:rFonts w:eastAsia="Times New Roman" w:cs="Times New Roman"/>
                <w:b/>
                <w:bCs/>
                <w:color w:val="000000"/>
                <w:sz w:val="18"/>
                <w:szCs w:val="18"/>
              </w:rPr>
            </w:pPr>
            <w:r w:rsidRPr="000B1A3C">
              <w:rPr>
                <w:rFonts w:eastAsia="Times New Roman" w:cs="Times New Roman"/>
                <w:b/>
                <w:bCs/>
                <w:color w:val="000000"/>
                <w:sz w:val="18"/>
                <w:szCs w:val="18"/>
              </w:rPr>
              <w:t>2009</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1CCD5C93" w14:textId="77777777" w:rsidR="008A04FB" w:rsidRPr="000B1A3C" w:rsidRDefault="008A04FB" w:rsidP="004D6ADA">
            <w:pPr>
              <w:spacing w:after="0" w:line="240" w:lineRule="auto"/>
              <w:jc w:val="right"/>
              <w:rPr>
                <w:rFonts w:eastAsia="Times New Roman" w:cs="Times New Roman"/>
                <w:b/>
                <w:bCs/>
                <w:color w:val="000000"/>
                <w:sz w:val="18"/>
                <w:szCs w:val="18"/>
              </w:rPr>
            </w:pPr>
            <w:r w:rsidRPr="000B1A3C">
              <w:rPr>
                <w:rFonts w:eastAsia="Times New Roman" w:cs="Times New Roman"/>
                <w:b/>
                <w:bCs/>
                <w:color w:val="000000"/>
                <w:sz w:val="18"/>
                <w:szCs w:val="18"/>
              </w:rPr>
              <w:t>2010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0D65368B" w14:textId="77777777" w:rsidR="008A04FB" w:rsidRPr="000B1A3C" w:rsidRDefault="008A04FB" w:rsidP="004D6ADA">
            <w:pPr>
              <w:spacing w:after="0" w:line="240" w:lineRule="auto"/>
              <w:jc w:val="right"/>
              <w:rPr>
                <w:rFonts w:eastAsia="Times New Roman" w:cs="Times New Roman"/>
                <w:b/>
                <w:bCs/>
                <w:color w:val="000000"/>
                <w:sz w:val="18"/>
                <w:szCs w:val="18"/>
              </w:rPr>
            </w:pPr>
            <w:r w:rsidRPr="000B1A3C">
              <w:rPr>
                <w:rFonts w:eastAsia="Times New Roman" w:cs="Times New Roman"/>
                <w:b/>
                <w:bCs/>
                <w:color w:val="000000"/>
                <w:sz w:val="18"/>
                <w:szCs w:val="18"/>
              </w:rPr>
              <w:t>2011</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7EEA1C61" w14:textId="77777777" w:rsidR="008A04FB" w:rsidRPr="000B1A3C" w:rsidRDefault="008A04FB" w:rsidP="004D6ADA">
            <w:pPr>
              <w:spacing w:after="0" w:line="240" w:lineRule="auto"/>
              <w:jc w:val="right"/>
              <w:rPr>
                <w:rFonts w:eastAsia="Times New Roman" w:cs="Times New Roman"/>
                <w:b/>
                <w:bCs/>
                <w:color w:val="000000"/>
                <w:sz w:val="18"/>
                <w:szCs w:val="18"/>
              </w:rPr>
            </w:pPr>
            <w:r w:rsidRPr="000B1A3C">
              <w:rPr>
                <w:rFonts w:eastAsia="Times New Roman" w:cs="Times New Roman"/>
                <w:b/>
                <w:bCs/>
                <w:color w:val="000000"/>
                <w:sz w:val="18"/>
                <w:szCs w:val="18"/>
              </w:rPr>
              <w:t>2012</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764FA3AE" w14:textId="77777777" w:rsidR="008A04FB" w:rsidRPr="000B1A3C" w:rsidRDefault="008A04FB" w:rsidP="004D6ADA">
            <w:pPr>
              <w:spacing w:after="0" w:line="240" w:lineRule="auto"/>
              <w:jc w:val="right"/>
              <w:rPr>
                <w:rFonts w:eastAsia="Times New Roman" w:cs="Times New Roman"/>
                <w:b/>
                <w:bCs/>
                <w:color w:val="000000"/>
                <w:sz w:val="18"/>
                <w:szCs w:val="18"/>
              </w:rPr>
            </w:pPr>
            <w:r w:rsidRPr="000B1A3C">
              <w:rPr>
                <w:rFonts w:eastAsia="Times New Roman" w:cs="Times New Roman"/>
                <w:b/>
                <w:bCs/>
                <w:color w:val="000000"/>
                <w:sz w:val="18"/>
                <w:szCs w:val="18"/>
              </w:rPr>
              <w:t>2013</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8474085" w14:textId="77777777" w:rsidR="008A04FB" w:rsidRPr="000B1A3C" w:rsidRDefault="008A04FB" w:rsidP="004D6ADA">
            <w:pPr>
              <w:spacing w:after="0" w:line="240" w:lineRule="auto"/>
              <w:jc w:val="right"/>
              <w:rPr>
                <w:rFonts w:eastAsia="Times New Roman" w:cs="Times New Roman"/>
                <w:b/>
                <w:bCs/>
                <w:color w:val="000000"/>
                <w:sz w:val="18"/>
                <w:szCs w:val="18"/>
              </w:rPr>
            </w:pPr>
            <w:r w:rsidRPr="000B1A3C">
              <w:rPr>
                <w:rFonts w:eastAsia="Times New Roman" w:cs="Times New Roman"/>
                <w:b/>
                <w:bCs/>
                <w:color w:val="000000"/>
                <w:sz w:val="18"/>
                <w:szCs w:val="18"/>
              </w:rPr>
              <w:t>2014</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10832754" w14:textId="77777777" w:rsidR="008A04FB" w:rsidRPr="000B1A3C" w:rsidRDefault="008A04FB" w:rsidP="004D6ADA">
            <w:pPr>
              <w:spacing w:after="0" w:line="240" w:lineRule="auto"/>
              <w:jc w:val="right"/>
              <w:rPr>
                <w:rFonts w:eastAsia="Times New Roman" w:cs="Times New Roman"/>
                <w:b/>
                <w:bCs/>
                <w:color w:val="000000"/>
                <w:sz w:val="18"/>
                <w:szCs w:val="18"/>
              </w:rPr>
            </w:pPr>
            <w:r w:rsidRPr="000B1A3C">
              <w:rPr>
                <w:rFonts w:eastAsia="Times New Roman" w:cs="Times New Roman"/>
                <w:b/>
                <w:bCs/>
                <w:color w:val="000000"/>
                <w:sz w:val="18"/>
                <w:szCs w:val="18"/>
              </w:rPr>
              <w:t>2015</w:t>
            </w:r>
          </w:p>
        </w:tc>
      </w:tr>
      <w:tr w:rsidR="008A04FB" w:rsidRPr="000B1A3C" w14:paraId="75575812"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19FF8ECC"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ANHD</w:t>
            </w:r>
          </w:p>
        </w:tc>
        <w:tc>
          <w:tcPr>
            <w:tcW w:w="1128" w:type="dxa"/>
            <w:tcBorders>
              <w:top w:val="nil"/>
              <w:left w:val="nil"/>
              <w:bottom w:val="single" w:sz="4" w:space="0" w:color="auto"/>
              <w:right w:val="single" w:sz="4" w:space="0" w:color="auto"/>
            </w:tcBorders>
            <w:shd w:val="clear" w:color="auto" w:fill="auto"/>
            <w:noWrap/>
            <w:vAlign w:val="bottom"/>
            <w:hideMark/>
          </w:tcPr>
          <w:p w14:paraId="7C15F8BB"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71F408DB"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3A049B31"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5DC2745A"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100000</w:t>
            </w:r>
          </w:p>
        </w:tc>
        <w:tc>
          <w:tcPr>
            <w:tcW w:w="997" w:type="dxa"/>
            <w:tcBorders>
              <w:top w:val="nil"/>
              <w:left w:val="nil"/>
              <w:bottom w:val="single" w:sz="4" w:space="0" w:color="auto"/>
              <w:right w:val="single" w:sz="4" w:space="0" w:color="auto"/>
            </w:tcBorders>
            <w:shd w:val="clear" w:color="auto" w:fill="auto"/>
            <w:noWrap/>
            <w:vAlign w:val="bottom"/>
            <w:hideMark/>
          </w:tcPr>
          <w:p w14:paraId="07F67A77"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100000</w:t>
            </w:r>
          </w:p>
        </w:tc>
        <w:tc>
          <w:tcPr>
            <w:tcW w:w="997" w:type="dxa"/>
            <w:tcBorders>
              <w:top w:val="nil"/>
              <w:left w:val="nil"/>
              <w:bottom w:val="single" w:sz="4" w:space="0" w:color="auto"/>
              <w:right w:val="single" w:sz="4" w:space="0" w:color="auto"/>
            </w:tcBorders>
            <w:shd w:val="clear" w:color="auto" w:fill="auto"/>
            <w:noWrap/>
            <w:vAlign w:val="bottom"/>
            <w:hideMark/>
          </w:tcPr>
          <w:p w14:paraId="15C4CB93"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100000</w:t>
            </w:r>
          </w:p>
        </w:tc>
        <w:tc>
          <w:tcPr>
            <w:tcW w:w="997" w:type="dxa"/>
            <w:tcBorders>
              <w:top w:val="nil"/>
              <w:left w:val="nil"/>
              <w:bottom w:val="single" w:sz="4" w:space="0" w:color="auto"/>
              <w:right w:val="single" w:sz="4" w:space="0" w:color="auto"/>
            </w:tcBorders>
            <w:shd w:val="clear" w:color="auto" w:fill="auto"/>
            <w:noWrap/>
            <w:vAlign w:val="bottom"/>
            <w:hideMark/>
          </w:tcPr>
          <w:p w14:paraId="39C27D8D"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100000</w:t>
            </w:r>
          </w:p>
        </w:tc>
      </w:tr>
      <w:tr w:rsidR="008A04FB" w:rsidRPr="000B1A3C" w14:paraId="72A8FE02"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32DAA02D"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Anti-Eviction</w:t>
            </w:r>
          </w:p>
        </w:tc>
        <w:tc>
          <w:tcPr>
            <w:tcW w:w="1128" w:type="dxa"/>
            <w:tcBorders>
              <w:top w:val="nil"/>
              <w:left w:val="nil"/>
              <w:bottom w:val="single" w:sz="4" w:space="0" w:color="auto"/>
              <w:right w:val="single" w:sz="4" w:space="0" w:color="auto"/>
            </w:tcBorders>
            <w:shd w:val="clear" w:color="auto" w:fill="auto"/>
            <w:noWrap/>
            <w:vAlign w:val="bottom"/>
            <w:hideMark/>
          </w:tcPr>
          <w:p w14:paraId="083FBF15"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2250000</w:t>
            </w:r>
          </w:p>
        </w:tc>
        <w:tc>
          <w:tcPr>
            <w:tcW w:w="997" w:type="dxa"/>
            <w:tcBorders>
              <w:top w:val="nil"/>
              <w:left w:val="nil"/>
              <w:bottom w:val="single" w:sz="4" w:space="0" w:color="auto"/>
              <w:right w:val="single" w:sz="4" w:space="0" w:color="auto"/>
            </w:tcBorders>
            <w:shd w:val="clear" w:color="auto" w:fill="auto"/>
            <w:noWrap/>
            <w:vAlign w:val="bottom"/>
            <w:hideMark/>
          </w:tcPr>
          <w:p w14:paraId="10924F37"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2250000</w:t>
            </w:r>
          </w:p>
        </w:tc>
        <w:tc>
          <w:tcPr>
            <w:tcW w:w="997" w:type="dxa"/>
            <w:tcBorders>
              <w:top w:val="nil"/>
              <w:left w:val="nil"/>
              <w:bottom w:val="single" w:sz="4" w:space="0" w:color="auto"/>
              <w:right w:val="single" w:sz="4" w:space="0" w:color="auto"/>
            </w:tcBorders>
            <w:shd w:val="clear" w:color="auto" w:fill="auto"/>
            <w:noWrap/>
            <w:vAlign w:val="bottom"/>
            <w:hideMark/>
          </w:tcPr>
          <w:p w14:paraId="57F5A880"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2000000</w:t>
            </w:r>
          </w:p>
        </w:tc>
        <w:tc>
          <w:tcPr>
            <w:tcW w:w="997" w:type="dxa"/>
            <w:tcBorders>
              <w:top w:val="nil"/>
              <w:left w:val="nil"/>
              <w:bottom w:val="single" w:sz="4" w:space="0" w:color="auto"/>
              <w:right w:val="single" w:sz="4" w:space="0" w:color="auto"/>
            </w:tcBorders>
            <w:shd w:val="clear" w:color="auto" w:fill="auto"/>
            <w:noWrap/>
            <w:vAlign w:val="bottom"/>
            <w:hideMark/>
          </w:tcPr>
          <w:p w14:paraId="064E2732"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2000000</w:t>
            </w:r>
          </w:p>
        </w:tc>
        <w:tc>
          <w:tcPr>
            <w:tcW w:w="997" w:type="dxa"/>
            <w:tcBorders>
              <w:top w:val="nil"/>
              <w:left w:val="nil"/>
              <w:bottom w:val="single" w:sz="4" w:space="0" w:color="auto"/>
              <w:right w:val="single" w:sz="4" w:space="0" w:color="auto"/>
            </w:tcBorders>
            <w:shd w:val="clear" w:color="auto" w:fill="auto"/>
            <w:noWrap/>
            <w:vAlign w:val="bottom"/>
            <w:hideMark/>
          </w:tcPr>
          <w:p w14:paraId="7F4263D4"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2000000</w:t>
            </w:r>
          </w:p>
        </w:tc>
        <w:tc>
          <w:tcPr>
            <w:tcW w:w="997" w:type="dxa"/>
            <w:tcBorders>
              <w:top w:val="nil"/>
              <w:left w:val="nil"/>
              <w:bottom w:val="single" w:sz="4" w:space="0" w:color="auto"/>
              <w:right w:val="single" w:sz="4" w:space="0" w:color="auto"/>
            </w:tcBorders>
            <w:shd w:val="clear" w:color="auto" w:fill="auto"/>
            <w:noWrap/>
            <w:vAlign w:val="bottom"/>
            <w:hideMark/>
          </w:tcPr>
          <w:p w14:paraId="30FCC4D6"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2000000</w:t>
            </w:r>
          </w:p>
        </w:tc>
        <w:tc>
          <w:tcPr>
            <w:tcW w:w="997" w:type="dxa"/>
            <w:tcBorders>
              <w:top w:val="nil"/>
              <w:left w:val="nil"/>
              <w:bottom w:val="single" w:sz="4" w:space="0" w:color="auto"/>
              <w:right w:val="single" w:sz="4" w:space="0" w:color="auto"/>
            </w:tcBorders>
            <w:shd w:val="clear" w:color="auto" w:fill="auto"/>
            <w:noWrap/>
            <w:vAlign w:val="bottom"/>
            <w:hideMark/>
          </w:tcPr>
          <w:p w14:paraId="6C18134A"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r>
      <w:tr w:rsidR="008A04FB" w:rsidRPr="000B1A3C" w14:paraId="3ADF2189"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582583F1"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Anti-Poverty</w:t>
            </w:r>
          </w:p>
        </w:tc>
        <w:tc>
          <w:tcPr>
            <w:tcW w:w="1128" w:type="dxa"/>
            <w:tcBorders>
              <w:top w:val="nil"/>
              <w:left w:val="nil"/>
              <w:bottom w:val="single" w:sz="4" w:space="0" w:color="auto"/>
              <w:right w:val="single" w:sz="4" w:space="0" w:color="auto"/>
            </w:tcBorders>
            <w:shd w:val="clear" w:color="auto" w:fill="auto"/>
            <w:noWrap/>
            <w:vAlign w:val="bottom"/>
            <w:hideMark/>
          </w:tcPr>
          <w:p w14:paraId="3243A013"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6760C57A"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0684CB97"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2F831368"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528C556C"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6CB5E580"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19325477"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119000</w:t>
            </w:r>
          </w:p>
        </w:tc>
      </w:tr>
      <w:tr w:rsidR="008A04FB" w:rsidRPr="000B1A3C" w14:paraId="3E969E7F"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1D16697A"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Anti-Predatory Lending</w:t>
            </w:r>
          </w:p>
        </w:tc>
        <w:tc>
          <w:tcPr>
            <w:tcW w:w="1128" w:type="dxa"/>
            <w:tcBorders>
              <w:top w:val="nil"/>
              <w:left w:val="nil"/>
              <w:bottom w:val="single" w:sz="4" w:space="0" w:color="auto"/>
              <w:right w:val="single" w:sz="4" w:space="0" w:color="auto"/>
            </w:tcBorders>
            <w:shd w:val="clear" w:color="auto" w:fill="auto"/>
            <w:noWrap/>
            <w:vAlign w:val="bottom"/>
            <w:hideMark/>
          </w:tcPr>
          <w:p w14:paraId="7FD92597"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360000</w:t>
            </w:r>
          </w:p>
        </w:tc>
        <w:tc>
          <w:tcPr>
            <w:tcW w:w="997" w:type="dxa"/>
            <w:tcBorders>
              <w:top w:val="nil"/>
              <w:left w:val="nil"/>
              <w:bottom w:val="single" w:sz="4" w:space="0" w:color="auto"/>
              <w:right w:val="single" w:sz="4" w:space="0" w:color="auto"/>
            </w:tcBorders>
            <w:shd w:val="clear" w:color="auto" w:fill="auto"/>
            <w:noWrap/>
            <w:vAlign w:val="bottom"/>
            <w:hideMark/>
          </w:tcPr>
          <w:p w14:paraId="4883FB81"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360000</w:t>
            </w:r>
          </w:p>
        </w:tc>
        <w:tc>
          <w:tcPr>
            <w:tcW w:w="997" w:type="dxa"/>
            <w:tcBorders>
              <w:top w:val="nil"/>
              <w:left w:val="nil"/>
              <w:bottom w:val="single" w:sz="4" w:space="0" w:color="auto"/>
              <w:right w:val="single" w:sz="4" w:space="0" w:color="auto"/>
            </w:tcBorders>
            <w:shd w:val="clear" w:color="auto" w:fill="auto"/>
            <w:noWrap/>
            <w:vAlign w:val="bottom"/>
            <w:hideMark/>
          </w:tcPr>
          <w:p w14:paraId="0A546234"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62480C4D"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010CD4A5"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64467C48"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7F1AB4CA"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r>
      <w:tr w:rsidR="008A04FB" w:rsidRPr="000B1A3C" w14:paraId="4C2C9602"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334B4461"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Task Force on Housing Court</w:t>
            </w:r>
          </w:p>
        </w:tc>
        <w:tc>
          <w:tcPr>
            <w:tcW w:w="1128" w:type="dxa"/>
            <w:tcBorders>
              <w:top w:val="nil"/>
              <w:left w:val="nil"/>
              <w:bottom w:val="single" w:sz="4" w:space="0" w:color="auto"/>
              <w:right w:val="single" w:sz="4" w:space="0" w:color="auto"/>
            </w:tcBorders>
            <w:shd w:val="clear" w:color="auto" w:fill="auto"/>
            <w:noWrap/>
            <w:vAlign w:val="bottom"/>
            <w:hideMark/>
          </w:tcPr>
          <w:p w14:paraId="698B19B3"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500000</w:t>
            </w:r>
          </w:p>
        </w:tc>
        <w:tc>
          <w:tcPr>
            <w:tcW w:w="997" w:type="dxa"/>
            <w:tcBorders>
              <w:top w:val="nil"/>
              <w:left w:val="nil"/>
              <w:bottom w:val="single" w:sz="4" w:space="0" w:color="auto"/>
              <w:right w:val="single" w:sz="4" w:space="0" w:color="auto"/>
            </w:tcBorders>
            <w:shd w:val="clear" w:color="auto" w:fill="auto"/>
            <w:noWrap/>
            <w:vAlign w:val="bottom"/>
            <w:hideMark/>
          </w:tcPr>
          <w:p w14:paraId="1865C76A"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500000</w:t>
            </w:r>
          </w:p>
        </w:tc>
        <w:tc>
          <w:tcPr>
            <w:tcW w:w="997" w:type="dxa"/>
            <w:tcBorders>
              <w:top w:val="nil"/>
              <w:left w:val="nil"/>
              <w:bottom w:val="single" w:sz="4" w:space="0" w:color="auto"/>
              <w:right w:val="single" w:sz="4" w:space="0" w:color="auto"/>
            </w:tcBorders>
            <w:shd w:val="clear" w:color="auto" w:fill="auto"/>
            <w:noWrap/>
            <w:vAlign w:val="bottom"/>
            <w:hideMark/>
          </w:tcPr>
          <w:p w14:paraId="139FE9C1"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500000</w:t>
            </w:r>
          </w:p>
        </w:tc>
        <w:tc>
          <w:tcPr>
            <w:tcW w:w="997" w:type="dxa"/>
            <w:tcBorders>
              <w:top w:val="nil"/>
              <w:left w:val="nil"/>
              <w:bottom w:val="single" w:sz="4" w:space="0" w:color="auto"/>
              <w:right w:val="single" w:sz="4" w:space="0" w:color="auto"/>
            </w:tcBorders>
            <w:shd w:val="clear" w:color="auto" w:fill="auto"/>
            <w:noWrap/>
            <w:vAlign w:val="bottom"/>
            <w:hideMark/>
          </w:tcPr>
          <w:p w14:paraId="78D74616"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500000</w:t>
            </w:r>
          </w:p>
        </w:tc>
        <w:tc>
          <w:tcPr>
            <w:tcW w:w="997" w:type="dxa"/>
            <w:tcBorders>
              <w:top w:val="nil"/>
              <w:left w:val="nil"/>
              <w:bottom w:val="single" w:sz="4" w:space="0" w:color="auto"/>
              <w:right w:val="single" w:sz="4" w:space="0" w:color="auto"/>
            </w:tcBorders>
            <w:shd w:val="clear" w:color="auto" w:fill="auto"/>
            <w:noWrap/>
            <w:vAlign w:val="bottom"/>
            <w:hideMark/>
          </w:tcPr>
          <w:p w14:paraId="75A8A3F0"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500000</w:t>
            </w:r>
          </w:p>
        </w:tc>
        <w:tc>
          <w:tcPr>
            <w:tcW w:w="997" w:type="dxa"/>
            <w:tcBorders>
              <w:top w:val="nil"/>
              <w:left w:val="nil"/>
              <w:bottom w:val="single" w:sz="4" w:space="0" w:color="auto"/>
              <w:right w:val="single" w:sz="4" w:space="0" w:color="auto"/>
            </w:tcBorders>
            <w:shd w:val="clear" w:color="auto" w:fill="auto"/>
            <w:noWrap/>
            <w:vAlign w:val="bottom"/>
            <w:hideMark/>
          </w:tcPr>
          <w:p w14:paraId="61A62865"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500000</w:t>
            </w:r>
          </w:p>
        </w:tc>
        <w:tc>
          <w:tcPr>
            <w:tcW w:w="997" w:type="dxa"/>
            <w:tcBorders>
              <w:top w:val="nil"/>
              <w:left w:val="nil"/>
              <w:bottom w:val="single" w:sz="4" w:space="0" w:color="auto"/>
              <w:right w:val="single" w:sz="4" w:space="0" w:color="auto"/>
            </w:tcBorders>
            <w:shd w:val="clear" w:color="auto" w:fill="auto"/>
            <w:noWrap/>
            <w:vAlign w:val="bottom"/>
            <w:hideMark/>
          </w:tcPr>
          <w:p w14:paraId="3E688E6C"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550000</w:t>
            </w:r>
          </w:p>
        </w:tc>
      </w:tr>
      <w:tr w:rsidR="008A04FB" w:rsidRPr="000B1A3C" w14:paraId="4A8B8360"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65839D38"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Consultant Contracts</w:t>
            </w:r>
          </w:p>
        </w:tc>
        <w:tc>
          <w:tcPr>
            <w:tcW w:w="1128" w:type="dxa"/>
            <w:tcBorders>
              <w:top w:val="nil"/>
              <w:left w:val="nil"/>
              <w:bottom w:val="single" w:sz="4" w:space="0" w:color="auto"/>
              <w:right w:val="single" w:sz="4" w:space="0" w:color="auto"/>
            </w:tcBorders>
            <w:shd w:val="clear" w:color="auto" w:fill="auto"/>
            <w:noWrap/>
            <w:vAlign w:val="bottom"/>
            <w:hideMark/>
          </w:tcPr>
          <w:p w14:paraId="05336D07"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830000</w:t>
            </w:r>
          </w:p>
        </w:tc>
        <w:tc>
          <w:tcPr>
            <w:tcW w:w="997" w:type="dxa"/>
            <w:tcBorders>
              <w:top w:val="nil"/>
              <w:left w:val="nil"/>
              <w:bottom w:val="single" w:sz="4" w:space="0" w:color="auto"/>
              <w:right w:val="single" w:sz="4" w:space="0" w:color="auto"/>
            </w:tcBorders>
            <w:shd w:val="clear" w:color="auto" w:fill="auto"/>
            <w:noWrap/>
            <w:vAlign w:val="bottom"/>
            <w:hideMark/>
          </w:tcPr>
          <w:p w14:paraId="20EA4670"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801789</w:t>
            </w:r>
          </w:p>
        </w:tc>
        <w:tc>
          <w:tcPr>
            <w:tcW w:w="997" w:type="dxa"/>
            <w:tcBorders>
              <w:top w:val="nil"/>
              <w:left w:val="nil"/>
              <w:bottom w:val="single" w:sz="4" w:space="0" w:color="auto"/>
              <w:right w:val="single" w:sz="4" w:space="0" w:color="auto"/>
            </w:tcBorders>
            <w:shd w:val="clear" w:color="auto" w:fill="auto"/>
            <w:noWrap/>
            <w:vAlign w:val="bottom"/>
            <w:hideMark/>
          </w:tcPr>
          <w:p w14:paraId="569D068F"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415000</w:t>
            </w:r>
          </w:p>
        </w:tc>
        <w:tc>
          <w:tcPr>
            <w:tcW w:w="997" w:type="dxa"/>
            <w:tcBorders>
              <w:top w:val="nil"/>
              <w:left w:val="nil"/>
              <w:bottom w:val="single" w:sz="4" w:space="0" w:color="auto"/>
              <w:right w:val="single" w:sz="4" w:space="0" w:color="auto"/>
            </w:tcBorders>
            <w:shd w:val="clear" w:color="auto" w:fill="auto"/>
            <w:noWrap/>
            <w:vAlign w:val="bottom"/>
            <w:hideMark/>
          </w:tcPr>
          <w:p w14:paraId="61118DEA"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415000</w:t>
            </w:r>
          </w:p>
        </w:tc>
        <w:tc>
          <w:tcPr>
            <w:tcW w:w="997" w:type="dxa"/>
            <w:tcBorders>
              <w:top w:val="nil"/>
              <w:left w:val="nil"/>
              <w:bottom w:val="single" w:sz="4" w:space="0" w:color="auto"/>
              <w:right w:val="single" w:sz="4" w:space="0" w:color="auto"/>
            </w:tcBorders>
            <w:shd w:val="clear" w:color="auto" w:fill="auto"/>
            <w:noWrap/>
            <w:vAlign w:val="bottom"/>
            <w:hideMark/>
          </w:tcPr>
          <w:p w14:paraId="797E2E69"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415000</w:t>
            </w:r>
          </w:p>
        </w:tc>
        <w:tc>
          <w:tcPr>
            <w:tcW w:w="997" w:type="dxa"/>
            <w:tcBorders>
              <w:top w:val="nil"/>
              <w:left w:val="nil"/>
              <w:bottom w:val="single" w:sz="4" w:space="0" w:color="auto"/>
              <w:right w:val="single" w:sz="4" w:space="0" w:color="auto"/>
            </w:tcBorders>
            <w:shd w:val="clear" w:color="auto" w:fill="auto"/>
            <w:noWrap/>
            <w:vAlign w:val="bottom"/>
            <w:hideMark/>
          </w:tcPr>
          <w:p w14:paraId="78C75B44"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415000</w:t>
            </w:r>
          </w:p>
        </w:tc>
        <w:tc>
          <w:tcPr>
            <w:tcW w:w="997" w:type="dxa"/>
            <w:tcBorders>
              <w:top w:val="nil"/>
              <w:left w:val="nil"/>
              <w:bottom w:val="single" w:sz="4" w:space="0" w:color="auto"/>
              <w:right w:val="single" w:sz="4" w:space="0" w:color="auto"/>
            </w:tcBorders>
            <w:shd w:val="clear" w:color="auto" w:fill="auto"/>
            <w:noWrap/>
            <w:vAlign w:val="bottom"/>
            <w:hideMark/>
          </w:tcPr>
          <w:p w14:paraId="130539EA"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1000000</w:t>
            </w:r>
          </w:p>
        </w:tc>
      </w:tr>
      <w:tr w:rsidR="008A04FB" w:rsidRPr="000B1A3C" w14:paraId="5303B4FA"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653BCAA5"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CHPS</w:t>
            </w:r>
          </w:p>
        </w:tc>
        <w:tc>
          <w:tcPr>
            <w:tcW w:w="1128" w:type="dxa"/>
            <w:tcBorders>
              <w:top w:val="nil"/>
              <w:left w:val="nil"/>
              <w:bottom w:val="single" w:sz="4" w:space="0" w:color="auto"/>
              <w:right w:val="single" w:sz="4" w:space="0" w:color="auto"/>
            </w:tcBorders>
            <w:shd w:val="clear" w:color="auto" w:fill="auto"/>
            <w:noWrap/>
            <w:vAlign w:val="bottom"/>
            <w:hideMark/>
          </w:tcPr>
          <w:p w14:paraId="41DA14CD"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665CD5C9"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12826DA5"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30B4FC74"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2A45B9BF"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4FF3926D"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4E4548B9"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r>
      <w:tr w:rsidR="008A04FB" w:rsidRPr="000B1A3C" w14:paraId="13F81708"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5042B782"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Diversity &amp; Inclusion</w:t>
            </w:r>
          </w:p>
        </w:tc>
        <w:tc>
          <w:tcPr>
            <w:tcW w:w="1128" w:type="dxa"/>
            <w:tcBorders>
              <w:top w:val="nil"/>
              <w:left w:val="nil"/>
              <w:bottom w:val="single" w:sz="4" w:space="0" w:color="auto"/>
              <w:right w:val="single" w:sz="4" w:space="0" w:color="auto"/>
            </w:tcBorders>
            <w:shd w:val="clear" w:color="auto" w:fill="auto"/>
            <w:noWrap/>
            <w:vAlign w:val="bottom"/>
            <w:hideMark/>
          </w:tcPr>
          <w:p w14:paraId="2A86C427"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0F1FE26A"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553DB29B"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3AF9C3B1"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1AD53FE9"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0201829F"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0EFCD15A"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r>
      <w:tr w:rsidR="008A04FB" w:rsidRPr="000B1A3C" w14:paraId="61F5AEDF"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2F985444"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Ease Transition in</w:t>
            </w:r>
            <w:r>
              <w:rPr>
                <w:rFonts w:eastAsia="Times New Roman" w:cs="Times New Roman"/>
                <w:color w:val="000000"/>
                <w:sz w:val="18"/>
                <w:szCs w:val="18"/>
              </w:rPr>
              <w:t xml:space="preserve"> HPD</w:t>
            </w:r>
            <w:r w:rsidRPr="000B1A3C">
              <w:rPr>
                <w:rFonts w:eastAsia="Times New Roman" w:cs="Times New Roman"/>
                <w:color w:val="000000"/>
                <w:sz w:val="18"/>
                <w:szCs w:val="18"/>
              </w:rPr>
              <w:t xml:space="preserve"> Downsizing</w:t>
            </w:r>
          </w:p>
        </w:tc>
        <w:tc>
          <w:tcPr>
            <w:tcW w:w="1128" w:type="dxa"/>
            <w:tcBorders>
              <w:top w:val="nil"/>
              <w:left w:val="nil"/>
              <w:bottom w:val="single" w:sz="4" w:space="0" w:color="auto"/>
              <w:right w:val="single" w:sz="4" w:space="0" w:color="auto"/>
            </w:tcBorders>
            <w:shd w:val="clear" w:color="auto" w:fill="auto"/>
            <w:noWrap/>
            <w:vAlign w:val="bottom"/>
            <w:hideMark/>
          </w:tcPr>
          <w:p w14:paraId="01E57DB0"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5C137944"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7220059C"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518435B2"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580CC99A"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7D9EEDE9"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551A0319"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250000</w:t>
            </w:r>
          </w:p>
        </w:tc>
      </w:tr>
      <w:tr w:rsidR="008A04FB" w:rsidRPr="000B1A3C" w14:paraId="0A74B212"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29428438"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Energy Retrofits for Small Buildings</w:t>
            </w:r>
          </w:p>
        </w:tc>
        <w:tc>
          <w:tcPr>
            <w:tcW w:w="1128" w:type="dxa"/>
            <w:tcBorders>
              <w:top w:val="nil"/>
              <w:left w:val="nil"/>
              <w:bottom w:val="single" w:sz="4" w:space="0" w:color="auto"/>
              <w:right w:val="single" w:sz="4" w:space="0" w:color="auto"/>
            </w:tcBorders>
            <w:shd w:val="clear" w:color="auto" w:fill="auto"/>
            <w:noWrap/>
            <w:vAlign w:val="bottom"/>
            <w:hideMark/>
          </w:tcPr>
          <w:p w14:paraId="77D71EB3"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12C1A860"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2A651B5B"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03D7398B"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72C747E9"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621E9B3F"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4B36A56A"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r>
      <w:tr w:rsidR="008A04FB" w:rsidRPr="000B1A3C" w14:paraId="1B40DD2E"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39E018DB"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Financial Empowerment</w:t>
            </w:r>
          </w:p>
        </w:tc>
        <w:tc>
          <w:tcPr>
            <w:tcW w:w="1128" w:type="dxa"/>
            <w:tcBorders>
              <w:top w:val="nil"/>
              <w:left w:val="nil"/>
              <w:bottom w:val="single" w:sz="4" w:space="0" w:color="auto"/>
              <w:right w:val="single" w:sz="4" w:space="0" w:color="auto"/>
            </w:tcBorders>
            <w:shd w:val="clear" w:color="auto" w:fill="auto"/>
            <w:noWrap/>
            <w:vAlign w:val="bottom"/>
            <w:hideMark/>
          </w:tcPr>
          <w:p w14:paraId="65266BDD"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0E04E31E"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6C89A39A"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77564380"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43688FBE"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1D5F4ACF"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6BC5B86B"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r>
      <w:tr w:rsidR="008A04FB" w:rsidRPr="000B1A3C" w14:paraId="0737E009"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2271EE60"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Foreclosure Buyback Initiative</w:t>
            </w:r>
          </w:p>
        </w:tc>
        <w:tc>
          <w:tcPr>
            <w:tcW w:w="1128" w:type="dxa"/>
            <w:tcBorders>
              <w:top w:val="nil"/>
              <w:left w:val="nil"/>
              <w:bottom w:val="single" w:sz="4" w:space="0" w:color="auto"/>
              <w:right w:val="single" w:sz="4" w:space="0" w:color="auto"/>
            </w:tcBorders>
            <w:shd w:val="clear" w:color="auto" w:fill="auto"/>
            <w:noWrap/>
            <w:vAlign w:val="bottom"/>
            <w:hideMark/>
          </w:tcPr>
          <w:p w14:paraId="07D2A95A"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37B79852"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195B453A"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5D7B87D4"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6716ADF9"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6C1D211D"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348C58CF"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r>
      <w:tr w:rsidR="008A04FB" w:rsidRPr="000B1A3C" w14:paraId="709EBE16"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59A5CCA"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Gender Equity Liaisons</w:t>
            </w:r>
          </w:p>
        </w:tc>
        <w:tc>
          <w:tcPr>
            <w:tcW w:w="1128" w:type="dxa"/>
            <w:tcBorders>
              <w:top w:val="nil"/>
              <w:left w:val="nil"/>
              <w:bottom w:val="single" w:sz="4" w:space="0" w:color="auto"/>
              <w:right w:val="single" w:sz="4" w:space="0" w:color="auto"/>
            </w:tcBorders>
            <w:shd w:val="clear" w:color="auto" w:fill="auto"/>
            <w:noWrap/>
            <w:vAlign w:val="bottom"/>
            <w:hideMark/>
          </w:tcPr>
          <w:p w14:paraId="0DE6689C"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5B47D720"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6E14D824"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30B4BE09"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20EB3AE9"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7B3FB5BD"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562BFD3C"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r>
      <w:tr w:rsidR="008A04FB" w:rsidRPr="000B1A3C" w14:paraId="3713041A"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14EF4349"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Home Loan Program</w:t>
            </w:r>
          </w:p>
        </w:tc>
        <w:tc>
          <w:tcPr>
            <w:tcW w:w="1128" w:type="dxa"/>
            <w:tcBorders>
              <w:top w:val="nil"/>
              <w:left w:val="nil"/>
              <w:bottom w:val="single" w:sz="4" w:space="0" w:color="auto"/>
              <w:right w:val="single" w:sz="4" w:space="0" w:color="auto"/>
            </w:tcBorders>
            <w:shd w:val="clear" w:color="auto" w:fill="auto"/>
            <w:noWrap/>
            <w:vAlign w:val="bottom"/>
            <w:hideMark/>
          </w:tcPr>
          <w:p w14:paraId="39F51393"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09FCAFE5"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3DF48E3A"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6A011D16"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47C5C2E9"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08D35065"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2DBFEDD0"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r>
      <w:tr w:rsidR="008A04FB" w:rsidRPr="000B1A3C" w14:paraId="42FA7A69"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6F91347B"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Housing Court Answers</w:t>
            </w:r>
          </w:p>
        </w:tc>
        <w:tc>
          <w:tcPr>
            <w:tcW w:w="1128" w:type="dxa"/>
            <w:tcBorders>
              <w:top w:val="nil"/>
              <w:left w:val="nil"/>
              <w:bottom w:val="single" w:sz="4" w:space="0" w:color="auto"/>
              <w:right w:val="single" w:sz="4" w:space="0" w:color="auto"/>
            </w:tcBorders>
            <w:shd w:val="clear" w:color="auto" w:fill="auto"/>
            <w:noWrap/>
            <w:vAlign w:val="bottom"/>
            <w:hideMark/>
          </w:tcPr>
          <w:p w14:paraId="30974720"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36905497"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5A0A0703"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4DBBD5FB"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3A0CDA7F"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1A270B96"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66F43DF9"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r>
      <w:tr w:rsidR="008A04FB" w:rsidRPr="000B1A3C" w14:paraId="1B411107"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1E36D8C7"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Housing Information Project</w:t>
            </w:r>
          </w:p>
        </w:tc>
        <w:tc>
          <w:tcPr>
            <w:tcW w:w="1128" w:type="dxa"/>
            <w:tcBorders>
              <w:top w:val="nil"/>
              <w:left w:val="nil"/>
              <w:bottom w:val="single" w:sz="4" w:space="0" w:color="auto"/>
              <w:right w:val="single" w:sz="4" w:space="0" w:color="auto"/>
            </w:tcBorders>
            <w:shd w:val="clear" w:color="auto" w:fill="auto"/>
            <w:noWrap/>
            <w:vAlign w:val="bottom"/>
            <w:hideMark/>
          </w:tcPr>
          <w:p w14:paraId="3926FA79"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2763C5EE"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39AD0A5C"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3E734F87"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68BEBB4B"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7824107F"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1A99D9B1"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r>
      <w:tr w:rsidR="008A04FB" w:rsidRPr="000B1A3C" w14:paraId="467E13FF"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2A36F616"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Housing Preservation Initiative</w:t>
            </w:r>
          </w:p>
        </w:tc>
        <w:tc>
          <w:tcPr>
            <w:tcW w:w="1128" w:type="dxa"/>
            <w:tcBorders>
              <w:top w:val="nil"/>
              <w:left w:val="nil"/>
              <w:bottom w:val="single" w:sz="4" w:space="0" w:color="auto"/>
              <w:right w:val="single" w:sz="4" w:space="0" w:color="auto"/>
            </w:tcBorders>
            <w:shd w:val="clear" w:color="auto" w:fill="auto"/>
            <w:noWrap/>
            <w:vAlign w:val="bottom"/>
            <w:hideMark/>
          </w:tcPr>
          <w:p w14:paraId="198B7AD8"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1500000</w:t>
            </w:r>
          </w:p>
        </w:tc>
        <w:tc>
          <w:tcPr>
            <w:tcW w:w="997" w:type="dxa"/>
            <w:tcBorders>
              <w:top w:val="nil"/>
              <w:left w:val="nil"/>
              <w:bottom w:val="single" w:sz="4" w:space="0" w:color="auto"/>
              <w:right w:val="single" w:sz="4" w:space="0" w:color="auto"/>
            </w:tcBorders>
            <w:shd w:val="clear" w:color="auto" w:fill="auto"/>
            <w:noWrap/>
            <w:vAlign w:val="bottom"/>
            <w:hideMark/>
          </w:tcPr>
          <w:p w14:paraId="16F46393"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1260000</w:t>
            </w:r>
          </w:p>
        </w:tc>
        <w:tc>
          <w:tcPr>
            <w:tcW w:w="997" w:type="dxa"/>
            <w:tcBorders>
              <w:top w:val="nil"/>
              <w:left w:val="nil"/>
              <w:bottom w:val="single" w:sz="4" w:space="0" w:color="auto"/>
              <w:right w:val="single" w:sz="4" w:space="0" w:color="auto"/>
            </w:tcBorders>
            <w:shd w:val="clear" w:color="auto" w:fill="auto"/>
            <w:noWrap/>
            <w:vAlign w:val="bottom"/>
            <w:hideMark/>
          </w:tcPr>
          <w:p w14:paraId="389CAD3C"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1500000</w:t>
            </w:r>
          </w:p>
        </w:tc>
        <w:tc>
          <w:tcPr>
            <w:tcW w:w="997" w:type="dxa"/>
            <w:tcBorders>
              <w:top w:val="nil"/>
              <w:left w:val="nil"/>
              <w:bottom w:val="single" w:sz="4" w:space="0" w:color="auto"/>
              <w:right w:val="single" w:sz="4" w:space="0" w:color="auto"/>
            </w:tcBorders>
            <w:shd w:val="clear" w:color="auto" w:fill="auto"/>
            <w:noWrap/>
            <w:vAlign w:val="bottom"/>
            <w:hideMark/>
          </w:tcPr>
          <w:p w14:paraId="6DAE9E6D"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1250000</w:t>
            </w:r>
          </w:p>
        </w:tc>
        <w:tc>
          <w:tcPr>
            <w:tcW w:w="997" w:type="dxa"/>
            <w:tcBorders>
              <w:top w:val="nil"/>
              <w:left w:val="nil"/>
              <w:bottom w:val="single" w:sz="4" w:space="0" w:color="auto"/>
              <w:right w:val="single" w:sz="4" w:space="0" w:color="auto"/>
            </w:tcBorders>
            <w:shd w:val="clear" w:color="auto" w:fill="auto"/>
            <w:noWrap/>
            <w:vAlign w:val="bottom"/>
            <w:hideMark/>
          </w:tcPr>
          <w:p w14:paraId="5F00AE50"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1250000</w:t>
            </w:r>
          </w:p>
        </w:tc>
        <w:tc>
          <w:tcPr>
            <w:tcW w:w="997" w:type="dxa"/>
            <w:tcBorders>
              <w:top w:val="nil"/>
              <w:left w:val="nil"/>
              <w:bottom w:val="single" w:sz="4" w:space="0" w:color="auto"/>
              <w:right w:val="single" w:sz="4" w:space="0" w:color="auto"/>
            </w:tcBorders>
            <w:shd w:val="clear" w:color="auto" w:fill="auto"/>
            <w:noWrap/>
            <w:vAlign w:val="bottom"/>
            <w:hideMark/>
          </w:tcPr>
          <w:p w14:paraId="382C1080"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1250000</w:t>
            </w:r>
          </w:p>
        </w:tc>
        <w:tc>
          <w:tcPr>
            <w:tcW w:w="997" w:type="dxa"/>
            <w:tcBorders>
              <w:top w:val="nil"/>
              <w:left w:val="nil"/>
              <w:bottom w:val="single" w:sz="4" w:space="0" w:color="auto"/>
              <w:right w:val="single" w:sz="4" w:space="0" w:color="auto"/>
            </w:tcBorders>
            <w:shd w:val="clear" w:color="auto" w:fill="auto"/>
            <w:noWrap/>
            <w:vAlign w:val="bottom"/>
            <w:hideMark/>
          </w:tcPr>
          <w:p w14:paraId="0D81C563"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2000000</w:t>
            </w:r>
          </w:p>
        </w:tc>
      </w:tr>
      <w:tr w:rsidR="008A04FB" w:rsidRPr="000B1A3C" w14:paraId="0AFAF114"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6DD1FDD8"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HPD - AEP</w:t>
            </w:r>
          </w:p>
        </w:tc>
        <w:tc>
          <w:tcPr>
            <w:tcW w:w="1128" w:type="dxa"/>
            <w:tcBorders>
              <w:top w:val="nil"/>
              <w:left w:val="nil"/>
              <w:bottom w:val="single" w:sz="4" w:space="0" w:color="auto"/>
              <w:right w:val="single" w:sz="4" w:space="0" w:color="auto"/>
            </w:tcBorders>
            <w:shd w:val="clear" w:color="auto" w:fill="auto"/>
            <w:noWrap/>
            <w:vAlign w:val="bottom"/>
            <w:hideMark/>
          </w:tcPr>
          <w:p w14:paraId="2C042A00"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36CC1672"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4E85E217"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013F5B8F"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76A83032"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2D4DF7A9"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2322D966"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750000</w:t>
            </w:r>
          </w:p>
        </w:tc>
      </w:tr>
      <w:tr w:rsidR="008A04FB" w:rsidRPr="000B1A3C" w14:paraId="1FF11212"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57FF49A1"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HPD Home Loan Program</w:t>
            </w:r>
          </w:p>
        </w:tc>
        <w:tc>
          <w:tcPr>
            <w:tcW w:w="1128" w:type="dxa"/>
            <w:tcBorders>
              <w:top w:val="nil"/>
              <w:left w:val="nil"/>
              <w:bottom w:val="single" w:sz="4" w:space="0" w:color="auto"/>
              <w:right w:val="single" w:sz="4" w:space="0" w:color="auto"/>
            </w:tcBorders>
            <w:shd w:val="clear" w:color="auto" w:fill="auto"/>
            <w:noWrap/>
            <w:vAlign w:val="bottom"/>
            <w:hideMark/>
          </w:tcPr>
          <w:p w14:paraId="77B89C9F"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005D78A0"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1CE94527"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3C0EB765"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1B9E77D5"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2967ED90"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13117639"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r>
      <w:tr w:rsidR="008A04FB" w:rsidRPr="000B1A3C" w14:paraId="4D1AABE7"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7E4EFA34"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Mortgage Foreclosure</w:t>
            </w:r>
          </w:p>
        </w:tc>
        <w:tc>
          <w:tcPr>
            <w:tcW w:w="1128" w:type="dxa"/>
            <w:tcBorders>
              <w:top w:val="nil"/>
              <w:left w:val="nil"/>
              <w:bottom w:val="single" w:sz="4" w:space="0" w:color="auto"/>
              <w:right w:val="single" w:sz="4" w:space="0" w:color="auto"/>
            </w:tcBorders>
            <w:shd w:val="clear" w:color="auto" w:fill="auto"/>
            <w:noWrap/>
            <w:vAlign w:val="bottom"/>
            <w:hideMark/>
          </w:tcPr>
          <w:p w14:paraId="36E1898A"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1250000</w:t>
            </w:r>
          </w:p>
        </w:tc>
        <w:tc>
          <w:tcPr>
            <w:tcW w:w="997" w:type="dxa"/>
            <w:tcBorders>
              <w:top w:val="nil"/>
              <w:left w:val="nil"/>
              <w:bottom w:val="single" w:sz="4" w:space="0" w:color="auto"/>
              <w:right w:val="single" w:sz="4" w:space="0" w:color="auto"/>
            </w:tcBorders>
            <w:shd w:val="clear" w:color="auto" w:fill="auto"/>
            <w:noWrap/>
            <w:vAlign w:val="bottom"/>
            <w:hideMark/>
          </w:tcPr>
          <w:p w14:paraId="0566354C"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500000</w:t>
            </w:r>
          </w:p>
        </w:tc>
        <w:tc>
          <w:tcPr>
            <w:tcW w:w="997" w:type="dxa"/>
            <w:tcBorders>
              <w:top w:val="nil"/>
              <w:left w:val="nil"/>
              <w:bottom w:val="single" w:sz="4" w:space="0" w:color="auto"/>
              <w:right w:val="single" w:sz="4" w:space="0" w:color="auto"/>
            </w:tcBorders>
            <w:shd w:val="clear" w:color="auto" w:fill="auto"/>
            <w:noWrap/>
            <w:vAlign w:val="bottom"/>
            <w:hideMark/>
          </w:tcPr>
          <w:p w14:paraId="3D1766FF"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500000</w:t>
            </w:r>
          </w:p>
        </w:tc>
        <w:tc>
          <w:tcPr>
            <w:tcW w:w="997" w:type="dxa"/>
            <w:tcBorders>
              <w:top w:val="nil"/>
              <w:left w:val="nil"/>
              <w:bottom w:val="single" w:sz="4" w:space="0" w:color="auto"/>
              <w:right w:val="single" w:sz="4" w:space="0" w:color="auto"/>
            </w:tcBorders>
            <w:shd w:val="clear" w:color="auto" w:fill="auto"/>
            <w:noWrap/>
            <w:vAlign w:val="bottom"/>
            <w:hideMark/>
          </w:tcPr>
          <w:p w14:paraId="45D71BEE"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750000</w:t>
            </w:r>
          </w:p>
        </w:tc>
        <w:tc>
          <w:tcPr>
            <w:tcW w:w="997" w:type="dxa"/>
            <w:tcBorders>
              <w:top w:val="nil"/>
              <w:left w:val="nil"/>
              <w:bottom w:val="single" w:sz="4" w:space="0" w:color="auto"/>
              <w:right w:val="single" w:sz="4" w:space="0" w:color="auto"/>
            </w:tcBorders>
            <w:shd w:val="clear" w:color="auto" w:fill="auto"/>
            <w:noWrap/>
            <w:vAlign w:val="bottom"/>
            <w:hideMark/>
          </w:tcPr>
          <w:p w14:paraId="68574463"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750000</w:t>
            </w:r>
          </w:p>
        </w:tc>
        <w:tc>
          <w:tcPr>
            <w:tcW w:w="997" w:type="dxa"/>
            <w:tcBorders>
              <w:top w:val="nil"/>
              <w:left w:val="nil"/>
              <w:bottom w:val="single" w:sz="4" w:space="0" w:color="auto"/>
              <w:right w:val="single" w:sz="4" w:space="0" w:color="auto"/>
            </w:tcBorders>
            <w:shd w:val="clear" w:color="auto" w:fill="auto"/>
            <w:noWrap/>
            <w:vAlign w:val="bottom"/>
            <w:hideMark/>
          </w:tcPr>
          <w:p w14:paraId="76E77C61"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750000</w:t>
            </w:r>
          </w:p>
        </w:tc>
        <w:tc>
          <w:tcPr>
            <w:tcW w:w="997" w:type="dxa"/>
            <w:tcBorders>
              <w:top w:val="nil"/>
              <w:left w:val="nil"/>
              <w:bottom w:val="single" w:sz="4" w:space="0" w:color="auto"/>
              <w:right w:val="single" w:sz="4" w:space="0" w:color="auto"/>
            </w:tcBorders>
            <w:shd w:val="clear" w:color="auto" w:fill="auto"/>
            <w:noWrap/>
            <w:vAlign w:val="bottom"/>
            <w:hideMark/>
          </w:tcPr>
          <w:p w14:paraId="299B7D17"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750000</w:t>
            </w:r>
          </w:p>
        </w:tc>
      </w:tr>
      <w:tr w:rsidR="008A04FB" w:rsidRPr="000B1A3C" w14:paraId="21ED7324"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1341A0E0"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Neighborhood Preservation Consultants</w:t>
            </w:r>
          </w:p>
        </w:tc>
        <w:tc>
          <w:tcPr>
            <w:tcW w:w="1128" w:type="dxa"/>
            <w:tcBorders>
              <w:top w:val="nil"/>
              <w:left w:val="nil"/>
              <w:bottom w:val="single" w:sz="4" w:space="0" w:color="auto"/>
              <w:right w:val="single" w:sz="4" w:space="0" w:color="auto"/>
            </w:tcBorders>
            <w:shd w:val="clear" w:color="auto" w:fill="auto"/>
            <w:noWrap/>
            <w:vAlign w:val="bottom"/>
            <w:hideMark/>
          </w:tcPr>
          <w:p w14:paraId="57C570B0"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410000</w:t>
            </w:r>
          </w:p>
        </w:tc>
        <w:tc>
          <w:tcPr>
            <w:tcW w:w="997" w:type="dxa"/>
            <w:tcBorders>
              <w:top w:val="nil"/>
              <w:left w:val="nil"/>
              <w:bottom w:val="single" w:sz="4" w:space="0" w:color="auto"/>
              <w:right w:val="single" w:sz="4" w:space="0" w:color="auto"/>
            </w:tcBorders>
            <w:shd w:val="clear" w:color="auto" w:fill="auto"/>
            <w:noWrap/>
            <w:vAlign w:val="bottom"/>
            <w:hideMark/>
          </w:tcPr>
          <w:p w14:paraId="4C80FC6F"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0B6108C4"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249A03E6"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439446FA"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2A73B60B"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341B99F1"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r>
      <w:tr w:rsidR="008A04FB" w:rsidRPr="000B1A3C" w14:paraId="2D6B154B"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2D66F596"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NYU Furman Center SHIP</w:t>
            </w:r>
          </w:p>
        </w:tc>
        <w:tc>
          <w:tcPr>
            <w:tcW w:w="1128" w:type="dxa"/>
            <w:tcBorders>
              <w:top w:val="nil"/>
              <w:left w:val="nil"/>
              <w:bottom w:val="single" w:sz="4" w:space="0" w:color="auto"/>
              <w:right w:val="single" w:sz="4" w:space="0" w:color="auto"/>
            </w:tcBorders>
            <w:shd w:val="clear" w:color="auto" w:fill="auto"/>
            <w:noWrap/>
            <w:vAlign w:val="bottom"/>
            <w:hideMark/>
          </w:tcPr>
          <w:p w14:paraId="61E8363C"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24758539"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4B84A4FD"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3ABA4A1D"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17BA09F6"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571CEA86"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45000</w:t>
            </w:r>
          </w:p>
        </w:tc>
        <w:tc>
          <w:tcPr>
            <w:tcW w:w="997" w:type="dxa"/>
            <w:tcBorders>
              <w:top w:val="nil"/>
              <w:left w:val="nil"/>
              <w:bottom w:val="single" w:sz="4" w:space="0" w:color="auto"/>
              <w:right w:val="single" w:sz="4" w:space="0" w:color="auto"/>
            </w:tcBorders>
            <w:shd w:val="clear" w:color="auto" w:fill="auto"/>
            <w:noWrap/>
            <w:vAlign w:val="bottom"/>
            <w:hideMark/>
          </w:tcPr>
          <w:p w14:paraId="0B5DED73"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r>
      <w:tr w:rsidR="008A04FB" w:rsidRPr="000B1A3C" w14:paraId="1F8AF48B"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01CA0C9"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Pilot Weatherization Program</w:t>
            </w:r>
          </w:p>
        </w:tc>
        <w:tc>
          <w:tcPr>
            <w:tcW w:w="1128" w:type="dxa"/>
            <w:tcBorders>
              <w:top w:val="nil"/>
              <w:left w:val="nil"/>
              <w:bottom w:val="single" w:sz="4" w:space="0" w:color="auto"/>
              <w:right w:val="single" w:sz="4" w:space="0" w:color="auto"/>
            </w:tcBorders>
            <w:shd w:val="clear" w:color="auto" w:fill="auto"/>
            <w:noWrap/>
            <w:vAlign w:val="bottom"/>
            <w:hideMark/>
          </w:tcPr>
          <w:p w14:paraId="6550FDE2"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6F28B026"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06FAA35C"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400000</w:t>
            </w:r>
          </w:p>
        </w:tc>
        <w:tc>
          <w:tcPr>
            <w:tcW w:w="997" w:type="dxa"/>
            <w:tcBorders>
              <w:top w:val="nil"/>
              <w:left w:val="nil"/>
              <w:bottom w:val="single" w:sz="4" w:space="0" w:color="auto"/>
              <w:right w:val="single" w:sz="4" w:space="0" w:color="auto"/>
            </w:tcBorders>
            <w:shd w:val="clear" w:color="auto" w:fill="auto"/>
            <w:noWrap/>
            <w:vAlign w:val="bottom"/>
            <w:hideMark/>
          </w:tcPr>
          <w:p w14:paraId="5859B625"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04AD8C5A"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10EE032F"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15FCD52E"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r>
      <w:tr w:rsidR="008A04FB" w:rsidRPr="000B1A3C" w14:paraId="32C2FBB7"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30D44021"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Pratt Block by Block</w:t>
            </w:r>
          </w:p>
        </w:tc>
        <w:tc>
          <w:tcPr>
            <w:tcW w:w="1128" w:type="dxa"/>
            <w:tcBorders>
              <w:top w:val="nil"/>
              <w:left w:val="nil"/>
              <w:bottom w:val="single" w:sz="4" w:space="0" w:color="auto"/>
              <w:right w:val="single" w:sz="4" w:space="0" w:color="auto"/>
            </w:tcBorders>
            <w:shd w:val="clear" w:color="auto" w:fill="auto"/>
            <w:noWrap/>
            <w:vAlign w:val="bottom"/>
            <w:hideMark/>
          </w:tcPr>
          <w:p w14:paraId="59ACFE57"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5CA62CF7"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6E17E601"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25DFB23F"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200000</w:t>
            </w:r>
          </w:p>
        </w:tc>
        <w:tc>
          <w:tcPr>
            <w:tcW w:w="997" w:type="dxa"/>
            <w:tcBorders>
              <w:top w:val="nil"/>
              <w:left w:val="nil"/>
              <w:bottom w:val="single" w:sz="4" w:space="0" w:color="auto"/>
              <w:right w:val="single" w:sz="4" w:space="0" w:color="auto"/>
            </w:tcBorders>
            <w:shd w:val="clear" w:color="auto" w:fill="auto"/>
            <w:noWrap/>
            <w:vAlign w:val="bottom"/>
            <w:hideMark/>
          </w:tcPr>
          <w:p w14:paraId="11C5D45C"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134000</w:t>
            </w:r>
          </w:p>
        </w:tc>
        <w:tc>
          <w:tcPr>
            <w:tcW w:w="997" w:type="dxa"/>
            <w:tcBorders>
              <w:top w:val="nil"/>
              <w:left w:val="nil"/>
              <w:bottom w:val="single" w:sz="4" w:space="0" w:color="auto"/>
              <w:right w:val="single" w:sz="4" w:space="0" w:color="auto"/>
            </w:tcBorders>
            <w:shd w:val="clear" w:color="auto" w:fill="auto"/>
            <w:noWrap/>
            <w:vAlign w:val="bottom"/>
            <w:hideMark/>
          </w:tcPr>
          <w:p w14:paraId="6D708D1C"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11E25426"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r>
      <w:tr w:rsidR="008A04FB" w:rsidRPr="000B1A3C" w14:paraId="3371E8AD"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7D3F6103"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Speaker's Initiative</w:t>
            </w:r>
          </w:p>
        </w:tc>
        <w:tc>
          <w:tcPr>
            <w:tcW w:w="1128" w:type="dxa"/>
            <w:tcBorders>
              <w:top w:val="nil"/>
              <w:left w:val="nil"/>
              <w:bottom w:val="single" w:sz="4" w:space="0" w:color="auto"/>
              <w:right w:val="single" w:sz="4" w:space="0" w:color="auto"/>
            </w:tcBorders>
            <w:shd w:val="clear" w:color="auto" w:fill="auto"/>
            <w:noWrap/>
            <w:vAlign w:val="bottom"/>
            <w:hideMark/>
          </w:tcPr>
          <w:p w14:paraId="03799F83"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6BE91BF6"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68E28F1F"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569981AF"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5A110637"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5A285E8B"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59BFF048"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r>
      <w:tr w:rsidR="008A04FB" w:rsidRPr="000B1A3C" w14:paraId="53D69BBE"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33F80B9E"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Stabilizing NYC</w:t>
            </w:r>
          </w:p>
        </w:tc>
        <w:tc>
          <w:tcPr>
            <w:tcW w:w="1128" w:type="dxa"/>
            <w:tcBorders>
              <w:top w:val="nil"/>
              <w:left w:val="nil"/>
              <w:bottom w:val="single" w:sz="4" w:space="0" w:color="auto"/>
              <w:right w:val="single" w:sz="4" w:space="0" w:color="auto"/>
            </w:tcBorders>
            <w:shd w:val="clear" w:color="auto" w:fill="auto"/>
            <w:noWrap/>
            <w:vAlign w:val="bottom"/>
            <w:hideMark/>
          </w:tcPr>
          <w:p w14:paraId="4DE26CE9"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02790F8C"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79562CB9"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79FE9E41"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380A2DDB"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798E0957"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59094631"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1000000</w:t>
            </w:r>
          </w:p>
        </w:tc>
      </w:tr>
      <w:tr w:rsidR="008A04FB" w:rsidRPr="000B1A3C" w14:paraId="36BBB2F8"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6B21AEF9"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SHIP</w:t>
            </w:r>
          </w:p>
        </w:tc>
        <w:tc>
          <w:tcPr>
            <w:tcW w:w="1128" w:type="dxa"/>
            <w:tcBorders>
              <w:top w:val="nil"/>
              <w:left w:val="nil"/>
              <w:bottom w:val="single" w:sz="4" w:space="0" w:color="auto"/>
              <w:right w:val="single" w:sz="4" w:space="0" w:color="auto"/>
            </w:tcBorders>
            <w:shd w:val="clear" w:color="auto" w:fill="auto"/>
            <w:noWrap/>
            <w:vAlign w:val="bottom"/>
            <w:hideMark/>
          </w:tcPr>
          <w:p w14:paraId="06427654"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3EC22F56"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3A9EC046"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77430296"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45000</w:t>
            </w:r>
          </w:p>
        </w:tc>
        <w:tc>
          <w:tcPr>
            <w:tcW w:w="997" w:type="dxa"/>
            <w:tcBorders>
              <w:top w:val="nil"/>
              <w:left w:val="nil"/>
              <w:bottom w:val="single" w:sz="4" w:space="0" w:color="auto"/>
              <w:right w:val="single" w:sz="4" w:space="0" w:color="auto"/>
            </w:tcBorders>
            <w:shd w:val="clear" w:color="auto" w:fill="auto"/>
            <w:noWrap/>
            <w:vAlign w:val="bottom"/>
            <w:hideMark/>
          </w:tcPr>
          <w:p w14:paraId="60C7276E"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45000</w:t>
            </w:r>
          </w:p>
        </w:tc>
        <w:tc>
          <w:tcPr>
            <w:tcW w:w="997" w:type="dxa"/>
            <w:tcBorders>
              <w:top w:val="nil"/>
              <w:left w:val="nil"/>
              <w:bottom w:val="single" w:sz="4" w:space="0" w:color="auto"/>
              <w:right w:val="single" w:sz="4" w:space="0" w:color="auto"/>
            </w:tcBorders>
            <w:shd w:val="clear" w:color="auto" w:fill="auto"/>
            <w:noWrap/>
            <w:vAlign w:val="bottom"/>
            <w:hideMark/>
          </w:tcPr>
          <w:p w14:paraId="53409960" w14:textId="77777777" w:rsidR="008A04FB" w:rsidRPr="000B1A3C" w:rsidRDefault="008A04FB" w:rsidP="004D6ADA">
            <w:pPr>
              <w:spacing w:after="0" w:line="240" w:lineRule="auto"/>
              <w:rPr>
                <w:rFonts w:eastAsia="Times New Roman" w:cs="Times New Roman"/>
                <w:color w:val="000000"/>
                <w:sz w:val="18"/>
                <w:szCs w:val="18"/>
              </w:rPr>
            </w:pPr>
            <w:r w:rsidRPr="000B1A3C">
              <w:rPr>
                <w:rFonts w:eastAsia="Times New Roman" w:cs="Times New Roman"/>
                <w:color w:val="000000"/>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14:paraId="7048DFB9" w14:textId="77777777" w:rsidR="008A04FB" w:rsidRPr="000B1A3C" w:rsidRDefault="008A04FB" w:rsidP="004D6ADA">
            <w:pPr>
              <w:spacing w:after="0" w:line="240" w:lineRule="auto"/>
              <w:jc w:val="right"/>
              <w:rPr>
                <w:rFonts w:eastAsia="Times New Roman" w:cs="Times New Roman"/>
                <w:color w:val="000000"/>
                <w:sz w:val="18"/>
                <w:szCs w:val="18"/>
              </w:rPr>
            </w:pPr>
            <w:r w:rsidRPr="000B1A3C">
              <w:rPr>
                <w:rFonts w:eastAsia="Times New Roman" w:cs="Times New Roman"/>
                <w:color w:val="000000"/>
                <w:sz w:val="18"/>
                <w:szCs w:val="18"/>
              </w:rPr>
              <w:t>100000</w:t>
            </w:r>
          </w:p>
        </w:tc>
      </w:tr>
      <w:tr w:rsidR="008A04FB" w:rsidRPr="000B1A3C" w14:paraId="1A18EDD8" w14:textId="77777777" w:rsidTr="004D6ADA">
        <w:trPr>
          <w:trHeight w:val="144"/>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59CDAA2F" w14:textId="77777777" w:rsidR="008A04FB" w:rsidRPr="000B1A3C" w:rsidRDefault="008A04FB" w:rsidP="004D6ADA">
            <w:pPr>
              <w:spacing w:after="0" w:line="240" w:lineRule="auto"/>
              <w:rPr>
                <w:rFonts w:eastAsia="Times New Roman" w:cs="Times New Roman"/>
                <w:b/>
                <w:bCs/>
                <w:color w:val="000000"/>
                <w:sz w:val="18"/>
                <w:szCs w:val="18"/>
              </w:rPr>
            </w:pPr>
            <w:r w:rsidRPr="000B1A3C">
              <w:rPr>
                <w:rFonts w:eastAsia="Times New Roman" w:cs="Times New Roman"/>
                <w:b/>
                <w:bCs/>
                <w:color w:val="000000"/>
                <w:sz w:val="18"/>
                <w:szCs w:val="18"/>
              </w:rPr>
              <w:t>Grand Total</w:t>
            </w:r>
          </w:p>
        </w:tc>
        <w:tc>
          <w:tcPr>
            <w:tcW w:w="1128" w:type="dxa"/>
            <w:tcBorders>
              <w:top w:val="nil"/>
              <w:left w:val="nil"/>
              <w:bottom w:val="single" w:sz="4" w:space="0" w:color="auto"/>
              <w:right w:val="single" w:sz="4" w:space="0" w:color="auto"/>
            </w:tcBorders>
            <w:shd w:val="clear" w:color="auto" w:fill="auto"/>
            <w:noWrap/>
            <w:vAlign w:val="bottom"/>
            <w:hideMark/>
          </w:tcPr>
          <w:p w14:paraId="4206C1F6" w14:textId="77777777" w:rsidR="008A04FB" w:rsidRPr="000B1A3C" w:rsidRDefault="008A04FB" w:rsidP="004D6ADA">
            <w:pPr>
              <w:spacing w:after="0" w:line="240" w:lineRule="auto"/>
              <w:jc w:val="right"/>
              <w:rPr>
                <w:rFonts w:eastAsia="Times New Roman" w:cs="Times New Roman"/>
                <w:b/>
                <w:bCs/>
                <w:color w:val="000000"/>
                <w:sz w:val="18"/>
                <w:szCs w:val="18"/>
              </w:rPr>
            </w:pPr>
            <w:r w:rsidRPr="000B1A3C">
              <w:rPr>
                <w:rFonts w:eastAsia="Times New Roman" w:cs="Times New Roman"/>
                <w:b/>
                <w:bCs/>
                <w:color w:val="000000"/>
                <w:sz w:val="18"/>
                <w:szCs w:val="18"/>
              </w:rPr>
              <w:t>8171250</w:t>
            </w:r>
          </w:p>
        </w:tc>
        <w:tc>
          <w:tcPr>
            <w:tcW w:w="997" w:type="dxa"/>
            <w:tcBorders>
              <w:top w:val="nil"/>
              <w:left w:val="nil"/>
              <w:bottom w:val="single" w:sz="4" w:space="0" w:color="auto"/>
              <w:right w:val="single" w:sz="4" w:space="0" w:color="auto"/>
            </w:tcBorders>
            <w:shd w:val="clear" w:color="auto" w:fill="auto"/>
            <w:noWrap/>
            <w:vAlign w:val="bottom"/>
            <w:hideMark/>
          </w:tcPr>
          <w:p w14:paraId="184BE1FF" w14:textId="77777777" w:rsidR="008A04FB" w:rsidRPr="000B1A3C" w:rsidRDefault="008A04FB" w:rsidP="004D6ADA">
            <w:pPr>
              <w:spacing w:after="0" w:line="240" w:lineRule="auto"/>
              <w:jc w:val="right"/>
              <w:rPr>
                <w:rFonts w:eastAsia="Times New Roman" w:cs="Times New Roman"/>
                <w:b/>
                <w:bCs/>
                <w:color w:val="000000"/>
                <w:sz w:val="18"/>
                <w:szCs w:val="18"/>
              </w:rPr>
            </w:pPr>
            <w:r w:rsidRPr="000B1A3C">
              <w:rPr>
                <w:rFonts w:eastAsia="Times New Roman" w:cs="Times New Roman"/>
                <w:b/>
                <w:bCs/>
                <w:color w:val="000000"/>
                <w:sz w:val="18"/>
                <w:szCs w:val="18"/>
              </w:rPr>
              <w:t>6868525</w:t>
            </w:r>
          </w:p>
        </w:tc>
        <w:tc>
          <w:tcPr>
            <w:tcW w:w="997" w:type="dxa"/>
            <w:tcBorders>
              <w:top w:val="nil"/>
              <w:left w:val="nil"/>
              <w:bottom w:val="single" w:sz="4" w:space="0" w:color="auto"/>
              <w:right w:val="single" w:sz="4" w:space="0" w:color="auto"/>
            </w:tcBorders>
            <w:shd w:val="clear" w:color="auto" w:fill="auto"/>
            <w:noWrap/>
            <w:vAlign w:val="bottom"/>
            <w:hideMark/>
          </w:tcPr>
          <w:p w14:paraId="3229AF22" w14:textId="77777777" w:rsidR="008A04FB" w:rsidRPr="000B1A3C" w:rsidRDefault="008A04FB" w:rsidP="004D6ADA">
            <w:pPr>
              <w:spacing w:after="0" w:line="240" w:lineRule="auto"/>
              <w:jc w:val="right"/>
              <w:rPr>
                <w:rFonts w:eastAsia="Times New Roman" w:cs="Times New Roman"/>
                <w:b/>
                <w:bCs/>
                <w:color w:val="000000"/>
                <w:sz w:val="18"/>
                <w:szCs w:val="18"/>
              </w:rPr>
            </w:pPr>
            <w:r w:rsidRPr="000B1A3C">
              <w:rPr>
                <w:rFonts w:eastAsia="Times New Roman" w:cs="Times New Roman"/>
                <w:b/>
                <w:bCs/>
                <w:color w:val="000000"/>
                <w:sz w:val="18"/>
                <w:szCs w:val="18"/>
              </w:rPr>
              <w:t>6462633</w:t>
            </w:r>
          </w:p>
        </w:tc>
        <w:tc>
          <w:tcPr>
            <w:tcW w:w="997" w:type="dxa"/>
            <w:tcBorders>
              <w:top w:val="nil"/>
              <w:left w:val="nil"/>
              <w:bottom w:val="single" w:sz="4" w:space="0" w:color="auto"/>
              <w:right w:val="single" w:sz="4" w:space="0" w:color="auto"/>
            </w:tcBorders>
            <w:shd w:val="clear" w:color="auto" w:fill="auto"/>
            <w:noWrap/>
            <w:vAlign w:val="bottom"/>
            <w:hideMark/>
          </w:tcPr>
          <w:p w14:paraId="04306760" w14:textId="77777777" w:rsidR="008A04FB" w:rsidRPr="000B1A3C" w:rsidRDefault="008A04FB" w:rsidP="004D6ADA">
            <w:pPr>
              <w:spacing w:after="0" w:line="240" w:lineRule="auto"/>
              <w:jc w:val="right"/>
              <w:rPr>
                <w:rFonts w:eastAsia="Times New Roman" w:cs="Times New Roman"/>
                <w:b/>
                <w:bCs/>
                <w:color w:val="000000"/>
                <w:sz w:val="18"/>
                <w:szCs w:val="18"/>
              </w:rPr>
            </w:pPr>
            <w:r w:rsidRPr="000B1A3C">
              <w:rPr>
                <w:rFonts w:eastAsia="Times New Roman" w:cs="Times New Roman"/>
                <w:b/>
                <w:bCs/>
                <w:color w:val="000000"/>
                <w:sz w:val="18"/>
                <w:szCs w:val="18"/>
              </w:rPr>
              <w:t>6534472</w:t>
            </w:r>
          </w:p>
        </w:tc>
        <w:tc>
          <w:tcPr>
            <w:tcW w:w="997" w:type="dxa"/>
            <w:tcBorders>
              <w:top w:val="nil"/>
              <w:left w:val="nil"/>
              <w:bottom w:val="single" w:sz="4" w:space="0" w:color="auto"/>
              <w:right w:val="single" w:sz="4" w:space="0" w:color="auto"/>
            </w:tcBorders>
            <w:shd w:val="clear" w:color="auto" w:fill="auto"/>
            <w:noWrap/>
            <w:vAlign w:val="bottom"/>
            <w:hideMark/>
          </w:tcPr>
          <w:p w14:paraId="4FFA6DF2" w14:textId="77777777" w:rsidR="008A04FB" w:rsidRPr="000B1A3C" w:rsidRDefault="008A04FB" w:rsidP="004D6ADA">
            <w:pPr>
              <w:spacing w:after="0" w:line="240" w:lineRule="auto"/>
              <w:jc w:val="right"/>
              <w:rPr>
                <w:rFonts w:eastAsia="Times New Roman" w:cs="Times New Roman"/>
                <w:b/>
                <w:bCs/>
                <w:color w:val="000000"/>
                <w:sz w:val="18"/>
                <w:szCs w:val="18"/>
              </w:rPr>
            </w:pPr>
            <w:r w:rsidRPr="000B1A3C">
              <w:rPr>
                <w:rFonts w:eastAsia="Times New Roman" w:cs="Times New Roman"/>
                <w:b/>
                <w:bCs/>
                <w:color w:val="000000"/>
                <w:sz w:val="18"/>
                <w:szCs w:val="18"/>
              </w:rPr>
              <w:t>6515597</w:t>
            </w:r>
          </w:p>
        </w:tc>
        <w:tc>
          <w:tcPr>
            <w:tcW w:w="997" w:type="dxa"/>
            <w:tcBorders>
              <w:top w:val="nil"/>
              <w:left w:val="nil"/>
              <w:bottom w:val="single" w:sz="4" w:space="0" w:color="auto"/>
              <w:right w:val="single" w:sz="4" w:space="0" w:color="auto"/>
            </w:tcBorders>
            <w:shd w:val="clear" w:color="auto" w:fill="auto"/>
            <w:noWrap/>
            <w:vAlign w:val="bottom"/>
            <w:hideMark/>
          </w:tcPr>
          <w:p w14:paraId="5558ACDD" w14:textId="77777777" w:rsidR="008A04FB" w:rsidRPr="000B1A3C" w:rsidRDefault="008A04FB" w:rsidP="004D6ADA">
            <w:pPr>
              <w:spacing w:after="0" w:line="240" w:lineRule="auto"/>
              <w:jc w:val="right"/>
              <w:rPr>
                <w:rFonts w:eastAsia="Times New Roman" w:cs="Times New Roman"/>
                <w:b/>
                <w:bCs/>
                <w:color w:val="000000"/>
                <w:sz w:val="18"/>
                <w:szCs w:val="18"/>
              </w:rPr>
            </w:pPr>
            <w:r w:rsidRPr="000B1A3C">
              <w:rPr>
                <w:rFonts w:eastAsia="Times New Roman" w:cs="Times New Roman"/>
                <w:b/>
                <w:bCs/>
                <w:color w:val="000000"/>
                <w:sz w:val="18"/>
                <w:szCs w:val="18"/>
              </w:rPr>
              <w:t>6388977</w:t>
            </w:r>
          </w:p>
        </w:tc>
        <w:tc>
          <w:tcPr>
            <w:tcW w:w="997" w:type="dxa"/>
            <w:tcBorders>
              <w:top w:val="nil"/>
              <w:left w:val="nil"/>
              <w:bottom w:val="single" w:sz="4" w:space="0" w:color="auto"/>
              <w:right w:val="single" w:sz="4" w:space="0" w:color="auto"/>
            </w:tcBorders>
            <w:shd w:val="clear" w:color="auto" w:fill="auto"/>
            <w:noWrap/>
            <w:vAlign w:val="bottom"/>
            <w:hideMark/>
          </w:tcPr>
          <w:p w14:paraId="45EC6CDB" w14:textId="77777777" w:rsidR="008A04FB" w:rsidRPr="000B1A3C" w:rsidRDefault="008A04FB" w:rsidP="004D6ADA">
            <w:pPr>
              <w:spacing w:after="0" w:line="240" w:lineRule="auto"/>
              <w:jc w:val="right"/>
              <w:rPr>
                <w:rFonts w:eastAsia="Times New Roman" w:cs="Times New Roman"/>
                <w:b/>
                <w:bCs/>
                <w:color w:val="000000"/>
                <w:sz w:val="18"/>
                <w:szCs w:val="18"/>
              </w:rPr>
            </w:pPr>
            <w:r w:rsidRPr="000B1A3C">
              <w:rPr>
                <w:rFonts w:eastAsia="Times New Roman" w:cs="Times New Roman"/>
                <w:b/>
                <w:bCs/>
                <w:color w:val="000000"/>
                <w:sz w:val="18"/>
                <w:szCs w:val="18"/>
              </w:rPr>
              <w:t>7717972</w:t>
            </w:r>
          </w:p>
        </w:tc>
      </w:tr>
    </w:tbl>
    <w:p w14:paraId="0123F36D" w14:textId="77777777" w:rsidR="008A04FB" w:rsidRDefault="008A04FB" w:rsidP="00141185">
      <w:pPr>
        <w:jc w:val="both"/>
      </w:pPr>
    </w:p>
    <w:p w14:paraId="74AE80A3" w14:textId="422BAE38" w:rsidR="002155DF" w:rsidRDefault="002155DF" w:rsidP="00141185">
      <w:pPr>
        <w:jc w:val="both"/>
      </w:pPr>
      <w:r>
        <w:t xml:space="preserve">This phase will also endeavor to gather current data from tenants, activists, and agency staff themselves regarding avoidance tactics they may still be dealing with. Surveys have been designed and are ready for implementation </w:t>
      </w:r>
      <w:r w:rsidR="008A04FB">
        <w:t>with</w:t>
      </w:r>
      <w:r>
        <w:t xml:space="preserve"> both citizens and agency staff. This is extremely important to ensure that the gains made with the 2019 RRA are not lost due to lack of budget capacity, or budget redirection to more “rezoning” programs benefitting developers and investors. </w:t>
      </w:r>
    </w:p>
    <w:p w14:paraId="4101894D" w14:textId="3457DE3E" w:rsidR="002155DF" w:rsidRDefault="0040173D" w:rsidP="00141185">
      <w:pPr>
        <w:jc w:val="both"/>
      </w:pPr>
      <w:r>
        <w:t>Once we identify agency performance indicators that pose a threat to tenant protections</w:t>
      </w:r>
      <w:r w:rsidR="002155DF">
        <w:t>,</w:t>
      </w:r>
      <w:r>
        <w:t xml:space="preserve"> and</w:t>
      </w:r>
      <w:r w:rsidR="002155DF">
        <w:t xml:space="preserve"> any predictable</w:t>
      </w:r>
      <w:r>
        <w:t xml:space="preserve"> </w:t>
      </w:r>
      <w:r>
        <w:rPr>
          <w:i/>
          <w:iCs/>
        </w:rPr>
        <w:t>disparate impact</w:t>
      </w:r>
      <w:r w:rsidR="002155DF">
        <w:rPr>
          <w:i/>
          <w:iCs/>
        </w:rPr>
        <w:t xml:space="preserve"> </w:t>
      </w:r>
      <w:r w:rsidR="002155DF">
        <w:t>based on our model in Phase 1</w:t>
      </w:r>
      <w:r>
        <w:t>, the indicators will be us</w:t>
      </w:r>
      <w:r w:rsidR="002155DF">
        <w:t>ed to directly</w:t>
      </w:r>
      <w:r>
        <w:t xml:space="preserve"> counter accountability avoidance</w:t>
      </w:r>
      <w:r w:rsidR="002155DF">
        <w:t>.</w:t>
      </w:r>
      <w:r w:rsidR="003378BC">
        <w:t xml:space="preserve"> </w:t>
      </w:r>
      <w:r w:rsidR="002155DF">
        <w:t xml:space="preserve">This will focus on designing, in tandem with the agencies, </w:t>
      </w:r>
      <w:r w:rsidR="003378BC">
        <w:t xml:space="preserve">control frameworks that ensure </w:t>
      </w:r>
      <w:r w:rsidR="003378BC">
        <w:rPr>
          <w:i/>
          <w:iCs/>
        </w:rPr>
        <w:t>corrupting impact</w:t>
      </w:r>
      <w:r w:rsidR="003378BC">
        <w:t xml:space="preserve"> becomes an ingrained part of the </w:t>
      </w:r>
      <w:r w:rsidR="003378BC">
        <w:rPr>
          <w:i/>
          <w:iCs/>
        </w:rPr>
        <w:t>Risk Management Framework</w:t>
      </w:r>
      <w:r w:rsidR="003378BC">
        <w:t xml:space="preserve"> for </w:t>
      </w:r>
      <w:r w:rsidR="002132EE">
        <w:t>their internal audits</w:t>
      </w:r>
      <w:r w:rsidR="003378BC">
        <w:t>.</w:t>
      </w:r>
      <w:r w:rsidR="00EC4D25">
        <w:t xml:space="preserve"> </w:t>
      </w:r>
      <w:r w:rsidR="00783673">
        <w:t xml:space="preserve">This will be combined with </w:t>
      </w:r>
      <w:r w:rsidR="002155DF">
        <w:t>training and network support that all citizens can access. As citizens identify issues, we can all work together to generate Forensically Acculturated paradigms that serve to hold the “Tone at the Top” accountable for retaining their independent judgement</w:t>
      </w:r>
      <w:r w:rsidR="00EC4D25">
        <w:t xml:space="preserve"> to develop policy.</w:t>
      </w:r>
    </w:p>
    <w:p w14:paraId="23EAC0D5" w14:textId="51FADC58" w:rsidR="00536D5A" w:rsidRDefault="00536D5A" w:rsidP="00536D5A"/>
    <w:p w14:paraId="1FE3F583" w14:textId="77777777" w:rsidR="00536D5A" w:rsidRDefault="00536D5A" w:rsidP="00536D5A"/>
    <w:p w14:paraId="63A1B7D6" w14:textId="7290FA3B" w:rsidR="00536D5A" w:rsidRDefault="00536D5A" w:rsidP="00571C0C">
      <w:pPr>
        <w:pStyle w:val="Heading1"/>
        <w:rPr>
          <w:rFonts w:asciiTheme="minorHAnsi" w:hAnsiTheme="minorHAnsi" w:cstheme="minorHAnsi"/>
          <w:sz w:val="24"/>
          <w:szCs w:val="24"/>
        </w:rPr>
      </w:pPr>
      <w:bookmarkStart w:id="8" w:name="_Toc68084998"/>
      <w:r>
        <w:rPr>
          <w:rFonts w:asciiTheme="minorHAnsi" w:hAnsiTheme="minorHAnsi" w:cstheme="minorHAnsi"/>
          <w:sz w:val="24"/>
          <w:szCs w:val="24"/>
        </w:rPr>
        <w:lastRenderedPageBreak/>
        <w:t>Literature Review – A brief Primer on Campaign Finance &amp; New York’s Affordable Housing</w:t>
      </w:r>
      <w:bookmarkEnd w:id="8"/>
      <w:r>
        <w:rPr>
          <w:rFonts w:asciiTheme="minorHAnsi" w:hAnsiTheme="minorHAnsi" w:cstheme="minorHAnsi"/>
          <w:sz w:val="24"/>
          <w:szCs w:val="24"/>
        </w:rPr>
        <w:t xml:space="preserve"> </w:t>
      </w:r>
    </w:p>
    <w:p w14:paraId="4A517509" w14:textId="074E5864" w:rsidR="000A2351" w:rsidRPr="00536D5A" w:rsidRDefault="004D0D4A" w:rsidP="00536D5A">
      <w:pPr>
        <w:pStyle w:val="Heading2"/>
        <w:rPr>
          <w:sz w:val="24"/>
          <w:szCs w:val="24"/>
        </w:rPr>
      </w:pPr>
      <w:bookmarkStart w:id="9" w:name="_Toc68084999"/>
      <w:r w:rsidRPr="00536D5A">
        <w:rPr>
          <w:sz w:val="24"/>
          <w:szCs w:val="24"/>
        </w:rPr>
        <w:t>Campaign Finance in the United States – The Case for a “Pay to Play” Phenomenon</w:t>
      </w:r>
      <w:bookmarkEnd w:id="9"/>
    </w:p>
    <w:p w14:paraId="3203B84E" w14:textId="7B23ADC6" w:rsidR="000A2351" w:rsidRDefault="000A2351" w:rsidP="000A2351">
      <w:pPr>
        <w:jc w:val="both"/>
      </w:pPr>
      <w:r>
        <w:t xml:space="preserve">To understand its corrupting influence, </w:t>
      </w:r>
      <w:r w:rsidR="004D0D4A">
        <w:t>it’s</w:t>
      </w:r>
      <w:r>
        <w:t xml:space="preserve"> imperative to study aspects of campaign finance that aid in understanding the “…dangers of interest group politics.”</w:t>
      </w:r>
      <w:r>
        <w:rPr>
          <w:rStyle w:val="FootnoteReference"/>
        </w:rPr>
        <w:footnoteReference w:id="16"/>
      </w:r>
      <w:r>
        <w:t xml:space="preserve"> The issue is further exacerbated by the fact that some interest group politics do have benefits. Paramount in these are human rights issues, which may not have widespread support but deserve legislative attention. Often race, gender, and sexual rights are cited as such issues. Interest group politics is beneficial in these cases, but they can still be divisively partisan, and </w:t>
      </w:r>
      <w:r w:rsidR="00132277">
        <w:t xml:space="preserve">decidedly </w:t>
      </w:r>
      <w:r>
        <w:t>make the process of legislating campaign finance harder.</w:t>
      </w:r>
      <w:r>
        <w:rPr>
          <w:rStyle w:val="FootnoteReference"/>
        </w:rPr>
        <w:footnoteReference w:id="17"/>
      </w:r>
      <w:r>
        <w:t xml:space="preserve"> </w:t>
      </w:r>
    </w:p>
    <w:p w14:paraId="53C2609A" w14:textId="52FBEDA9" w:rsidR="000A2351" w:rsidRDefault="000A2351" w:rsidP="000A2351">
      <w:pPr>
        <w:jc w:val="both"/>
      </w:pPr>
      <w:r>
        <w:t xml:space="preserve">As </w:t>
      </w:r>
      <w:r>
        <w:rPr>
          <w:i/>
          <w:iCs/>
        </w:rPr>
        <w:t>Strauss</w:t>
      </w:r>
      <w:r w:rsidR="00590A01">
        <w:rPr>
          <w:i/>
          <w:iCs/>
        </w:rPr>
        <w:t xml:space="preserve">, </w:t>
      </w:r>
      <w:r w:rsidR="00590A01">
        <w:t>in the article cited above,</w:t>
      </w:r>
      <w:r>
        <w:rPr>
          <w:i/>
          <w:iCs/>
        </w:rPr>
        <w:t xml:space="preserve"> </w:t>
      </w:r>
      <w:r>
        <w:t xml:space="preserve">further explains the campaign finance dichotomy, he parallels a contribution to an extension of a promise to “vote” for the candidate </w:t>
      </w:r>
      <w:r w:rsidR="00590A01">
        <w:t>in agreement with</w:t>
      </w:r>
      <w:r>
        <w:t xml:space="preserve"> their platform. The issue, he expounds, isn’t the act itself, but the lack of equality in various groups’ </w:t>
      </w:r>
      <w:r w:rsidR="00590A01">
        <w:t xml:space="preserve">financial </w:t>
      </w:r>
      <w:r>
        <w:t>resources to further</w:t>
      </w:r>
      <w:r w:rsidR="00590A01">
        <w:t xml:space="preserve"> self-interested legislation in this way</w:t>
      </w:r>
      <w:r>
        <w:t>. PAC’s, corporations, and unions, for instance, can have an outsized effect if their contributions aren’t curbed in relation to an “unorganized” individual’s influence on the candidate’s electability beyond their personal vote.</w:t>
      </w:r>
      <w:r>
        <w:rPr>
          <w:rStyle w:val="FootnoteReference"/>
        </w:rPr>
        <w:footnoteReference w:id="18"/>
      </w:r>
      <w:r>
        <w:t xml:space="preserve"> </w:t>
      </w:r>
    </w:p>
    <w:p w14:paraId="6300CCBC" w14:textId="5585712C" w:rsidR="000A2351" w:rsidRDefault="000A2351" w:rsidP="000A2351">
      <w:pPr>
        <w:jc w:val="both"/>
      </w:pPr>
      <w:r>
        <w:t xml:space="preserve">Ignoring these campaign contribution dichotomies, and the overall inequality in policy influence they pose, has a long history with the Supreme Court in </w:t>
      </w:r>
      <w:r>
        <w:rPr>
          <w:i/>
          <w:iCs/>
        </w:rPr>
        <w:t>Buckley v. Valeo</w:t>
      </w:r>
      <w:r>
        <w:rPr>
          <w:rStyle w:val="FootnoteReference"/>
          <w:i/>
          <w:iCs/>
        </w:rPr>
        <w:footnoteReference w:id="19"/>
      </w:r>
      <w:r>
        <w:t xml:space="preserve">; again, in </w:t>
      </w:r>
      <w:r>
        <w:rPr>
          <w:i/>
          <w:iCs/>
        </w:rPr>
        <w:t>Federal Election Commission v. Wisconsin Right to Life</w:t>
      </w:r>
      <w:r>
        <w:rPr>
          <w:rStyle w:val="FootnoteReference"/>
          <w:i/>
          <w:iCs/>
        </w:rPr>
        <w:footnoteReference w:id="20"/>
      </w:r>
      <w:r>
        <w:rPr>
          <w:i/>
          <w:iCs/>
        </w:rPr>
        <w:t xml:space="preserve">; </w:t>
      </w:r>
      <w:r>
        <w:t xml:space="preserve">citing a “…chilling effect on protected speech” if adjudicated in any other way. And finally cemented by the court </w:t>
      </w:r>
      <w:r w:rsidR="008373C2">
        <w:t>in</w:t>
      </w:r>
      <w:r>
        <w:t xml:space="preserve"> </w:t>
      </w:r>
      <w:r>
        <w:rPr>
          <w:i/>
          <w:iCs/>
        </w:rPr>
        <w:t>Citizens United v. Federal Election Commission</w:t>
      </w:r>
      <w:r>
        <w:rPr>
          <w:rStyle w:val="FootnoteReference"/>
          <w:i/>
          <w:iCs/>
        </w:rPr>
        <w:footnoteReference w:id="21"/>
      </w:r>
      <w:r>
        <w:t xml:space="preserve">. </w:t>
      </w:r>
    </w:p>
    <w:p w14:paraId="30BB2B81" w14:textId="2E1A2222" w:rsidR="000A2351" w:rsidRDefault="000A2351" w:rsidP="000A2351">
      <w:pPr>
        <w:jc w:val="both"/>
      </w:pPr>
      <w:r>
        <w:t xml:space="preserve">In </w:t>
      </w:r>
      <w:r>
        <w:rPr>
          <w:i/>
          <w:iCs/>
        </w:rPr>
        <w:t>Citizens United</w:t>
      </w:r>
      <w:r>
        <w:t xml:space="preserve"> the Supreme Court also stated that reform demands are Congress’ purview. The court refuses to legislate the inherent duality of campaign finance, where decisions regarding “good” and “bad” interest group politics are always fraught with partisanship.</w:t>
      </w:r>
      <w:r>
        <w:rPr>
          <w:rStyle w:val="FootnoteReference"/>
        </w:rPr>
        <w:footnoteReference w:id="22"/>
      </w:r>
      <w:r>
        <w:t xml:space="preserve"> Furthermore, since campaign contributions can only be applied to a “campaign”, the classic “quid pro quo” corruption definition is not applicable. But an expanded definition of </w:t>
      </w:r>
      <w:r w:rsidRPr="00D17D72">
        <w:rPr>
          <w:i/>
          <w:iCs/>
        </w:rPr>
        <w:t>corrupting i</w:t>
      </w:r>
      <w:r w:rsidR="00D17D72" w:rsidRPr="00D17D72">
        <w:rPr>
          <w:i/>
          <w:iCs/>
        </w:rPr>
        <w:t>mpact</w:t>
      </w:r>
      <w:r>
        <w:t xml:space="preserve">, presented by </w:t>
      </w:r>
      <w:r>
        <w:rPr>
          <w:i/>
          <w:iCs/>
        </w:rPr>
        <w:t>Strauss,</w:t>
      </w:r>
      <w:r>
        <w:t xml:space="preserve"> may get to the “intent” of </w:t>
      </w:r>
      <w:r w:rsidR="00D17D72">
        <w:t xml:space="preserve">valuing </w:t>
      </w:r>
      <w:r>
        <w:t>campaign contributions as ways to “…stay in office longer”</w:t>
      </w:r>
      <w:r>
        <w:rPr>
          <w:rStyle w:val="FootnoteReference"/>
        </w:rPr>
        <w:footnoteReference w:id="23"/>
      </w:r>
      <w:r>
        <w:t xml:space="preserve">, or even indefinitely. Elected officials can </w:t>
      </w:r>
      <w:r w:rsidR="00D17D72">
        <w:t>make</w:t>
      </w:r>
      <w:r>
        <w:t xml:space="preserve"> voting decisions that benefit interest groups providing funds to aid electability, over independent judgement of what is best for </w:t>
      </w:r>
      <w:r w:rsidR="00D17D72">
        <w:t>overall public</w:t>
      </w:r>
      <w:r>
        <w:t xml:space="preserve"> welfare.</w:t>
      </w:r>
      <w:r>
        <w:rPr>
          <w:rStyle w:val="FootnoteReference"/>
        </w:rPr>
        <w:footnoteReference w:id="24"/>
      </w:r>
      <w:r>
        <w:t xml:space="preserve"> </w:t>
      </w:r>
    </w:p>
    <w:p w14:paraId="1780BA39" w14:textId="05374D71" w:rsidR="000A2351" w:rsidRDefault="000A2351" w:rsidP="000A2351">
      <w:pPr>
        <w:jc w:val="both"/>
        <w:rPr>
          <w:iCs/>
        </w:rPr>
      </w:pPr>
      <w:r>
        <w:t xml:space="preserve">In 2000, </w:t>
      </w:r>
      <w:r>
        <w:rPr>
          <w:i/>
          <w:iCs/>
        </w:rPr>
        <w:t>Nelson</w:t>
      </w:r>
      <w:r>
        <w:rPr>
          <w:rStyle w:val="FootnoteReference"/>
          <w:i/>
          <w:iCs/>
        </w:rPr>
        <w:footnoteReference w:id="25"/>
      </w:r>
      <w:r>
        <w:rPr>
          <w:i/>
          <w:iCs/>
        </w:rPr>
        <w:t xml:space="preserve"> </w:t>
      </w:r>
      <w:r>
        <w:t xml:space="preserve">argued that the approach to campaign finance reform is focused on the </w:t>
      </w:r>
      <w:r>
        <w:rPr>
          <w:i/>
          <w:iCs/>
        </w:rPr>
        <w:t>supply</w:t>
      </w:r>
      <w:r>
        <w:rPr>
          <w:rStyle w:val="FootnoteReference"/>
          <w:i/>
          <w:iCs/>
        </w:rPr>
        <w:footnoteReference w:id="26"/>
      </w:r>
      <w:r>
        <w:t xml:space="preserve"> </w:t>
      </w:r>
      <w:r w:rsidR="00D17D72">
        <w:t>side but</w:t>
      </w:r>
      <w:r>
        <w:t xml:space="preserve"> should instead be focused on the </w:t>
      </w:r>
      <w:r>
        <w:rPr>
          <w:i/>
          <w:iCs/>
        </w:rPr>
        <w:t>demand</w:t>
      </w:r>
      <w:r>
        <w:rPr>
          <w:rStyle w:val="FootnoteReference"/>
          <w:i/>
          <w:iCs/>
        </w:rPr>
        <w:footnoteReference w:id="27"/>
      </w:r>
      <w:r>
        <w:t xml:space="preserve"> side. The Supreme Court has made it clear that efforts at </w:t>
      </w:r>
      <w:r>
        <w:lastRenderedPageBreak/>
        <w:t>reform on the supply side are precarious due to “protected speech” concerns.</w:t>
      </w:r>
      <w:r>
        <w:rPr>
          <w:rStyle w:val="FootnoteReference"/>
        </w:rPr>
        <w:footnoteReference w:id="28"/>
      </w:r>
      <w:r>
        <w:t xml:space="preserve"> Furthermore, the court’s insistence that this reform be directed at the legislative level, is self-monitoring that is often difficult to attain. If these are the facts of the campaign finance reform environment, giving legislators regulatory and oversight guardrails around campaign finance may serve to control its negative aspects. A review of the contribution history to New York city &amp; state </w:t>
      </w:r>
      <w:r w:rsidR="00D17D72">
        <w:t>officials</w:t>
      </w:r>
      <w:r>
        <w:t xml:space="preserve"> support</w:t>
      </w:r>
      <w:r w:rsidR="00D17D72">
        <w:t>s</w:t>
      </w:r>
      <w:r>
        <w:t xml:space="preserve"> </w:t>
      </w:r>
      <w:r>
        <w:rPr>
          <w:i/>
          <w:iCs/>
        </w:rPr>
        <w:t xml:space="preserve">Nelson’s </w:t>
      </w:r>
      <w:r>
        <w:t>argument</w:t>
      </w:r>
      <w:r>
        <w:rPr>
          <w:iCs/>
        </w:rPr>
        <w:t>.</w:t>
      </w:r>
    </w:p>
    <w:p w14:paraId="4074E5B0" w14:textId="6031F07A" w:rsidR="000A2351" w:rsidRDefault="000A2351" w:rsidP="000A2351">
      <w:pPr>
        <w:jc w:val="both"/>
        <w:rPr>
          <w:iCs/>
        </w:rPr>
      </w:pPr>
      <w:r>
        <w:rPr>
          <w:iCs/>
        </w:rPr>
        <w:t>Nelson also argues that campaign finance should be viewed as a market with “buyers” and “sellers</w:t>
      </w:r>
      <w:r w:rsidR="00D17D72">
        <w:rPr>
          <w:iCs/>
        </w:rPr>
        <w:t>” and</w:t>
      </w:r>
      <w:r>
        <w:rPr>
          <w:iCs/>
        </w:rPr>
        <w:t xml:space="preserve"> lists a bevy of scholarly sources that highlight what the various stakeholders are “buying” and “selling”. These sources are identified </w:t>
      </w:r>
      <w:r w:rsidR="00A14431">
        <w:rPr>
          <w:iCs/>
        </w:rPr>
        <w:t>in Appendix B</w:t>
      </w:r>
      <w:r>
        <w:rPr>
          <w:iCs/>
        </w:rPr>
        <w:t>.</w:t>
      </w:r>
      <w:r>
        <w:rPr>
          <w:rStyle w:val="FootnoteReference"/>
          <w:iCs/>
        </w:rPr>
        <w:footnoteReference w:id="29"/>
      </w:r>
      <w:r>
        <w:rPr>
          <w:iCs/>
        </w:rPr>
        <w:t xml:space="preserve"> Even if this “market” is beneficial for both buyers and sellers, </w:t>
      </w:r>
      <w:r>
        <w:rPr>
          <w:i/>
        </w:rPr>
        <w:t xml:space="preserve">Nelson </w:t>
      </w:r>
      <w:r>
        <w:rPr>
          <w:iCs/>
        </w:rPr>
        <w:t xml:space="preserve">argues, it is not necessarily acceptable if this “market” </w:t>
      </w:r>
      <w:r w:rsidR="00502472">
        <w:rPr>
          <w:iCs/>
        </w:rPr>
        <w:t xml:space="preserve">invariably </w:t>
      </w:r>
      <w:r>
        <w:rPr>
          <w:iCs/>
        </w:rPr>
        <w:t>effects 3</w:t>
      </w:r>
      <w:r w:rsidRPr="001C2E07">
        <w:rPr>
          <w:iCs/>
          <w:vertAlign w:val="superscript"/>
        </w:rPr>
        <w:t>rd</w:t>
      </w:r>
      <w:r>
        <w:rPr>
          <w:iCs/>
        </w:rPr>
        <w:t xml:space="preserve"> parties, in this case the larger citizenry.</w:t>
      </w:r>
      <w:r>
        <w:rPr>
          <w:rStyle w:val="FootnoteReference"/>
          <w:iCs/>
        </w:rPr>
        <w:footnoteReference w:id="30"/>
      </w:r>
      <w:r>
        <w:rPr>
          <w:iCs/>
        </w:rPr>
        <w:t xml:space="preserve"> </w:t>
      </w:r>
    </w:p>
    <w:p w14:paraId="02AA991B" w14:textId="77777777" w:rsidR="002543CA" w:rsidRDefault="000A2351" w:rsidP="000A2351">
      <w:pPr>
        <w:jc w:val="both"/>
        <w:rPr>
          <w:iCs/>
        </w:rPr>
      </w:pPr>
      <w:r>
        <w:rPr>
          <w:i/>
        </w:rPr>
        <w:t>Citizens United</w:t>
      </w:r>
      <w:r>
        <w:rPr>
          <w:iCs/>
        </w:rPr>
        <w:t xml:space="preserve"> has been hailed as a death knell for campaign finance reform, and, by </w:t>
      </w:r>
      <w:r>
        <w:rPr>
          <w:i/>
        </w:rPr>
        <w:t xml:space="preserve">Nelson’s </w:t>
      </w:r>
      <w:r>
        <w:rPr>
          <w:iCs/>
        </w:rPr>
        <w:t>standard, an outright rejection by the court to legislate the supply side of the campaign finance market. It was also a redirection from the early 2000’s when the court had made decisions to expand the definition of public corruption to include “undue influence on an office holder’s judgement”</w:t>
      </w:r>
      <w:r>
        <w:rPr>
          <w:rStyle w:val="FootnoteReference"/>
          <w:iCs/>
        </w:rPr>
        <w:footnoteReference w:id="31"/>
      </w:r>
      <w:r>
        <w:rPr>
          <w:iCs/>
        </w:rPr>
        <w:t xml:space="preserve">, or what audit professionals would identify as </w:t>
      </w:r>
      <w:r>
        <w:rPr>
          <w:i/>
        </w:rPr>
        <w:t xml:space="preserve">Independence in </w:t>
      </w:r>
      <w:r w:rsidRPr="00A80FE6">
        <w:rPr>
          <w:i/>
        </w:rPr>
        <w:t>Appearance</w:t>
      </w:r>
      <w:r>
        <w:rPr>
          <w:rStyle w:val="FootnoteReference"/>
          <w:i/>
        </w:rPr>
        <w:footnoteReference w:id="32"/>
      </w:r>
      <w:r>
        <w:rPr>
          <w:iCs/>
        </w:rPr>
        <w:t xml:space="preserve">. </w:t>
      </w:r>
    </w:p>
    <w:p w14:paraId="5F9C67A1" w14:textId="1E854529" w:rsidR="000A2351" w:rsidRDefault="000A2351" w:rsidP="000A2351">
      <w:pPr>
        <w:jc w:val="both"/>
        <w:rPr>
          <w:iCs/>
        </w:rPr>
      </w:pPr>
      <w:r>
        <w:rPr>
          <w:iCs/>
        </w:rPr>
        <w:t xml:space="preserve">Undue influence of campaign contributions was the basis for this expansion in definition. </w:t>
      </w:r>
      <w:r w:rsidRPr="009A52EF">
        <w:rPr>
          <w:i/>
        </w:rPr>
        <w:t>Kang</w:t>
      </w:r>
      <w:r>
        <w:rPr>
          <w:i/>
        </w:rPr>
        <w:t xml:space="preserve">, </w:t>
      </w:r>
      <w:r>
        <w:rPr>
          <w:iCs/>
        </w:rPr>
        <w:t xml:space="preserve">in 2012, argued that </w:t>
      </w:r>
      <w:r>
        <w:rPr>
          <w:i/>
        </w:rPr>
        <w:t>Citizens United</w:t>
      </w:r>
      <w:r>
        <w:rPr>
          <w:iCs/>
        </w:rPr>
        <w:t xml:space="preserve"> contracted the definition of public corruption to a sliver of activities not far from the classic definition of “quid pro quo” bypassing </w:t>
      </w:r>
      <w:r w:rsidR="002543CA">
        <w:rPr>
          <w:iCs/>
        </w:rPr>
        <w:t>all</w:t>
      </w:r>
      <w:r>
        <w:rPr>
          <w:iCs/>
        </w:rPr>
        <w:t xml:space="preserve"> the legislative and judicial reform of the first decade of the 21</w:t>
      </w:r>
      <w:r w:rsidRPr="008F0637">
        <w:rPr>
          <w:iCs/>
          <w:vertAlign w:val="superscript"/>
        </w:rPr>
        <w:t>st</w:t>
      </w:r>
      <w:r>
        <w:rPr>
          <w:iCs/>
        </w:rPr>
        <w:t xml:space="preserve"> century.</w:t>
      </w:r>
      <w:r w:rsidRPr="00D33F74">
        <w:rPr>
          <w:rStyle w:val="FootnoteReference"/>
          <w:i/>
        </w:rPr>
        <w:t xml:space="preserve"> </w:t>
      </w:r>
      <w:r>
        <w:rPr>
          <w:rStyle w:val="FootnoteReference"/>
          <w:i/>
        </w:rPr>
        <w:footnoteReference w:id="33"/>
      </w:r>
      <w:r>
        <w:rPr>
          <w:iCs/>
        </w:rPr>
        <w:t xml:space="preserve"> This back and forth indicates that campaign finance reform lacks motivation and support across all branches of government.</w:t>
      </w:r>
    </w:p>
    <w:p w14:paraId="0E406B66" w14:textId="77777777" w:rsidR="000A2351" w:rsidRDefault="000A2351" w:rsidP="000A2351">
      <w:pPr>
        <w:jc w:val="both"/>
        <w:rPr>
          <w:iCs/>
        </w:rPr>
      </w:pPr>
      <w:r>
        <w:rPr>
          <w:iCs/>
        </w:rPr>
        <w:t xml:space="preserve">Considering the myriad of scholarly sources that have identified campaign finance, and its reform, as a crucial part of a healthy republic, the court’s decision in </w:t>
      </w:r>
      <w:r>
        <w:rPr>
          <w:i/>
        </w:rPr>
        <w:t xml:space="preserve">Citizens </w:t>
      </w:r>
      <w:r w:rsidRPr="00674C54">
        <w:rPr>
          <w:i/>
        </w:rPr>
        <w:t>United</w:t>
      </w:r>
      <w:r>
        <w:rPr>
          <w:iCs/>
        </w:rPr>
        <w:t xml:space="preserve"> </w:t>
      </w:r>
      <w:r w:rsidRPr="00302344">
        <w:rPr>
          <w:iCs/>
        </w:rPr>
        <w:t>seems</w:t>
      </w:r>
      <w:r>
        <w:rPr>
          <w:iCs/>
        </w:rPr>
        <w:t xml:space="preserve"> incongruent, even to its own precedent less than 10 years prior. No legislative reform has been posed since 2010 to shore up the vacuum as </w:t>
      </w:r>
      <w:r>
        <w:rPr>
          <w:i/>
        </w:rPr>
        <w:t>McCain-Feingold</w:t>
      </w:r>
      <w:r>
        <w:rPr>
          <w:iCs/>
        </w:rPr>
        <w:t xml:space="preserve"> did in 2002. Instead, a pattern has emerged since 2007 to explicitly undermine the 2002 legislation and expansion of corrupting influences.</w:t>
      </w:r>
    </w:p>
    <w:p w14:paraId="5864EEB6" w14:textId="16C7E2F3" w:rsidR="000A2351" w:rsidRPr="00504B61" w:rsidRDefault="000A2351" w:rsidP="000A2351">
      <w:pPr>
        <w:jc w:val="both"/>
        <w:rPr>
          <w:iCs/>
        </w:rPr>
      </w:pPr>
      <w:r>
        <w:rPr>
          <w:iCs/>
        </w:rPr>
        <w:t>Furthermore, the</w:t>
      </w:r>
      <w:r>
        <w:t xml:space="preserve"> ever-widening resource inequality, historically exacerbated in the US by institutionalized racism and sexism, ensures that “pernicious” interest group politics can </w:t>
      </w:r>
      <w:r w:rsidR="002543CA">
        <w:t>harm</w:t>
      </w:r>
      <w:r>
        <w:t xml:space="preserve"> the foundations of democratic institutions as officials seek incumbency; even if it can only be attained by serving narrow interests.</w:t>
      </w:r>
      <w:r>
        <w:rPr>
          <w:rStyle w:val="FootnoteReference"/>
        </w:rPr>
        <w:footnoteReference w:id="34"/>
      </w:r>
      <w:r>
        <w:t xml:space="preserve"> Thereby, it is important we expand the definition of corruption, especially in times of increasing inequality, not contract it. </w:t>
      </w:r>
    </w:p>
    <w:p w14:paraId="054FCFE9" w14:textId="77777777" w:rsidR="0095353A" w:rsidRPr="008A04FB" w:rsidRDefault="0095353A" w:rsidP="008A04FB">
      <w:pPr>
        <w:pStyle w:val="Heading2"/>
        <w:rPr>
          <w:sz w:val="24"/>
          <w:szCs w:val="24"/>
        </w:rPr>
      </w:pPr>
      <w:bookmarkStart w:id="10" w:name="_Toc67913174"/>
      <w:bookmarkStart w:id="11" w:name="_Toc68085000"/>
      <w:r w:rsidRPr="008A04FB">
        <w:rPr>
          <w:sz w:val="24"/>
          <w:szCs w:val="24"/>
        </w:rPr>
        <w:lastRenderedPageBreak/>
        <w:t>Understanding New York’s Affordable Housing Arena</w:t>
      </w:r>
      <w:bookmarkEnd w:id="10"/>
      <w:bookmarkEnd w:id="11"/>
    </w:p>
    <w:p w14:paraId="14BA5A99" w14:textId="77777777" w:rsidR="0095353A" w:rsidRDefault="0095353A" w:rsidP="0095353A">
      <w:pPr>
        <w:spacing w:line="240" w:lineRule="auto"/>
        <w:jc w:val="both"/>
      </w:pPr>
      <w:r>
        <w:t>New York City currently has three forms of affordable housing for its vast and diverse renter economy. These are rent controlled apartments (2017 – 22,000 apartments remaining)</w:t>
      </w:r>
      <w:r>
        <w:rPr>
          <w:rStyle w:val="FootnoteReference"/>
        </w:rPr>
        <w:footnoteReference w:id="35"/>
      </w:r>
      <w:r>
        <w:t>, rent stabilized apartments (2017 – 966,000 apartments remaining)</w:t>
      </w:r>
      <w:r>
        <w:rPr>
          <w:rStyle w:val="FootnoteReference"/>
        </w:rPr>
        <w:footnoteReference w:id="36"/>
      </w:r>
      <w:r>
        <w:t>, and the only remaining public housing agency in the country, the New York City Housing Authority (NYCHA), which has approximately 177,000 apartments</w:t>
      </w:r>
      <w:r>
        <w:rPr>
          <w:rStyle w:val="FootnoteReference"/>
        </w:rPr>
        <w:footnoteReference w:id="37"/>
      </w:r>
      <w:r>
        <w:t xml:space="preserve">. </w:t>
      </w:r>
    </w:p>
    <w:p w14:paraId="4C3253E2" w14:textId="77777777" w:rsidR="0095353A" w:rsidRDefault="0095353A" w:rsidP="0095353A">
      <w:pPr>
        <w:spacing w:line="240" w:lineRule="auto"/>
        <w:jc w:val="both"/>
      </w:pPr>
      <w:r>
        <w:t xml:space="preserve">In the 1950’s, there were 1M </w:t>
      </w:r>
      <w:r w:rsidRPr="00353531">
        <w:rPr>
          <w:bCs/>
        </w:rPr>
        <w:t>rent controlled apartments</w:t>
      </w:r>
      <w:r>
        <w:t xml:space="preserve"> in New York City, but rent controlled apartments have all but disappeared as an option for New Yorkers. Rent stabilized apartments are also currently under threat, and NYCHA has most recently come under fire, and even received criminal sanctions, for completely disregarding the habitability conditions of 1000’s of the most vulnerable New Yorkers. During the period 2000-2012, including the 2003 rent reform act period, NYC has lost 400,000 rental units under $1,000, and, as of 2016, over 54% of its residents are considered “rent burdened” as reported by </w:t>
      </w:r>
      <w:r>
        <w:rPr>
          <w:i/>
          <w:iCs/>
        </w:rPr>
        <w:t>Elmedni</w:t>
      </w:r>
      <w:r>
        <w:t>.</w:t>
      </w:r>
      <w:r>
        <w:rPr>
          <w:rStyle w:val="FootnoteReference"/>
        </w:rPr>
        <w:footnoteReference w:id="38"/>
      </w:r>
      <w:r>
        <w:t xml:space="preserve"> </w:t>
      </w:r>
    </w:p>
    <w:p w14:paraId="41C8D6B3" w14:textId="67433F74" w:rsidR="0095353A" w:rsidRDefault="0095353A" w:rsidP="0095353A">
      <w:pPr>
        <w:spacing w:line="240" w:lineRule="auto"/>
        <w:jc w:val="both"/>
      </w:pPr>
      <w:r>
        <w:t xml:space="preserve">Inferring from </w:t>
      </w:r>
      <w:r>
        <w:rPr>
          <w:i/>
          <w:iCs/>
        </w:rPr>
        <w:t>Elmedni</w:t>
      </w:r>
      <w:r>
        <w:t>, New York’s support of affordable housing can be viewed as politically motivated, as it has always depended on a public/private partnership due to its vast scale. While saving the rent-controlled apartment is impossible at this point, reassessing how rent stabilized apartments are treated may be the key ingredient in ensuring that low</w:t>
      </w:r>
      <w:r w:rsidR="002A09CD">
        <w:t xml:space="preserve"> and middle-</w:t>
      </w:r>
      <w:r>
        <w:t>income residents can continue to have stable homes in NYC. In addition, a complete overhaul of how NYCHA functions is necessary if we are going to commit to protecting our truly vulnerable constituents</w:t>
      </w:r>
      <w:r w:rsidR="002A09CD">
        <w:t>, and especially those of our residents who can no longer participate in the labor economy</w:t>
      </w:r>
      <w:r>
        <w:t>.</w:t>
      </w:r>
    </w:p>
    <w:p w14:paraId="50E16373" w14:textId="79596641" w:rsidR="0095353A" w:rsidRDefault="0095353A" w:rsidP="0095353A">
      <w:pPr>
        <w:spacing w:line="240" w:lineRule="auto"/>
        <w:jc w:val="both"/>
        <w:rPr>
          <w:rFonts w:cstheme="minorHAnsi"/>
          <w:lang w:val="en"/>
        </w:rPr>
      </w:pPr>
      <w:r>
        <w:rPr>
          <w:rFonts w:cstheme="minorHAnsi"/>
          <w:lang w:val="en"/>
        </w:rPr>
        <w:t>The city had engaged in multiple public/private partnerships starting under Mayor Koch (1987-1992), and the innovative model used by Koch administration in the first 5-year plan is still the basis for housing policy today. It was during this period two of the most important rent reform acts (RRA) of the last 30 years were passed, in 1997 &amp; 2003. These had multiple tenant protections, but provided, seemingly fair and minor, loopholes that worked directly against low</w:t>
      </w:r>
      <w:r w:rsidR="002A09CD">
        <w:rPr>
          <w:rFonts w:cstheme="minorHAnsi"/>
          <w:lang w:val="en"/>
        </w:rPr>
        <w:t xml:space="preserve"> &amp; middle-</w:t>
      </w:r>
      <w:r>
        <w:rPr>
          <w:rFonts w:cstheme="minorHAnsi"/>
          <w:lang w:val="en"/>
        </w:rPr>
        <w:t>income residents</w:t>
      </w:r>
      <w:r w:rsidR="002A09CD">
        <w:rPr>
          <w:rFonts w:cstheme="minorHAnsi"/>
          <w:lang w:val="en"/>
        </w:rPr>
        <w:t>. These policies</w:t>
      </w:r>
      <w:r>
        <w:rPr>
          <w:rFonts w:cstheme="minorHAnsi"/>
          <w:lang w:val="en"/>
        </w:rPr>
        <w:t xml:space="preserve"> accelerated the deregulation of 100’s of rent stabilized apartments. </w:t>
      </w:r>
    </w:p>
    <w:p w14:paraId="71B1051F" w14:textId="77777777" w:rsidR="0095353A" w:rsidRDefault="0095353A" w:rsidP="008A04FB">
      <w:pPr>
        <w:pStyle w:val="Heading3"/>
      </w:pPr>
      <w:bookmarkStart w:id="12" w:name="_Toc7605203"/>
      <w:bookmarkStart w:id="13" w:name="_Toc67913176"/>
      <w:bookmarkStart w:id="14" w:name="_Toc68085001"/>
      <w:r>
        <w:t>The 1997 &amp; 2003 Rent Reform Acts</w:t>
      </w:r>
      <w:bookmarkEnd w:id="12"/>
      <w:bookmarkEnd w:id="13"/>
      <w:bookmarkEnd w:id="14"/>
    </w:p>
    <w:p w14:paraId="2F1E6801" w14:textId="0142CFCB" w:rsidR="0095353A" w:rsidRDefault="0095353A" w:rsidP="0095353A">
      <w:pPr>
        <w:spacing w:line="240" w:lineRule="auto"/>
        <w:jc w:val="both"/>
      </w:pPr>
      <w:r>
        <w:t xml:space="preserve">In spirit, the rent laws of 1997 &amp; 2003 were designed to protect low-income tenants by dictating how much rent a landlord can charge for a unit that falls under the rent stabilization guidelines. But in parts they </w:t>
      </w:r>
      <w:r w:rsidR="008708CA">
        <w:t>worked</w:t>
      </w:r>
      <w:r>
        <w:t xml:space="preserve"> against tenants as follows:</w:t>
      </w:r>
    </w:p>
    <w:p w14:paraId="3C88BE03" w14:textId="0DC4E9EE" w:rsidR="0095353A" w:rsidRDefault="0095353A" w:rsidP="0095353A">
      <w:pPr>
        <w:spacing w:line="240" w:lineRule="auto"/>
        <w:jc w:val="both"/>
      </w:pPr>
      <w:r>
        <w:t>A major loophole of the 1997 law allowed a landlord to increase an apartment’s “legal rent”, by 20%, outside of RGB approved amounts, plus by any improvement costs</w:t>
      </w:r>
      <w:r>
        <w:rPr>
          <w:rStyle w:val="FootnoteReference"/>
        </w:rPr>
        <w:footnoteReference w:id="39"/>
      </w:r>
      <w:r>
        <w:t xml:space="preserve">, at the onset of a new lease. The vacancy </w:t>
      </w:r>
      <w:r w:rsidR="008708CA">
        <w:t>decontrol</w:t>
      </w:r>
      <w:r>
        <w:t xml:space="preserve"> increases were designed to protect a landlord’s investment by helping them make-up for lost revenue while an apartment lays vacant, and for making the investment to upgrade the housing under Mayor Koch’s housing plans that lasted 15 years from 1987. In addition to allowing these increases, there were few guidelines provided to oversight regulators as to what exactly can and should constitute as applicable to allowing such an increase. Finally, lack of resources often led to administrative agencies accepting increases with little or no due diligence.</w:t>
      </w:r>
    </w:p>
    <w:p w14:paraId="64EE5626" w14:textId="3DF92578" w:rsidR="0095353A" w:rsidRDefault="0095353A" w:rsidP="0095353A">
      <w:pPr>
        <w:spacing w:line="240" w:lineRule="auto"/>
        <w:jc w:val="both"/>
      </w:pPr>
      <w:r>
        <w:t>Apartments in NYC are not empty for more than a couple of months, but the landlord can increase the asking rent by 20%, no questions asked</w:t>
      </w:r>
      <w:r w:rsidR="008708CA">
        <w:t>, at the time of a lease-turnover</w:t>
      </w:r>
      <w:r>
        <w:t xml:space="preserve">. It is not difficult to understand why landlords would prefer faster turnover of tenants in rent stabilized apartments and may even employ </w:t>
      </w:r>
      <w:r>
        <w:lastRenderedPageBreak/>
        <w:t>harassment techniques</w:t>
      </w:r>
      <w:r>
        <w:rPr>
          <w:rStyle w:val="FootnoteReference"/>
        </w:rPr>
        <w:footnoteReference w:id="40"/>
      </w:r>
      <w:r>
        <w:t xml:space="preserve">. The irony of course is that rent stabilized apartments were meant to provide a long-term housing solution for low-income households, which is why landlords are </w:t>
      </w:r>
      <w:r>
        <w:rPr>
          <w:i/>
          <w:iCs/>
        </w:rPr>
        <w:t>required</w:t>
      </w:r>
      <w:r>
        <w:t xml:space="preserve"> by law to provide lease renewal to all tenants in rent stabilized apartments.</w:t>
      </w:r>
    </w:p>
    <w:p w14:paraId="266BE093" w14:textId="0B789F4B" w:rsidR="0095353A" w:rsidRDefault="0095353A" w:rsidP="0095353A">
      <w:pPr>
        <w:spacing w:line="240" w:lineRule="auto"/>
        <w:jc w:val="both"/>
      </w:pPr>
      <w:r>
        <w:t xml:space="preserve"> In addition, landlords can purport improvements to an apartment without disclosing details and costs to the regulator, HCR. RGB</w:t>
      </w:r>
      <w:r w:rsidR="002A4429">
        <w:rPr>
          <w:rStyle w:val="FootnoteReference"/>
        </w:rPr>
        <w:footnoteReference w:id="41"/>
      </w:r>
      <w:r>
        <w:t xml:space="preserve"> annual rent increases </w:t>
      </w:r>
      <w:r w:rsidR="002A4429">
        <w:t xml:space="preserve">often </w:t>
      </w:r>
      <w:r>
        <w:t xml:space="preserve">hover around 2% or less. In essence, without verification, the state allowed landlords to dictate rent increases outside of the main rent oversight authority, the RGB. </w:t>
      </w:r>
    </w:p>
    <w:p w14:paraId="1393290B" w14:textId="668D603E" w:rsidR="0095353A" w:rsidRDefault="0095353A" w:rsidP="0095353A">
      <w:pPr>
        <w:spacing w:line="240" w:lineRule="auto"/>
        <w:jc w:val="both"/>
      </w:pPr>
      <w:r>
        <w:t xml:space="preserve">Accelerated destabilization of rent stabilized apartments continued between the period of 1995-2000. Without regeneration, the loss of any resource is not infinitely sustainable. Supported by the vacancy decontrol portions of the 1997 act, NYC underwent a major </w:t>
      </w:r>
      <w:r w:rsidR="00371B35">
        <w:rPr>
          <w:i/>
          <w:iCs/>
        </w:rPr>
        <w:t xml:space="preserve">Displacement </w:t>
      </w:r>
      <w:r>
        <w:t xml:space="preserve">period, especially in Manhattan. Neighborhoods such as the Lower East Side, East Village and Soho come to mind when thinking of this period. </w:t>
      </w:r>
    </w:p>
    <w:p w14:paraId="0F9A42F9" w14:textId="7E132322" w:rsidR="0095353A" w:rsidRDefault="0095353A" w:rsidP="0095353A">
      <w:pPr>
        <w:spacing w:line="240" w:lineRule="auto"/>
        <w:jc w:val="both"/>
      </w:pPr>
      <w:r>
        <w:t xml:space="preserve">State officials approved a second loophole with the 2003 RRA, </w:t>
      </w:r>
      <w:r w:rsidR="002A4429">
        <w:t>by legislating an existing</w:t>
      </w:r>
      <w:r>
        <w:t xml:space="preserve"> landlord option of offering “legal rent” or “preferential rent”. The “legal rent” of a unit is determined by the </w:t>
      </w:r>
      <w:r w:rsidR="002A4429">
        <w:t>RGB and</w:t>
      </w:r>
      <w:r>
        <w:t xml:space="preserve"> is based on the history of the rent increases reported by landlords to the HCR. For instance, an individual apartment may have a “legal rent” of $2100/month, but its condition, or location, may make it impossible for the landlord to rent the apartment for that amount. In this case, the landlord of a rent stabilized unit could offer the tenant, a lower, “preferential rent”. This form of rent is usually lower because of what accountants would dub the “fair market value” of the apartment. This “fair market value”, which </w:t>
      </w:r>
      <w:r w:rsidR="00EA6F99">
        <w:t>should</w:t>
      </w:r>
      <w:r>
        <w:t xml:space="preserve"> reflect what the legal rent of an apartment can and should be</w:t>
      </w:r>
      <w:r w:rsidR="00EA6F99">
        <w:t xml:space="preserve"> able to charge,</w:t>
      </w:r>
      <w:r>
        <w:t xml:space="preserve"> was not codified though. It was provided entirely at the discretion of the </w:t>
      </w:r>
      <w:r w:rsidR="00B5016D">
        <w:t>landlord and</w:t>
      </w:r>
      <w:r w:rsidR="00EA6F99">
        <w:t xml:space="preserve"> could also be revoked at their behest.</w:t>
      </w:r>
    </w:p>
    <w:p w14:paraId="2C07F1DF" w14:textId="5528DEB2" w:rsidR="0095353A" w:rsidRDefault="0095353A" w:rsidP="0095353A">
      <w:pPr>
        <w:spacing w:line="240" w:lineRule="auto"/>
        <w:jc w:val="both"/>
      </w:pPr>
      <w:r>
        <w:t xml:space="preserve">Many landlords, especially corporate ones, bought buildings in neighborhoods not quite catchy yet, as investments, and offered those apartments to low-income tenants on “preferential rent” terms. </w:t>
      </w:r>
      <w:r w:rsidR="00EA6F99">
        <w:t xml:space="preserve">Or smaller landlords, hoping for neighborhood change, would use this practice as a basis for enticing investment-oriented developers. </w:t>
      </w:r>
      <w:r>
        <w:t>The term applied to these types of investment purchases by corporate style real estate organizations is “Predatory Equity”.</w:t>
      </w:r>
      <w:r>
        <w:rPr>
          <w:rStyle w:val="FootnoteReference"/>
        </w:rPr>
        <w:footnoteReference w:id="42"/>
      </w:r>
      <w:r>
        <w:t xml:space="preserve"> </w:t>
      </w:r>
    </w:p>
    <w:p w14:paraId="04785EB7" w14:textId="77777777" w:rsidR="00EA6F99" w:rsidRDefault="0095353A" w:rsidP="0095353A">
      <w:pPr>
        <w:spacing w:line="240" w:lineRule="auto"/>
        <w:jc w:val="both"/>
      </w:pPr>
      <w:r>
        <w:t xml:space="preserve">The immediate first step for many of these landlords is to close the gap between the “preferential” and the “legal” rents. This can often equate to a 20 – 30% increases in a tenant’s annual rent, literally, overnight. A 20 – 30% increase in rent can equate to $100’s for a tenant who may already be struggling to pay the current rent. While the tenant received their </w:t>
      </w:r>
      <w:r>
        <w:rPr>
          <w:i/>
          <w:iCs/>
        </w:rPr>
        <w:t>legally required</w:t>
      </w:r>
      <w:r>
        <w:t xml:space="preserve"> lease renewal, there is no way they can accept the lease at the new rate, and they are efficiently pushed out of their rent stabilized apartment.</w:t>
      </w:r>
      <w:r>
        <w:rPr>
          <w:rStyle w:val="FootnoteReference"/>
        </w:rPr>
        <w:footnoteReference w:id="43"/>
      </w:r>
      <w:r>
        <w:t xml:space="preserve"> </w:t>
      </w:r>
    </w:p>
    <w:p w14:paraId="47D6C051" w14:textId="6FF34CDB" w:rsidR="0095353A" w:rsidRDefault="0095353A" w:rsidP="0095353A">
      <w:pPr>
        <w:spacing w:line="240" w:lineRule="auto"/>
        <w:jc w:val="both"/>
      </w:pPr>
      <w:r>
        <w:t xml:space="preserve">These apartments are then gutted for full renovation, substantially increasing their value and thereby the asking rent. Rapid renovations of multiple apartments in a neighborhood serves to increase the median rent of that neighborhood, fostering faster </w:t>
      </w:r>
      <w:r w:rsidR="00EA6F99">
        <w:rPr>
          <w:i/>
          <w:iCs/>
        </w:rPr>
        <w:t>Displacement</w:t>
      </w:r>
      <w:r>
        <w:t xml:space="preserve">. This was entirely legal under the 2003 RRA, until the 2019 RRA, which officially ended it. It took 17 years, and a lot of effort by NGO’s &amp; grassroots activists to make it real. </w:t>
      </w:r>
    </w:p>
    <w:p w14:paraId="7588A8CC" w14:textId="5827DAED" w:rsidR="00EA6F99" w:rsidRDefault="0095353A" w:rsidP="0095353A">
      <w:pPr>
        <w:spacing w:line="240" w:lineRule="auto"/>
        <w:jc w:val="both"/>
      </w:pPr>
      <w:r>
        <w:lastRenderedPageBreak/>
        <w:t xml:space="preserve">This, second period of accelerated </w:t>
      </w:r>
      <w:r w:rsidR="00371B35">
        <w:rPr>
          <w:i/>
          <w:iCs/>
        </w:rPr>
        <w:t>Displacement</w:t>
      </w:r>
      <w:r>
        <w:t>, took place during the period 2003 – 20</w:t>
      </w:r>
      <w:r w:rsidR="00EA6F99">
        <w:t>19</w:t>
      </w:r>
      <w:r>
        <w:t xml:space="preserve">. The neighborhoods that most come to mind for this period include Harlem, East Harlem, Long Island City, Williamsburg, Astoria and Bushwick. The </w:t>
      </w:r>
      <w:r w:rsidR="00371B35">
        <w:rPr>
          <w:i/>
          <w:iCs/>
        </w:rPr>
        <w:t>Displacement</w:t>
      </w:r>
      <w:r>
        <w:t xml:space="preserve"> had expanded to Brooklyn and Queens, especially those parts closest to Manhattan. </w:t>
      </w:r>
    </w:p>
    <w:p w14:paraId="149CC822" w14:textId="4EA82AB2" w:rsidR="0095353A" w:rsidRPr="00681089" w:rsidRDefault="0095353A" w:rsidP="0095353A">
      <w:pPr>
        <w:spacing w:line="240" w:lineRule="auto"/>
        <w:jc w:val="both"/>
      </w:pPr>
      <w:r w:rsidRPr="00A94532">
        <w:rPr>
          <w:rFonts w:ascii="Calibri" w:eastAsia="Times New Roman" w:hAnsi="Calibri" w:cs="Calibri"/>
          <w:color w:val="000000"/>
        </w:rPr>
        <w:t xml:space="preserve">By the time of this proposal’s </w:t>
      </w:r>
      <w:r w:rsidR="00B5016D">
        <w:rPr>
          <w:rFonts w:ascii="Calibri" w:eastAsia="Times New Roman" w:hAnsi="Calibri" w:cs="Calibri"/>
          <w:color w:val="000000"/>
        </w:rPr>
        <w:t>writing</w:t>
      </w:r>
      <w:r w:rsidRPr="00A94532">
        <w:rPr>
          <w:rFonts w:ascii="Calibri" w:eastAsia="Times New Roman" w:hAnsi="Calibri" w:cs="Calibri"/>
          <w:color w:val="000000"/>
        </w:rPr>
        <w:t xml:space="preserve">, large </w:t>
      </w:r>
      <w:r>
        <w:rPr>
          <w:rFonts w:ascii="Calibri" w:eastAsia="Times New Roman" w:hAnsi="Calibri" w:cs="Calibri"/>
          <w:color w:val="000000"/>
        </w:rPr>
        <w:t xml:space="preserve">swaths </w:t>
      </w:r>
      <w:r w:rsidRPr="00A94532">
        <w:rPr>
          <w:rFonts w:ascii="Calibri" w:eastAsia="Times New Roman" w:hAnsi="Calibri" w:cs="Calibri"/>
          <w:color w:val="000000"/>
        </w:rPr>
        <w:t xml:space="preserve">of </w:t>
      </w:r>
      <w:r>
        <w:rPr>
          <w:rFonts w:ascii="Calibri" w:eastAsia="Times New Roman" w:hAnsi="Calibri" w:cs="Calibri"/>
          <w:color w:val="000000"/>
        </w:rPr>
        <w:t>NYC, often neighborhoods closest to Manhattan’s working districts in</w:t>
      </w:r>
      <w:r w:rsidRPr="00A94532">
        <w:rPr>
          <w:rFonts w:ascii="Calibri" w:eastAsia="Times New Roman" w:hAnsi="Calibri" w:cs="Calibri"/>
          <w:color w:val="000000"/>
        </w:rPr>
        <w:t xml:space="preserve"> all 5 boroughs</w:t>
      </w:r>
      <w:r>
        <w:rPr>
          <w:rFonts w:ascii="Calibri" w:eastAsia="Times New Roman" w:hAnsi="Calibri" w:cs="Calibri"/>
          <w:color w:val="000000"/>
        </w:rPr>
        <w:t>,</w:t>
      </w:r>
      <w:r w:rsidRPr="00A94532">
        <w:rPr>
          <w:rFonts w:ascii="Calibri" w:eastAsia="Times New Roman" w:hAnsi="Calibri" w:cs="Calibri"/>
          <w:color w:val="000000"/>
        </w:rPr>
        <w:t xml:space="preserve"> </w:t>
      </w:r>
      <w:r>
        <w:rPr>
          <w:rFonts w:ascii="Calibri" w:eastAsia="Times New Roman" w:hAnsi="Calibri" w:cs="Calibri"/>
          <w:color w:val="000000"/>
        </w:rPr>
        <w:t>have become</w:t>
      </w:r>
      <w:r w:rsidRPr="00A94532">
        <w:rPr>
          <w:rFonts w:ascii="Calibri" w:eastAsia="Times New Roman" w:hAnsi="Calibri" w:cs="Calibri"/>
          <w:color w:val="000000"/>
        </w:rPr>
        <w:t xml:space="preserve"> unaffordable for those in the middle class and below.</w:t>
      </w:r>
      <w:r>
        <w:rPr>
          <w:rFonts w:ascii="Calibri" w:eastAsia="Times New Roman" w:hAnsi="Calibri" w:cs="Calibri"/>
          <w:color w:val="000000"/>
        </w:rPr>
        <w:t xml:space="preserve"> This has led to lower-income residents, those currently being considered a part of the “essential workers” gamut, being pushed farther out in the boroughs leading to longer commutes at minimum wage.</w:t>
      </w:r>
    </w:p>
    <w:p w14:paraId="5DB6789F" w14:textId="27A27477" w:rsidR="0095353A" w:rsidRDefault="0095353A" w:rsidP="0095353A">
      <w:pPr>
        <w:spacing w:line="240" w:lineRule="auto"/>
        <w:jc w:val="both"/>
        <w:rPr>
          <w:rFonts w:cstheme="minorHAnsi"/>
          <w:lang w:val="en"/>
        </w:rPr>
      </w:pPr>
      <w:r>
        <w:rPr>
          <w:rFonts w:cstheme="minorHAnsi"/>
          <w:lang w:val="en"/>
        </w:rPr>
        <w:t>The tabulation shown in</w:t>
      </w:r>
      <w:r w:rsidR="00A14431">
        <w:rPr>
          <w:rFonts w:cstheme="minorHAnsi"/>
          <w:lang w:val="en"/>
        </w:rPr>
        <w:t xml:space="preserve"> Appendix C </w:t>
      </w:r>
      <w:r w:rsidRPr="000975D1">
        <w:rPr>
          <w:rFonts w:cstheme="minorHAnsi"/>
          <w:lang w:val="en"/>
        </w:rPr>
        <w:t>highlights</w:t>
      </w:r>
      <w:r>
        <w:rPr>
          <w:rFonts w:cstheme="minorHAnsi"/>
          <w:lang w:val="en"/>
        </w:rPr>
        <w:t xml:space="preserve"> the </w:t>
      </w:r>
      <w:r w:rsidR="00371B35">
        <w:rPr>
          <w:i/>
          <w:iCs/>
        </w:rPr>
        <w:t>Displacement</w:t>
      </w:r>
      <w:r>
        <w:rPr>
          <w:rFonts w:cstheme="minorHAnsi"/>
          <w:lang w:val="en"/>
        </w:rPr>
        <w:t xml:space="preserve"> cycle as experienced by East Harlem in the last 2 decades. While this was tabulated for East Harlem, one of the few remaining Manhattan neighborhoods that did not experience </w:t>
      </w:r>
      <w:r w:rsidR="00371B35">
        <w:rPr>
          <w:i/>
          <w:iCs/>
        </w:rPr>
        <w:t>Displacement</w:t>
      </w:r>
      <w:r>
        <w:rPr>
          <w:rFonts w:cstheme="minorHAnsi"/>
          <w:lang w:val="en"/>
        </w:rPr>
        <w:t xml:space="preserve"> until most recently, it can serve as a blueprint for how so many other neighborhoods were affected.</w:t>
      </w:r>
    </w:p>
    <w:p w14:paraId="3C3E5569" w14:textId="77777777" w:rsidR="0095353A" w:rsidRDefault="0095353A" w:rsidP="008A04FB">
      <w:pPr>
        <w:pStyle w:val="Heading3"/>
        <w:rPr>
          <w:lang w:val="en"/>
        </w:rPr>
      </w:pPr>
      <w:bookmarkStart w:id="15" w:name="_Toc67913177"/>
      <w:bookmarkStart w:id="16" w:name="_Toc68085002"/>
      <w:r>
        <w:rPr>
          <w:lang w:val="en"/>
        </w:rPr>
        <w:t>2019 Housing Stability and Tenant Protection Act</w:t>
      </w:r>
      <w:bookmarkEnd w:id="15"/>
      <w:bookmarkEnd w:id="16"/>
    </w:p>
    <w:p w14:paraId="3E5F7B54" w14:textId="62FCD43B" w:rsidR="0095353A" w:rsidRDefault="0095353A" w:rsidP="0095353A">
      <w:pPr>
        <w:spacing w:line="240" w:lineRule="auto"/>
        <w:jc w:val="both"/>
      </w:pPr>
      <w:r>
        <w:t>The 2019 rent laws</w:t>
      </w:r>
      <w:r>
        <w:rPr>
          <w:rStyle w:val="FootnoteReference"/>
        </w:rPr>
        <w:footnoteReference w:id="44"/>
      </w:r>
      <w:r>
        <w:t xml:space="preserve">, a product of the </w:t>
      </w:r>
      <w:r w:rsidR="00B5016D">
        <w:t xml:space="preserve">progressive </w:t>
      </w:r>
      <w:r>
        <w:t>politics that swept the nation in the 2018 midterm elections have improved the impact of the 1997 &amp; 2993 rent reform acts. Led by local politicians like Alexandra Ocasio-Cortez and Jumaane Williams, the HPD finally became empowered to respond to landlord violations as criminal offenses. Additionally, the HPD became empowered to provide all tenants in housing court with free legal representatio</w:t>
      </w:r>
      <w:r w:rsidR="00B5016D">
        <w:t>n based on income eligibility</w:t>
      </w:r>
      <w:r>
        <w:t xml:space="preserve">. Finally, the 2019 rent laws created a stronger internal control environment for the HCR, which is responsible for verifying that rent increases are validated with due diligence. Most importantly though, it requires landlords to base rent increases on EITHER “preferential” vs. “legal” rent, preserving the tenant’s ability to </w:t>
      </w:r>
      <w:r w:rsidR="008569A0">
        <w:t>accept</w:t>
      </w:r>
      <w:r>
        <w:t xml:space="preserve"> their lease renewal.</w:t>
      </w:r>
      <w:r>
        <w:rPr>
          <w:rStyle w:val="FootnoteReference"/>
        </w:rPr>
        <w:footnoteReference w:id="45"/>
      </w:r>
      <w:r>
        <w:t xml:space="preserve"> </w:t>
      </w:r>
    </w:p>
    <w:p w14:paraId="700B2BB7" w14:textId="77777777" w:rsidR="0095353A" w:rsidRDefault="0095353A" w:rsidP="0095353A">
      <w:pPr>
        <w:spacing w:line="240" w:lineRule="auto"/>
        <w:jc w:val="both"/>
      </w:pPr>
      <w:r>
        <w:t>While this law has produced magnificent gains for tenant protections, it has not gone far enough. The conflation the city is experiencing because of the existing environment of inequality and the COVID crisis, has plunged NYC into yet another rent crisis.</w:t>
      </w:r>
      <w:r>
        <w:rPr>
          <w:rStyle w:val="FootnoteReference"/>
        </w:rPr>
        <w:footnoteReference w:id="46"/>
      </w:r>
      <w:r>
        <w:t xml:space="preserve"> Cuts to the HPD budget alone, being floated due to the drastically reduced revenues, can bring back the conditions that failed to protect tenants from eviction in the past. While there is need for a larger, Federal, stimulus plan, direct intervention by the city to protect affected communities, especially as many of these low-income workers are being dubbed “essential” during this pandemic, is required. </w:t>
      </w:r>
    </w:p>
    <w:p w14:paraId="3AE41A46" w14:textId="77777777" w:rsidR="00B5016D" w:rsidRDefault="0095353A" w:rsidP="0095353A">
      <w:pPr>
        <w:spacing w:line="240" w:lineRule="auto"/>
        <w:jc w:val="both"/>
      </w:pPr>
      <w:r>
        <w:t xml:space="preserve">These essential workers allowed many of us, much higher on the wage scale, to shelter safely in our homes during the pandemic, and have borne the brunt of lack of affordable healthcare and housing. Housing especially has caused a mass crisis, as many of these workers live in communal environments necessitated by the disparity between wages and housing affordability in NYC.  </w:t>
      </w:r>
      <w:r w:rsidR="00B5016D">
        <w:t>Under Mayor</w:t>
      </w:r>
      <w:r>
        <w:t xml:space="preserve"> Bloomberg’s</w:t>
      </w:r>
      <w:r w:rsidR="00B5016D">
        <w:t xml:space="preserve"> administration [2002-2012]</w:t>
      </w:r>
      <w:r>
        <w:t>, nearly 2/3</w:t>
      </w:r>
      <w:r>
        <w:rPr>
          <w:vertAlign w:val="superscript"/>
        </w:rPr>
        <w:t xml:space="preserve"> </w:t>
      </w:r>
      <w:r>
        <w:t xml:space="preserve">of all affordable housing units </w:t>
      </w:r>
      <w:r w:rsidR="00B5016D">
        <w:t>became</w:t>
      </w:r>
      <w:r>
        <w:t xml:space="preserve"> unaffordable</w:t>
      </w:r>
      <w:r w:rsidR="00B5016D">
        <w:t xml:space="preserve"> for</w:t>
      </w:r>
      <w:r>
        <w:t xml:space="preserve"> these essential workers. </w:t>
      </w:r>
      <w:r w:rsidR="00B5016D">
        <w:t xml:space="preserve">The COVID crisis is merely highlighting this issue starkly. </w:t>
      </w:r>
    </w:p>
    <w:p w14:paraId="43FD9A5C" w14:textId="77C62A9F" w:rsidR="0095353A" w:rsidRDefault="0095353A" w:rsidP="0095353A">
      <w:pPr>
        <w:spacing w:line="240" w:lineRule="auto"/>
        <w:jc w:val="both"/>
      </w:pPr>
      <w:r>
        <w:t xml:space="preserve">While the 2019 law may prove to correct future deregulation, </w:t>
      </w:r>
      <w:r w:rsidR="00371B35">
        <w:rPr>
          <w:i/>
          <w:iCs/>
        </w:rPr>
        <w:t>Displacement</w:t>
      </w:r>
      <w:r>
        <w:t>, and increases in median rents, it doesn’t correct the issue for the</w:t>
      </w:r>
      <w:r w:rsidR="00B5016D">
        <w:t xml:space="preserve"> nearly 5</w:t>
      </w:r>
      <w:r w:rsidR="00D83ACD">
        <w:t>0</w:t>
      </w:r>
      <w:r>
        <w:t>% of New Yorkers who are already defined as rent burdened because of previous policies.</w:t>
      </w:r>
      <w:r w:rsidR="00B5016D">
        <w:t xml:space="preserve"> T</w:t>
      </w:r>
      <w:r>
        <w:t>o correct this inherited disparity, clearly exacerbated by the pandemic, two important provisions of the 2019 RRA</w:t>
      </w:r>
      <w:r>
        <w:rPr>
          <w:rStyle w:val="FootnoteReference"/>
        </w:rPr>
        <w:footnoteReference w:id="47"/>
      </w:r>
      <w:r>
        <w:t xml:space="preserve"> need to be expanded and implemented on a wider scale.</w:t>
      </w:r>
      <w:r w:rsidR="00B5016D">
        <w:t xml:space="preserve"> Fully funding these initiatives is key to ensuring that the 2019 RRA in effectual.</w:t>
      </w:r>
    </w:p>
    <w:p w14:paraId="731781C7" w14:textId="5A2BB2F5" w:rsidR="0095353A" w:rsidRDefault="0095353A" w:rsidP="0095353A">
      <w:pPr>
        <w:pStyle w:val="ListParagraph"/>
        <w:numPr>
          <w:ilvl w:val="0"/>
          <w:numId w:val="8"/>
        </w:numPr>
        <w:spacing w:line="240" w:lineRule="auto"/>
        <w:jc w:val="both"/>
      </w:pPr>
      <w:r w:rsidRPr="00EE7818">
        <w:rPr>
          <w:b/>
          <w:bCs/>
        </w:rPr>
        <w:lastRenderedPageBreak/>
        <w:t>Part F:</w:t>
      </w:r>
      <w:r>
        <w:t xml:space="preserve"> Empowers HCR to investigate a landlord’s rent charge basis history going back 6 years, or longer if feasible. This “lookback” provision is a very powerful tool but requires serious capacity </w:t>
      </w:r>
      <w:r w:rsidR="00B75C5F">
        <w:t>building of</w:t>
      </w:r>
      <w:r>
        <w:t xml:space="preserve"> resources at the HCR. The added capacity would allow HCR to identify historically offending landlords, as was done for the Kushner properties</w:t>
      </w:r>
      <w:r>
        <w:rPr>
          <w:rStyle w:val="FootnoteReference"/>
        </w:rPr>
        <w:footnoteReference w:id="48"/>
      </w:r>
      <w:r>
        <w:t>, and restate the historic rent basis, in the hopes of reducing the legal rent for many stabilized apartments.</w:t>
      </w:r>
    </w:p>
    <w:p w14:paraId="67DA9EA2" w14:textId="51DFF351" w:rsidR="0095353A" w:rsidRDefault="0095353A" w:rsidP="0095353A">
      <w:pPr>
        <w:pStyle w:val="ListParagraph"/>
        <w:numPr>
          <w:ilvl w:val="0"/>
          <w:numId w:val="8"/>
        </w:numPr>
        <w:spacing w:line="240" w:lineRule="auto"/>
        <w:jc w:val="both"/>
      </w:pPr>
      <w:r w:rsidRPr="00EE7818">
        <w:rPr>
          <w:b/>
          <w:bCs/>
        </w:rPr>
        <w:t>Part K:</w:t>
      </w:r>
      <w:r>
        <w:t xml:space="preserve"> Empowers H</w:t>
      </w:r>
      <w:r w:rsidR="00067DAB">
        <w:t>CR</w:t>
      </w:r>
      <w:r>
        <w:t xml:space="preserve"> to review 25% of all “upgrade” and “maintenance” rent increase basis for direct oversight and audit. This should be increased to at least 50% annually, combined with capacity building of resources to perform the duties. The extent to which rent stabilized apartment reporting has been fraught with a lack of transparency, the only real way to enforce compliance is, increasing the number of units reviewed. Knowledge of monitoring often leads to compliance as indicated by financial reporting environments.</w:t>
      </w:r>
    </w:p>
    <w:p w14:paraId="4904AA0E" w14:textId="35A7A557" w:rsidR="0095353A" w:rsidRDefault="0095353A" w:rsidP="0095353A">
      <w:pPr>
        <w:spacing w:line="240" w:lineRule="auto"/>
        <w:jc w:val="both"/>
      </w:pPr>
      <w:r>
        <w:t xml:space="preserve">Expanding organizational capacity would allow the HCR &amp; HPD requisite resources to sufficiently address the concerns of our most vulnerable tenants, which could have been ongoing for many years. The budget cuts threatened by the pandemic, especially if federal stimulus does not arrive, will drastically </w:t>
      </w:r>
      <w:r w:rsidR="00DF7EE9">
        <w:t>affect</w:t>
      </w:r>
      <w:r>
        <w:t xml:space="preserve"> the budgets of housing administrative agencies, and may lead to a return of the </w:t>
      </w:r>
      <w:r>
        <w:rPr>
          <w:i/>
          <w:iCs/>
        </w:rPr>
        <w:t>de facto</w:t>
      </w:r>
      <w:r>
        <w:t xml:space="preserve"> unregulated environment the 2019 RRA seeks to correct. </w:t>
      </w:r>
    </w:p>
    <w:p w14:paraId="52FCC8EE" w14:textId="19D2C9C9" w:rsidR="0095353A" w:rsidRDefault="0095353A" w:rsidP="0095353A">
      <w:pPr>
        <w:spacing w:line="240" w:lineRule="auto"/>
        <w:jc w:val="both"/>
      </w:pPr>
      <w:r>
        <w:t>Additionally, rent subsidies, the kind currently provided by the “Section 8 Housing Choice Voucher Program”</w:t>
      </w:r>
      <w:r>
        <w:rPr>
          <w:rStyle w:val="FootnoteReference"/>
        </w:rPr>
        <w:footnoteReference w:id="49"/>
      </w:r>
      <w:r>
        <w:t>, need to be expanded. These should be further expanded to provide loan subsidies to low-income tenants who are current with their rent to purchase their home from the landlord, with HUD</w:t>
      </w:r>
      <w:r>
        <w:rPr>
          <w:rStyle w:val="FootnoteReference"/>
        </w:rPr>
        <w:footnoteReference w:id="50"/>
      </w:r>
      <w:r>
        <w:t>, or similar agency, supplying the loan. It is clear that New York City has lost far too many affordable units, this includes 400,000 apartments $1000 or under, in the last two decades.</w:t>
      </w:r>
      <w:r>
        <w:rPr>
          <w:rStyle w:val="FootnoteReference"/>
        </w:rPr>
        <w:footnoteReference w:id="51"/>
      </w:r>
      <w:r>
        <w:t xml:space="preserve"> Replacing those units through building programs with affordable housing rebates provided to developers, of Hudson Yards</w:t>
      </w:r>
      <w:r>
        <w:rPr>
          <w:rStyle w:val="FootnoteReference"/>
        </w:rPr>
        <w:footnoteReference w:id="52"/>
      </w:r>
      <w:r>
        <w:t xml:space="preserve"> for instance, is nowhere near enough</w:t>
      </w:r>
      <w:r w:rsidR="00853D6F">
        <w:t>;</w:t>
      </w:r>
      <w:r>
        <w:t xml:space="preserve"> especially lower-rent units to match the lower wage spectrums of many of our “essential” workers. Directly subsidizing housing, prioritizing helping rent burdened families </w:t>
      </w:r>
      <w:r>
        <w:rPr>
          <w:i/>
          <w:iCs/>
        </w:rPr>
        <w:t xml:space="preserve">stay </w:t>
      </w:r>
      <w:r>
        <w:t>in their neighborhoods and homes, is the most efficient policy measure.</w:t>
      </w:r>
    </w:p>
    <w:p w14:paraId="46B5373D" w14:textId="77777777" w:rsidR="0095353A" w:rsidRDefault="0095353A" w:rsidP="0095353A">
      <w:pPr>
        <w:spacing w:line="240" w:lineRule="auto"/>
        <w:jc w:val="both"/>
      </w:pPr>
      <w:r>
        <w:t>The final policy change component advocated by this proposal is to empower affordable housing residents directly. Like HPD provides tenant representation in housing court, a more responsive support system needs to be in place before cases get to housing court. The proposal advocates the following measures:</w:t>
      </w:r>
    </w:p>
    <w:p w14:paraId="311504C4" w14:textId="6DBA0375" w:rsidR="0095353A" w:rsidRDefault="0095353A" w:rsidP="0095353A">
      <w:pPr>
        <w:pStyle w:val="ListParagraph"/>
        <w:numPr>
          <w:ilvl w:val="0"/>
          <w:numId w:val="10"/>
        </w:numPr>
        <w:spacing w:line="240" w:lineRule="auto"/>
        <w:jc w:val="both"/>
      </w:pPr>
      <w:r>
        <w:t>Create strict time frame deadlines for complaint responses</w:t>
      </w:r>
      <w:r>
        <w:rPr>
          <w:rStyle w:val="FootnoteReference"/>
        </w:rPr>
        <w:footnoteReference w:id="53"/>
      </w:r>
      <w:r>
        <w:t>, especially those regarding health and safety conditions, by the HCR</w:t>
      </w:r>
      <w:r>
        <w:rPr>
          <w:rStyle w:val="FootnoteReference"/>
        </w:rPr>
        <w:footnoteReference w:id="54"/>
      </w:r>
      <w:r>
        <w:t xml:space="preserve">, HPD, and NYCHA. Both agencies should have investigators available, based on urgency of case, within </w:t>
      </w:r>
      <w:r w:rsidR="00E12CA0">
        <w:t xml:space="preserve">a few </w:t>
      </w:r>
      <w:r>
        <w:t>hours of tenant complaint</w:t>
      </w:r>
      <w:r w:rsidR="00E12CA0">
        <w:t>s, so the violation can be viewed in real-time</w:t>
      </w:r>
      <w:r>
        <w:t>. These investigators should plan to come in audit mode with the necessary tools to assess the situation and provide immediate solutions, even if only remedial. (timeliness and audit planning)</w:t>
      </w:r>
    </w:p>
    <w:p w14:paraId="0E64925F" w14:textId="77777777" w:rsidR="0095353A" w:rsidRDefault="0095353A" w:rsidP="0095353A">
      <w:pPr>
        <w:pStyle w:val="ListParagraph"/>
        <w:numPr>
          <w:ilvl w:val="0"/>
          <w:numId w:val="10"/>
        </w:numPr>
        <w:spacing w:line="240" w:lineRule="auto"/>
        <w:jc w:val="both"/>
      </w:pPr>
      <w:r>
        <w:t>Provide annual “welcome packets” for all tenants that sign a rent stabilized lease to fully advise the tenant of their rights. Expand the packet to include detailed instructions on agency contact, text of the law and tenants’ rights, response times for complaints, and online/telephone options to speak to a “housing specialist” at all times, akin to 311 but with professionals trained directly in housing policy. (3</w:t>
      </w:r>
      <w:r w:rsidRPr="003E215C">
        <w:rPr>
          <w:vertAlign w:val="superscript"/>
        </w:rPr>
        <w:t>rd</w:t>
      </w:r>
      <w:r>
        <w:t xml:space="preserve"> party hotline for confidential reporting)</w:t>
      </w:r>
    </w:p>
    <w:p w14:paraId="434FFEB5" w14:textId="10C910A0" w:rsidR="0095353A" w:rsidRDefault="0095353A" w:rsidP="0095353A">
      <w:pPr>
        <w:pStyle w:val="ListParagraph"/>
        <w:numPr>
          <w:ilvl w:val="0"/>
          <w:numId w:val="10"/>
        </w:numPr>
        <w:spacing w:line="240" w:lineRule="auto"/>
        <w:jc w:val="both"/>
      </w:pPr>
      <w:r>
        <w:lastRenderedPageBreak/>
        <w:t>Provide all tenants confidentiality of complaint until HCR/HPD have inspected physical premises. No complaint regarding warranty of habitability should be assessed without an initial physical inspection</w:t>
      </w:r>
      <w:r w:rsidR="00E12CA0">
        <w:t xml:space="preserve"> directly in conjunction with the tenant, NOT the landlord</w:t>
      </w:r>
      <w:r>
        <w:t>. With an immediate physical inspection, the HCR/HPD agent can have a stronger discussion with the landlord/tenant as to each one’s rights to attain a sustainable solution to the issue. It also gives them a better understanding as to endemic issues to better engender accountability. (confirmation, risk of material misstatement)</w:t>
      </w:r>
    </w:p>
    <w:p w14:paraId="6EEB486F" w14:textId="2E48EA6D" w:rsidR="0095353A" w:rsidRDefault="0095353A" w:rsidP="0095353A">
      <w:pPr>
        <w:pStyle w:val="ListParagraph"/>
        <w:numPr>
          <w:ilvl w:val="0"/>
          <w:numId w:val="10"/>
        </w:numPr>
        <w:spacing w:line="240" w:lineRule="auto"/>
        <w:jc w:val="both"/>
      </w:pPr>
      <w:r>
        <w:t>Provide the training defined by this proposal, which seasoned activists have learned over years, for tenants that are not as well-versed. This training can be available through organizations like CUNY, Comptroller’s offices, Community Boards. The training would empower average citizens to understand multiple factors of capacity limitations at agencies</w:t>
      </w:r>
      <w:r w:rsidR="00936062">
        <w:t xml:space="preserve"> </w:t>
      </w:r>
      <w:r>
        <w:t xml:space="preserve">(unintentional accountability avoidance), </w:t>
      </w:r>
      <w:r w:rsidR="00936062">
        <w:t>as well as</w:t>
      </w:r>
      <w:r>
        <w:t xml:space="preserve"> address agency misbehavior</w:t>
      </w:r>
      <w:r w:rsidR="00936062">
        <w:t xml:space="preserve"> </w:t>
      </w:r>
      <w:r>
        <w:t>(intentional accountability avoidance). (supervision and oversight of audit team)</w:t>
      </w:r>
    </w:p>
    <w:p w14:paraId="5346ACA1" w14:textId="351A590B" w:rsidR="0095353A" w:rsidRPr="00A10E0C" w:rsidRDefault="0095353A" w:rsidP="0095353A">
      <w:pPr>
        <w:spacing w:line="240" w:lineRule="auto"/>
        <w:jc w:val="both"/>
      </w:pPr>
      <w:r>
        <w:t xml:space="preserve">Legislation alone cannot correct the issues caused by 30 years of harmful policies. Fortifying the legislation with corresponding capacity building in administrative agencies is extremely important. We once again find ourselves in a situation where administrative agencies may be in de jure </w:t>
      </w:r>
      <w:r>
        <w:rPr>
          <w:i/>
          <w:iCs/>
        </w:rPr>
        <w:t>Compliance</w:t>
      </w:r>
      <w:r>
        <w:t xml:space="preserve">, but due to </w:t>
      </w:r>
      <w:r>
        <w:rPr>
          <w:i/>
          <w:iCs/>
        </w:rPr>
        <w:t xml:space="preserve">Capacity </w:t>
      </w:r>
      <w:r>
        <w:t xml:space="preserve">concerns, they would be unable to </w:t>
      </w:r>
      <w:r w:rsidR="00C96E72">
        <w:rPr>
          <w:i/>
          <w:iCs/>
        </w:rPr>
        <w:t>comply with Performance of their duties efficiently and effectively</w:t>
      </w:r>
      <w:r>
        <w:t xml:space="preserve">. </w:t>
      </w:r>
      <w:r w:rsidR="00FA5800">
        <w:t>P</w:t>
      </w:r>
      <w:r w:rsidR="00C96E72">
        <w:t>aramount of these</w:t>
      </w:r>
      <w:r>
        <w:t xml:space="preserve"> duties </w:t>
      </w:r>
      <w:r w:rsidR="00FA5800">
        <w:t>is</w:t>
      </w:r>
      <w:r>
        <w:t xml:space="preserve"> direct regulatory oversight over landlord activities centering around rent increases</w:t>
      </w:r>
      <w:r w:rsidR="00703B26">
        <w:t>, warranty of habitability, and denial of timely service</w:t>
      </w:r>
      <w:r>
        <w:t>.</w:t>
      </w:r>
    </w:p>
    <w:p w14:paraId="577D89FE" w14:textId="05A4D9A1" w:rsidR="0095353A" w:rsidRDefault="0095353A" w:rsidP="0095353A">
      <w:pPr>
        <w:spacing w:line="240" w:lineRule="auto"/>
        <w:jc w:val="both"/>
      </w:pPr>
      <w:r>
        <w:t>In addition to this, NYCHA continues to be a major concern, as evidenced here</w:t>
      </w:r>
      <w:r>
        <w:rPr>
          <w:rStyle w:val="FootnoteReference"/>
        </w:rPr>
        <w:footnoteReference w:id="55"/>
      </w:r>
      <w:r>
        <w:t xml:space="preserve"> and here</w:t>
      </w:r>
      <w:r>
        <w:rPr>
          <w:rStyle w:val="FootnoteReference"/>
        </w:rPr>
        <w:footnoteReference w:id="56"/>
      </w:r>
      <w:r>
        <w:t xml:space="preserve">, and no clear relief has been provided for the most economically vulnerable of New York’s tenants. Funding cuts seem to hit NYCHA harder, as public housing has largely fallen out of favor nationwide, especially since the 1990’s. With further funding cuts, driven by revenue shortfalls due to the pandemic shutdowns, NYCHA residents are likely to suffer continued mold and heating issues. This project aims to prove that while civil servants are meant to be apolitical, </w:t>
      </w:r>
      <w:r w:rsidR="00703B26">
        <w:t>the</w:t>
      </w:r>
      <w:r>
        <w:t xml:space="preserve"> city/state elected officials’ relationships with their donors have an involuntary, political, effect on </w:t>
      </w:r>
      <w:r>
        <w:rPr>
          <w:i/>
          <w:iCs/>
        </w:rPr>
        <w:t>Performance</w:t>
      </w:r>
      <w:r w:rsidR="00703B26">
        <w:rPr>
          <w:i/>
          <w:iCs/>
        </w:rPr>
        <w:t xml:space="preserve"> </w:t>
      </w:r>
      <w:r w:rsidR="00703B26">
        <w:t>by these civil servants</w:t>
      </w:r>
      <w:r>
        <w:t xml:space="preserve">. These agencies are clearly overwhelmed, underfunded, and not prioritized, which is a proven way to keep administrative agencies ineffectual, while </w:t>
      </w:r>
      <w:r w:rsidR="005778ED">
        <w:t xml:space="preserve">still </w:t>
      </w:r>
      <w:r>
        <w:t xml:space="preserve">in legal compliance.  </w:t>
      </w:r>
    </w:p>
    <w:p w14:paraId="446D111B" w14:textId="27361B0B" w:rsidR="00631ACF" w:rsidRDefault="00631ACF" w:rsidP="0095353A">
      <w:pPr>
        <w:spacing w:line="240" w:lineRule="auto"/>
        <w:jc w:val="both"/>
      </w:pPr>
    </w:p>
    <w:p w14:paraId="61B82D7E" w14:textId="71B612F6" w:rsidR="00631ACF" w:rsidRDefault="00631ACF" w:rsidP="0095353A">
      <w:pPr>
        <w:spacing w:line="240" w:lineRule="auto"/>
        <w:jc w:val="both"/>
      </w:pPr>
    </w:p>
    <w:p w14:paraId="71025F8D" w14:textId="03188B8E" w:rsidR="00631ACF" w:rsidRDefault="00631ACF" w:rsidP="0095353A">
      <w:pPr>
        <w:spacing w:line="240" w:lineRule="auto"/>
        <w:jc w:val="both"/>
      </w:pPr>
    </w:p>
    <w:p w14:paraId="5FAE6647" w14:textId="4096ABA1" w:rsidR="00631ACF" w:rsidRDefault="00631ACF" w:rsidP="0095353A">
      <w:pPr>
        <w:spacing w:line="240" w:lineRule="auto"/>
        <w:jc w:val="both"/>
      </w:pPr>
    </w:p>
    <w:p w14:paraId="6F43174D" w14:textId="7BE1E0AD" w:rsidR="00631ACF" w:rsidRDefault="00631ACF" w:rsidP="0095353A">
      <w:pPr>
        <w:spacing w:line="240" w:lineRule="auto"/>
        <w:jc w:val="both"/>
      </w:pPr>
    </w:p>
    <w:p w14:paraId="237548DB" w14:textId="6578C4B6" w:rsidR="00631ACF" w:rsidRDefault="00631ACF" w:rsidP="0095353A">
      <w:pPr>
        <w:spacing w:line="240" w:lineRule="auto"/>
        <w:jc w:val="both"/>
      </w:pPr>
    </w:p>
    <w:p w14:paraId="651F5B13" w14:textId="7EF5C363" w:rsidR="00631ACF" w:rsidRDefault="00631ACF" w:rsidP="0095353A">
      <w:pPr>
        <w:spacing w:line="240" w:lineRule="auto"/>
        <w:jc w:val="both"/>
      </w:pPr>
    </w:p>
    <w:p w14:paraId="3555A4DA" w14:textId="31A20AA6" w:rsidR="00631ACF" w:rsidRDefault="00631ACF" w:rsidP="0095353A">
      <w:pPr>
        <w:spacing w:line="240" w:lineRule="auto"/>
        <w:jc w:val="both"/>
      </w:pPr>
    </w:p>
    <w:p w14:paraId="307F58C6" w14:textId="207D6EEF" w:rsidR="00631ACF" w:rsidRDefault="00631ACF" w:rsidP="0095353A">
      <w:pPr>
        <w:spacing w:line="240" w:lineRule="auto"/>
        <w:jc w:val="both"/>
      </w:pPr>
    </w:p>
    <w:p w14:paraId="071599D9" w14:textId="5674E461" w:rsidR="00631ACF" w:rsidRDefault="00631ACF" w:rsidP="00631ACF">
      <w:pPr>
        <w:pStyle w:val="Heading1"/>
        <w:rPr>
          <w:sz w:val="24"/>
          <w:szCs w:val="24"/>
        </w:rPr>
      </w:pPr>
      <w:bookmarkStart w:id="17" w:name="_Toc68085003"/>
      <w:r>
        <w:rPr>
          <w:sz w:val="24"/>
          <w:szCs w:val="24"/>
        </w:rPr>
        <w:lastRenderedPageBreak/>
        <w:t>Summary Remarks</w:t>
      </w:r>
      <w:bookmarkEnd w:id="17"/>
    </w:p>
    <w:p w14:paraId="69EB6F43" w14:textId="77777777" w:rsidR="000008D7" w:rsidRDefault="00631ACF" w:rsidP="00631ACF">
      <w:pPr>
        <w:jc w:val="both"/>
      </w:pPr>
      <w:r>
        <w:t xml:space="preserve">The initial data gathering and analysis points to an identifiable model to assess the impact of campaign contributions by special interest groups to enact policy that serves their needs. </w:t>
      </w:r>
    </w:p>
    <w:p w14:paraId="5D6A4995" w14:textId="04F54AFF" w:rsidR="00631ACF" w:rsidRDefault="00631ACF" w:rsidP="00631ACF">
      <w:pPr>
        <w:jc w:val="both"/>
      </w:pPr>
      <w:r>
        <w:t>The Affordable Housing Crisis in New York can be viewed as the special interests of a “rentier” class to increase the value of their properties</w:t>
      </w:r>
      <w:r w:rsidR="00BA4782">
        <w:t xml:space="preserve"> by replacing lower-paying tenants with high-paying ones</w:t>
      </w:r>
      <w:r>
        <w:t xml:space="preserve">. </w:t>
      </w:r>
    </w:p>
    <w:p w14:paraId="287BFE2C" w14:textId="353D4FDD" w:rsidR="000008D7" w:rsidRDefault="000008D7" w:rsidP="00631ACF">
      <w:pPr>
        <w:jc w:val="both"/>
      </w:pPr>
      <w:r>
        <w:t>A combination of incongruent legislation, lack of oversight control, and limited regulatory enforcement led to the crisis being ignored by officials and agencies – which may have been the intended goal.</w:t>
      </w:r>
    </w:p>
    <w:p w14:paraId="0C2DA61C" w14:textId="1C8F430C" w:rsidR="000008D7" w:rsidRDefault="000008D7" w:rsidP="00631ACF">
      <w:pPr>
        <w:jc w:val="both"/>
      </w:pPr>
      <w:r>
        <w:t>Accountability avoidance at the Housing Administration agency level, like at NYCHA, may be predictable when viewing it from this model.</w:t>
      </w:r>
    </w:p>
    <w:p w14:paraId="3F0BEAC4" w14:textId="66BC7043" w:rsidR="00455BC3" w:rsidRDefault="00455BC3" w:rsidP="00631ACF">
      <w:pPr>
        <w:jc w:val="both"/>
      </w:pPr>
      <w:r>
        <w:t>New York City will continue to suffer the “100-year” affordable housing crisis unless clear internal control frameworks are identified to limit the impact of campaign contributions</w:t>
      </w:r>
      <w:r w:rsidR="00BA4782">
        <w:t xml:space="preserve"> on the reward/punishment and financial controllability of administrative agencies.</w:t>
      </w:r>
    </w:p>
    <w:p w14:paraId="11FB92E5" w14:textId="6D37450E" w:rsidR="00F866AA" w:rsidRPr="00F866AA" w:rsidRDefault="00F866AA" w:rsidP="00631ACF">
      <w:pPr>
        <w:jc w:val="both"/>
      </w:pPr>
      <w:r>
        <w:t>Restorative justice to displaced communities is not only possible</w:t>
      </w:r>
      <w:r w:rsidR="00EF527C">
        <w:t>, it</w:t>
      </w:r>
      <w:r>
        <w:t xml:space="preserve"> should be pursued under the </w:t>
      </w:r>
      <w:r>
        <w:rPr>
          <w:i/>
          <w:iCs/>
        </w:rPr>
        <w:t>Fair Housing Act of 1968</w:t>
      </w:r>
      <w:r>
        <w:t xml:space="preserve">. This is imperative </w:t>
      </w:r>
      <w:r w:rsidR="00BA4782">
        <w:t xml:space="preserve">to ensure there is no motivation to create similar environments again. </w:t>
      </w:r>
    </w:p>
    <w:sectPr w:rsidR="00F866AA" w:rsidRPr="00F866AA" w:rsidSect="006907DE">
      <w:headerReference w:type="default" r:id="rId12"/>
      <w:footerReference w:type="default" r:id="rId13"/>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2DB4D" w14:textId="77777777" w:rsidR="002B7FF4" w:rsidRDefault="002B7FF4" w:rsidP="003E3F30">
      <w:pPr>
        <w:spacing w:after="0" w:line="240" w:lineRule="auto"/>
      </w:pPr>
      <w:r>
        <w:separator/>
      </w:r>
    </w:p>
  </w:endnote>
  <w:endnote w:type="continuationSeparator" w:id="0">
    <w:p w14:paraId="35442EA0" w14:textId="77777777" w:rsidR="002B7FF4" w:rsidRDefault="002B7FF4" w:rsidP="003E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723346"/>
      <w:docPartObj>
        <w:docPartGallery w:val="Page Numbers (Bottom of Page)"/>
        <w:docPartUnique/>
      </w:docPartObj>
    </w:sdtPr>
    <w:sdtEndPr>
      <w:rPr>
        <w:noProof/>
      </w:rPr>
    </w:sdtEndPr>
    <w:sdtContent>
      <w:p w14:paraId="31F5904C" w14:textId="7F4C5B23" w:rsidR="00BE5B7D" w:rsidRDefault="00BE5B7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600A8C2" w14:textId="77777777" w:rsidR="00BE5B7D" w:rsidRDefault="00BE5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C4461" w14:textId="77777777" w:rsidR="002B7FF4" w:rsidRDefault="002B7FF4" w:rsidP="003E3F30">
      <w:pPr>
        <w:spacing w:after="0" w:line="240" w:lineRule="auto"/>
      </w:pPr>
      <w:r>
        <w:separator/>
      </w:r>
    </w:p>
  </w:footnote>
  <w:footnote w:type="continuationSeparator" w:id="0">
    <w:p w14:paraId="3DAF2D29" w14:textId="77777777" w:rsidR="002B7FF4" w:rsidRDefault="002B7FF4" w:rsidP="003E3F30">
      <w:pPr>
        <w:spacing w:after="0" w:line="240" w:lineRule="auto"/>
      </w:pPr>
      <w:r>
        <w:continuationSeparator/>
      </w:r>
    </w:p>
  </w:footnote>
  <w:footnote w:id="1">
    <w:p w14:paraId="233E58BD" w14:textId="3152971A" w:rsidR="00BE5B7D" w:rsidRPr="00F04C0C" w:rsidRDefault="00BE5B7D">
      <w:pPr>
        <w:pStyle w:val="FootnoteText"/>
        <w:rPr>
          <w:sz w:val="18"/>
          <w:szCs w:val="18"/>
        </w:rPr>
      </w:pPr>
      <w:r w:rsidRPr="00F04C0C">
        <w:rPr>
          <w:rStyle w:val="FootnoteReference"/>
          <w:sz w:val="18"/>
          <w:szCs w:val="18"/>
        </w:rPr>
        <w:footnoteRef/>
      </w:r>
      <w:r w:rsidRPr="00F04C0C">
        <w:rPr>
          <w:sz w:val="18"/>
          <w:szCs w:val="18"/>
        </w:rPr>
        <w:t xml:space="preserve"> Dibley, Arjuna; Mistree, Dinsha. </w:t>
      </w:r>
      <w:r w:rsidRPr="00F04C0C">
        <w:rPr>
          <w:i/>
          <w:sz w:val="18"/>
          <w:szCs w:val="18"/>
        </w:rPr>
        <w:t>Corruption and the Paradox of Transparency.</w:t>
      </w:r>
      <w:r w:rsidRPr="00F04C0C">
        <w:rPr>
          <w:sz w:val="18"/>
          <w:szCs w:val="18"/>
        </w:rPr>
        <w:t xml:space="preserve"> Stanford Law School: Rule of Law Program. </w:t>
      </w:r>
      <w:hyperlink r:id="rId1" w:history="1">
        <w:r w:rsidRPr="00F04C0C">
          <w:rPr>
            <w:rStyle w:val="Hyperlink"/>
            <w:sz w:val="18"/>
            <w:szCs w:val="18"/>
          </w:rPr>
          <w:t>https://law.stanford.edu/wp-content/uploads/2018/07/Mistree-Dibley-Corruption.4.18.18.pdf</w:t>
        </w:r>
      </w:hyperlink>
      <w:r w:rsidRPr="00F04C0C">
        <w:rPr>
          <w:sz w:val="18"/>
          <w:szCs w:val="18"/>
        </w:rPr>
        <w:t>. (2018).</w:t>
      </w:r>
    </w:p>
  </w:footnote>
  <w:footnote w:id="2">
    <w:p w14:paraId="08487019" w14:textId="29ABD6FF" w:rsidR="00BE5B7D" w:rsidRPr="009A52EF" w:rsidRDefault="00BE5B7D">
      <w:pPr>
        <w:pStyle w:val="FootnoteText"/>
        <w:rPr>
          <w:sz w:val="18"/>
          <w:szCs w:val="18"/>
        </w:rPr>
      </w:pPr>
      <w:r w:rsidRPr="009A52EF">
        <w:rPr>
          <w:rStyle w:val="FootnoteReference"/>
          <w:sz w:val="18"/>
          <w:szCs w:val="18"/>
        </w:rPr>
        <w:footnoteRef/>
      </w:r>
      <w:r w:rsidRPr="009A52EF">
        <w:rPr>
          <w:sz w:val="18"/>
          <w:szCs w:val="18"/>
        </w:rPr>
        <w:t xml:space="preserve"> </w:t>
      </w:r>
      <w:r>
        <w:rPr>
          <w:sz w:val="18"/>
          <w:szCs w:val="18"/>
        </w:rPr>
        <w:t xml:space="preserve">One of the key concerns with Campaign Finance is that it does not fit very well into historic forms of “quid pro quo” style corruption. As such, understanding the effects requires that corruption be viewed from a lens of audit whereby independence in fact and independence in appearance must both be satisfied to ensure that conflict of interest does not pose an inherent risk to management’s decision making. Being simply in </w:t>
      </w:r>
      <w:r>
        <w:rPr>
          <w:i/>
          <w:iCs/>
          <w:sz w:val="18"/>
          <w:szCs w:val="18"/>
        </w:rPr>
        <w:t>Compliance</w:t>
      </w:r>
      <w:r>
        <w:rPr>
          <w:sz w:val="18"/>
          <w:szCs w:val="18"/>
        </w:rPr>
        <w:t xml:space="preserve"> of legal boundaries is not enough in internal control paradigms.</w:t>
      </w:r>
    </w:p>
  </w:footnote>
  <w:footnote w:id="3">
    <w:p w14:paraId="4028D75B" w14:textId="67C451E1" w:rsidR="00BE5B7D" w:rsidRPr="00F04C0C" w:rsidRDefault="00BE5B7D">
      <w:pPr>
        <w:pStyle w:val="FootnoteText"/>
        <w:rPr>
          <w:sz w:val="18"/>
          <w:szCs w:val="18"/>
        </w:rPr>
      </w:pPr>
      <w:r w:rsidRPr="00F04C0C">
        <w:rPr>
          <w:rStyle w:val="FootnoteReference"/>
          <w:sz w:val="18"/>
          <w:szCs w:val="18"/>
        </w:rPr>
        <w:footnoteRef/>
      </w:r>
      <w:r w:rsidRPr="00F04C0C">
        <w:rPr>
          <w:sz w:val="18"/>
          <w:szCs w:val="18"/>
        </w:rPr>
        <w:t xml:space="preserve"> Dibley, Arjuna; Mistree, Dinsha. </w:t>
      </w:r>
      <w:r w:rsidRPr="00F04C0C">
        <w:rPr>
          <w:i/>
          <w:sz w:val="18"/>
          <w:szCs w:val="18"/>
        </w:rPr>
        <w:t>Corruption and the Paradox of Transparency.</w:t>
      </w:r>
      <w:r w:rsidRPr="00F04C0C">
        <w:rPr>
          <w:sz w:val="18"/>
          <w:szCs w:val="18"/>
        </w:rPr>
        <w:t xml:space="preserve"> Stanford Law School: Rule of Law Program. </w:t>
      </w:r>
      <w:hyperlink r:id="rId2" w:history="1">
        <w:r w:rsidRPr="00F04C0C">
          <w:rPr>
            <w:rStyle w:val="Hyperlink"/>
            <w:sz w:val="18"/>
            <w:szCs w:val="18"/>
          </w:rPr>
          <w:t>https://law.stanford.edu/wp-content/uploads/2018/07/Mistree-Dibley-Corruption.4.18.18.pdf</w:t>
        </w:r>
      </w:hyperlink>
      <w:r w:rsidRPr="00F04C0C">
        <w:rPr>
          <w:sz w:val="18"/>
          <w:szCs w:val="18"/>
        </w:rPr>
        <w:t>. (2018).</w:t>
      </w:r>
    </w:p>
  </w:footnote>
  <w:footnote w:id="4">
    <w:p w14:paraId="5D4649A6" w14:textId="77777777" w:rsidR="00BE5B7D" w:rsidRPr="00F04C0C" w:rsidRDefault="00BE5B7D" w:rsidP="003735E8">
      <w:pPr>
        <w:pStyle w:val="FootnoteText"/>
        <w:rPr>
          <w:sz w:val="18"/>
          <w:szCs w:val="18"/>
        </w:rPr>
      </w:pPr>
      <w:r w:rsidRPr="00F04C0C">
        <w:rPr>
          <w:rStyle w:val="FootnoteReference"/>
          <w:sz w:val="18"/>
          <w:szCs w:val="18"/>
        </w:rPr>
        <w:footnoteRef/>
      </w:r>
      <w:r w:rsidRPr="00F04C0C">
        <w:rPr>
          <w:sz w:val="18"/>
          <w:szCs w:val="18"/>
        </w:rPr>
        <w:t xml:space="preserve"> “Pay to Play” is a phenomenon identified in the last 20 years as a concerted effort by wealthy individuals and corporate entities to use 3</w:t>
      </w:r>
      <w:r w:rsidRPr="00F04C0C">
        <w:rPr>
          <w:sz w:val="18"/>
          <w:szCs w:val="18"/>
          <w:vertAlign w:val="superscript"/>
        </w:rPr>
        <w:t>rd</w:t>
      </w:r>
      <w:r w:rsidRPr="00F04C0C">
        <w:rPr>
          <w:sz w:val="18"/>
          <w:szCs w:val="18"/>
        </w:rPr>
        <w:t xml:space="preserve"> party organizations to make substantial contributions to campaigns in the hopes of currying future policy favor.</w:t>
      </w:r>
    </w:p>
  </w:footnote>
  <w:footnote w:id="5">
    <w:p w14:paraId="5001074E" w14:textId="6B3009DE" w:rsidR="00BE5B7D" w:rsidRPr="0011778B" w:rsidRDefault="00BE5B7D">
      <w:pPr>
        <w:pStyle w:val="FootnoteText"/>
        <w:rPr>
          <w:sz w:val="18"/>
          <w:szCs w:val="18"/>
        </w:rPr>
      </w:pPr>
      <w:r w:rsidRPr="0011778B">
        <w:rPr>
          <w:rStyle w:val="FootnoteReference"/>
          <w:sz w:val="18"/>
          <w:szCs w:val="18"/>
        </w:rPr>
        <w:footnoteRef/>
      </w:r>
      <w:r w:rsidRPr="0011778B">
        <w:rPr>
          <w:sz w:val="18"/>
          <w:szCs w:val="18"/>
        </w:rPr>
        <w:t xml:space="preserve"> Internal auditing Culture &amp; Conduct is a fairly new concern within the United States, but countries such as the UK, France, and Australia have been creating robust systems to understand how the “motivations” of the Management and Executive staff of an organization that will have an impact on its functioning ethical environment. External auditors have been doing this since Sarbanes Oaxley, but cannot produce ongoing corrections like the Internal Audit environment can.</w:t>
      </w:r>
    </w:p>
  </w:footnote>
  <w:footnote w:id="6">
    <w:p w14:paraId="6EC28FB4" w14:textId="2DB10F9C" w:rsidR="00BE5B7D" w:rsidRPr="0008336F" w:rsidRDefault="00BE5B7D">
      <w:pPr>
        <w:pStyle w:val="FootnoteText"/>
        <w:rPr>
          <w:sz w:val="18"/>
          <w:szCs w:val="18"/>
        </w:rPr>
      </w:pPr>
      <w:r w:rsidRPr="0008336F">
        <w:rPr>
          <w:rStyle w:val="FootnoteReference"/>
          <w:sz w:val="18"/>
          <w:szCs w:val="18"/>
        </w:rPr>
        <w:footnoteRef/>
      </w:r>
      <w:r w:rsidRPr="0008336F">
        <w:rPr>
          <w:sz w:val="18"/>
          <w:szCs w:val="18"/>
        </w:rPr>
        <w:t xml:space="preserve"> This is the period immediately following the implementation of the Preferential Rent provision in 2002-2003</w:t>
      </w:r>
    </w:p>
  </w:footnote>
  <w:footnote w:id="7">
    <w:p w14:paraId="2CF9330A" w14:textId="0C462390" w:rsidR="00BE5B7D" w:rsidRPr="00CD1C70" w:rsidRDefault="00BE5B7D">
      <w:pPr>
        <w:pStyle w:val="FootnoteText"/>
        <w:rPr>
          <w:sz w:val="18"/>
          <w:szCs w:val="18"/>
        </w:rPr>
      </w:pPr>
      <w:r w:rsidRPr="00CD1C70">
        <w:rPr>
          <w:rStyle w:val="FootnoteReference"/>
          <w:sz w:val="18"/>
          <w:szCs w:val="18"/>
        </w:rPr>
        <w:footnoteRef/>
      </w:r>
      <w:r w:rsidRPr="00CD1C70">
        <w:rPr>
          <w:sz w:val="18"/>
          <w:szCs w:val="18"/>
        </w:rPr>
        <w:t xml:space="preserve"> *p=significant at .05</w:t>
      </w:r>
    </w:p>
  </w:footnote>
  <w:footnote w:id="8">
    <w:p w14:paraId="4050713D" w14:textId="54E7B296" w:rsidR="00BE5B7D" w:rsidRPr="00CD1C70" w:rsidRDefault="00BE5B7D">
      <w:pPr>
        <w:pStyle w:val="FootnoteText"/>
        <w:rPr>
          <w:sz w:val="18"/>
          <w:szCs w:val="18"/>
        </w:rPr>
      </w:pPr>
      <w:r w:rsidRPr="00CD1C70">
        <w:rPr>
          <w:rStyle w:val="FootnoteReference"/>
          <w:sz w:val="18"/>
          <w:szCs w:val="18"/>
        </w:rPr>
        <w:footnoteRef/>
      </w:r>
      <w:r w:rsidRPr="00CD1C70">
        <w:rPr>
          <w:sz w:val="18"/>
          <w:szCs w:val="18"/>
        </w:rPr>
        <w:t xml:space="preserve"> **p=significant at .01</w:t>
      </w:r>
    </w:p>
  </w:footnote>
  <w:footnote w:id="9">
    <w:p w14:paraId="7CD04E14" w14:textId="3A5D16E2" w:rsidR="00BE5B7D" w:rsidRPr="00A81C69" w:rsidRDefault="00BE5B7D" w:rsidP="00A81C69">
      <w:pPr>
        <w:spacing w:after="0" w:line="240" w:lineRule="auto"/>
        <w:jc w:val="both"/>
        <w:rPr>
          <w:sz w:val="18"/>
          <w:szCs w:val="18"/>
          <w:lang w:val="en"/>
        </w:rPr>
      </w:pPr>
      <w:r w:rsidRPr="00CD1C70">
        <w:rPr>
          <w:rStyle w:val="FootnoteReference"/>
          <w:sz w:val="18"/>
          <w:szCs w:val="18"/>
        </w:rPr>
        <w:footnoteRef/>
      </w:r>
      <w:r w:rsidRPr="00CD1C70">
        <w:rPr>
          <w:sz w:val="18"/>
          <w:szCs w:val="18"/>
        </w:rPr>
        <w:t xml:space="preserve"> </w:t>
      </w:r>
      <w:r w:rsidRPr="00CD1C70">
        <w:rPr>
          <w:sz w:val="18"/>
          <w:szCs w:val="18"/>
          <w:lang w:val="en"/>
        </w:rPr>
        <w:t xml:space="preserve">Public housing was under direct attack from Federal and State defunding during this period. Interestingly, Andrew Cuomo was HUD director under the Clinton Administration, and George Pataki, former NYS Governor, disinvested in NYCHA in 1998. </w:t>
      </w:r>
    </w:p>
  </w:footnote>
  <w:footnote w:id="10">
    <w:p w14:paraId="6FE76636" w14:textId="6A0FA65D" w:rsidR="00BE5B7D" w:rsidRPr="006F125C" w:rsidRDefault="00BE5B7D">
      <w:pPr>
        <w:pStyle w:val="FootnoteText"/>
        <w:rPr>
          <w:sz w:val="18"/>
          <w:szCs w:val="18"/>
        </w:rPr>
      </w:pPr>
      <w:r w:rsidRPr="006F125C">
        <w:rPr>
          <w:rStyle w:val="FootnoteReference"/>
          <w:sz w:val="18"/>
          <w:szCs w:val="18"/>
        </w:rPr>
        <w:footnoteRef/>
      </w:r>
      <w:r w:rsidRPr="006F125C">
        <w:rPr>
          <w:sz w:val="18"/>
          <w:szCs w:val="18"/>
        </w:rPr>
        <w:t xml:space="preserve"> </w:t>
      </w:r>
      <w:r w:rsidRPr="006F125C">
        <w:rPr>
          <w:rFonts w:cstheme="minorHAnsi"/>
          <w:sz w:val="18"/>
          <w:szCs w:val="18"/>
        </w:rPr>
        <w:t>Light, P. C. (1993). Monitoring Government: Inspectors General and the search for Accountability. Brookings Institution.</w:t>
      </w:r>
    </w:p>
  </w:footnote>
  <w:footnote w:id="11">
    <w:p w14:paraId="046CB929" w14:textId="71E3E86C" w:rsidR="00BE5B7D" w:rsidRPr="006907DE" w:rsidRDefault="00BE5B7D">
      <w:pPr>
        <w:pStyle w:val="FootnoteText"/>
        <w:rPr>
          <w:sz w:val="18"/>
          <w:szCs w:val="18"/>
        </w:rPr>
      </w:pPr>
      <w:r w:rsidRPr="006F125C">
        <w:rPr>
          <w:rStyle w:val="FootnoteReference"/>
          <w:sz w:val="18"/>
          <w:szCs w:val="18"/>
        </w:rPr>
        <w:footnoteRef/>
      </w:r>
      <w:r w:rsidRPr="006F125C">
        <w:rPr>
          <w:sz w:val="18"/>
          <w:szCs w:val="18"/>
        </w:rPr>
        <w:t xml:space="preserve"> </w:t>
      </w:r>
      <w:r w:rsidRPr="006F125C">
        <w:rPr>
          <w:rFonts w:cstheme="minorHAnsi"/>
          <w:color w:val="000000"/>
          <w:spacing w:val="-5"/>
          <w:sz w:val="18"/>
          <w:szCs w:val="18"/>
          <w:shd w:val="clear" w:color="auto" w:fill="FFFFFF"/>
        </w:rPr>
        <w:t>Koppell, J. (2005). Pathologies of Accountability: ICANN and the Challenge of "Multiple Accountabilities Disorder". </w:t>
      </w:r>
      <w:r w:rsidRPr="006F125C">
        <w:rPr>
          <w:rFonts w:cstheme="minorHAnsi"/>
          <w:i/>
          <w:iCs/>
          <w:color w:val="000000"/>
          <w:spacing w:val="-5"/>
          <w:sz w:val="18"/>
          <w:szCs w:val="18"/>
          <w:shd w:val="clear" w:color="auto" w:fill="FFFFFF"/>
        </w:rPr>
        <w:t>Public Administration Review,</w:t>
      </w:r>
      <w:r w:rsidRPr="006F125C">
        <w:rPr>
          <w:rFonts w:cstheme="minorHAnsi"/>
          <w:color w:val="000000"/>
          <w:spacing w:val="-5"/>
          <w:sz w:val="18"/>
          <w:szCs w:val="18"/>
          <w:shd w:val="clear" w:color="auto" w:fill="FFFFFF"/>
        </w:rPr>
        <w:t> </w:t>
      </w:r>
      <w:r w:rsidRPr="006F125C">
        <w:rPr>
          <w:rFonts w:cstheme="minorHAnsi"/>
          <w:i/>
          <w:iCs/>
          <w:color w:val="000000"/>
          <w:spacing w:val="-5"/>
          <w:sz w:val="18"/>
          <w:szCs w:val="18"/>
          <w:shd w:val="clear" w:color="auto" w:fill="FFFFFF"/>
        </w:rPr>
        <w:t>65</w:t>
      </w:r>
      <w:r w:rsidRPr="006F125C">
        <w:rPr>
          <w:rFonts w:cstheme="minorHAnsi"/>
          <w:color w:val="000000"/>
          <w:spacing w:val="-5"/>
          <w:sz w:val="18"/>
          <w:szCs w:val="18"/>
          <w:shd w:val="clear" w:color="auto" w:fill="FFFFFF"/>
        </w:rPr>
        <w:t xml:space="preserve">(1), 94-108. Retrieved December 31, 2020, from </w:t>
      </w:r>
      <w:hyperlink r:id="rId3" w:history="1">
        <w:r w:rsidRPr="006F125C">
          <w:rPr>
            <w:rStyle w:val="Hyperlink"/>
            <w:rFonts w:cstheme="minorHAnsi"/>
            <w:spacing w:val="-5"/>
            <w:sz w:val="18"/>
            <w:szCs w:val="18"/>
            <w:shd w:val="clear" w:color="auto" w:fill="FFFFFF"/>
          </w:rPr>
          <w:t>http://www.jstor.org/stable/3542585</w:t>
        </w:r>
      </w:hyperlink>
    </w:p>
  </w:footnote>
  <w:footnote w:id="12">
    <w:p w14:paraId="3F7CF4C5" w14:textId="5BF452F1" w:rsidR="00BE5B7D" w:rsidRPr="005572F4" w:rsidRDefault="00BE5B7D">
      <w:pPr>
        <w:pStyle w:val="FootnoteText"/>
        <w:rPr>
          <w:sz w:val="18"/>
          <w:szCs w:val="18"/>
        </w:rPr>
      </w:pPr>
      <w:r w:rsidRPr="005572F4">
        <w:rPr>
          <w:rStyle w:val="FootnoteReference"/>
          <w:sz w:val="18"/>
          <w:szCs w:val="18"/>
        </w:rPr>
        <w:footnoteRef/>
      </w:r>
      <w:r w:rsidRPr="005572F4">
        <w:rPr>
          <w:sz w:val="18"/>
          <w:szCs w:val="18"/>
        </w:rPr>
        <w:t xml:space="preserve"> Lee, S., &amp; Whitford, A. (2013). Assessing the Effects of Organizational Resources on Public Agency Performance: Evidence from the US Federal Government. </w:t>
      </w:r>
      <w:r w:rsidRPr="005572F4">
        <w:rPr>
          <w:i/>
          <w:iCs/>
          <w:sz w:val="18"/>
          <w:szCs w:val="18"/>
        </w:rPr>
        <w:t>Journal of Public Administration Research and Theory: J-PART,</w:t>
      </w:r>
      <w:r w:rsidRPr="005572F4">
        <w:rPr>
          <w:sz w:val="18"/>
          <w:szCs w:val="18"/>
        </w:rPr>
        <w:t xml:space="preserve"> </w:t>
      </w:r>
      <w:r w:rsidRPr="005572F4">
        <w:rPr>
          <w:i/>
          <w:iCs/>
          <w:sz w:val="18"/>
          <w:szCs w:val="18"/>
        </w:rPr>
        <w:t>23</w:t>
      </w:r>
      <w:r w:rsidRPr="005572F4">
        <w:rPr>
          <w:sz w:val="18"/>
          <w:szCs w:val="18"/>
        </w:rPr>
        <w:t>(3), 687-712.</w:t>
      </w:r>
    </w:p>
  </w:footnote>
  <w:footnote w:id="13">
    <w:p w14:paraId="64318029" w14:textId="77777777" w:rsidR="00BE5B7D" w:rsidRPr="005572F4" w:rsidRDefault="00BE5B7D" w:rsidP="00505D94">
      <w:pPr>
        <w:pStyle w:val="FootnoteText"/>
        <w:rPr>
          <w:sz w:val="18"/>
          <w:szCs w:val="18"/>
        </w:rPr>
      </w:pPr>
      <w:r w:rsidRPr="005572F4">
        <w:rPr>
          <w:rStyle w:val="FootnoteReference"/>
          <w:sz w:val="18"/>
          <w:szCs w:val="18"/>
        </w:rPr>
        <w:footnoteRef/>
      </w:r>
      <w:r w:rsidRPr="005572F4">
        <w:rPr>
          <w:sz w:val="18"/>
          <w:szCs w:val="18"/>
        </w:rPr>
        <w:t xml:space="preserve"> </w:t>
      </w:r>
      <w:r w:rsidRPr="005572F4">
        <w:rPr>
          <w:rFonts w:cstheme="minorHAnsi"/>
          <w:color w:val="1A1A1A"/>
          <w:sz w:val="18"/>
          <w:szCs w:val="18"/>
          <w:shd w:val="clear" w:color="auto" w:fill="FFFFFF"/>
        </w:rPr>
        <w:t>John Kurpierz, Kenneth Alan Smith; Forensic Acculturation for Accountability in Local Governments: A Design Science Approach for School Leaders and Citizens. </w:t>
      </w:r>
      <w:r w:rsidRPr="005572F4">
        <w:rPr>
          <w:rStyle w:val="Emphasis"/>
          <w:rFonts w:cstheme="minorHAnsi"/>
          <w:color w:val="1A1A1A"/>
          <w:sz w:val="18"/>
          <w:szCs w:val="18"/>
          <w:bdr w:val="none" w:sz="0" w:space="0" w:color="auto" w:frame="1"/>
          <w:shd w:val="clear" w:color="auto" w:fill="FFFFFF"/>
        </w:rPr>
        <w:t>Journal of Forensic Accounting Research</w:t>
      </w:r>
      <w:r w:rsidRPr="005572F4">
        <w:rPr>
          <w:rFonts w:cstheme="minorHAnsi"/>
          <w:color w:val="1A1A1A"/>
          <w:sz w:val="18"/>
          <w:szCs w:val="18"/>
          <w:shd w:val="clear" w:color="auto" w:fill="FFFFFF"/>
        </w:rPr>
        <w:t> doi: </w:t>
      </w:r>
      <w:hyperlink r:id="rId4" w:tgtFrame="_blank" w:history="1">
        <w:r w:rsidRPr="005572F4">
          <w:rPr>
            <w:rStyle w:val="Hyperlink"/>
            <w:rFonts w:cstheme="minorHAnsi"/>
            <w:color w:val="0952AB"/>
            <w:sz w:val="18"/>
            <w:szCs w:val="18"/>
            <w:bdr w:val="none" w:sz="0" w:space="0" w:color="auto" w:frame="1"/>
            <w:shd w:val="clear" w:color="auto" w:fill="FFFFFF"/>
          </w:rPr>
          <w:t>https://doi.org/10.2308/jfar-19-035</w:t>
        </w:r>
      </w:hyperlink>
    </w:p>
  </w:footnote>
  <w:footnote w:id="14">
    <w:p w14:paraId="7B1016D7" w14:textId="6DFBD382" w:rsidR="008A04FB" w:rsidRPr="003A56BA" w:rsidRDefault="008A04FB" w:rsidP="008A04FB">
      <w:pPr>
        <w:pStyle w:val="FootnoteText"/>
        <w:rPr>
          <w:sz w:val="18"/>
          <w:szCs w:val="18"/>
        </w:rPr>
      </w:pPr>
      <w:r w:rsidRPr="005572F4">
        <w:rPr>
          <w:rStyle w:val="FootnoteReference"/>
          <w:sz w:val="18"/>
          <w:szCs w:val="18"/>
        </w:rPr>
        <w:footnoteRef/>
      </w:r>
      <w:r w:rsidRPr="005572F4">
        <w:rPr>
          <w:sz w:val="18"/>
          <w:szCs w:val="18"/>
        </w:rPr>
        <w:t xml:space="preserve"> </w:t>
      </w:r>
      <w:hyperlink r:id="rId5" w:history="1">
        <w:r w:rsidR="005F672B" w:rsidRPr="00973DA1">
          <w:rPr>
            <w:rStyle w:val="Hyperlink"/>
            <w:sz w:val="18"/>
            <w:szCs w:val="18"/>
          </w:rPr>
          <w:t>http://www.tenant.net/tengroup/Metcounc/Apr99/urstadt.html</w:t>
        </w:r>
      </w:hyperlink>
      <w:r w:rsidR="005F672B">
        <w:rPr>
          <w:sz w:val="18"/>
          <w:szCs w:val="18"/>
        </w:rPr>
        <w:t xml:space="preserve"> </w:t>
      </w:r>
    </w:p>
  </w:footnote>
  <w:footnote w:id="15">
    <w:p w14:paraId="5EA8620E" w14:textId="04F35822" w:rsidR="00D64E7A" w:rsidRPr="00D64E7A" w:rsidRDefault="00D64E7A">
      <w:pPr>
        <w:pStyle w:val="FootnoteText"/>
        <w:rPr>
          <w:i/>
          <w:iCs/>
          <w:sz w:val="18"/>
          <w:szCs w:val="18"/>
        </w:rPr>
      </w:pPr>
      <w:r w:rsidRPr="00D64E7A">
        <w:rPr>
          <w:rStyle w:val="FootnoteReference"/>
          <w:sz w:val="18"/>
          <w:szCs w:val="18"/>
        </w:rPr>
        <w:footnoteRef/>
      </w:r>
      <w:r w:rsidRPr="00D64E7A">
        <w:rPr>
          <w:sz w:val="18"/>
          <w:szCs w:val="18"/>
        </w:rPr>
        <w:t xml:space="preserve"> </w:t>
      </w:r>
      <w:r>
        <w:rPr>
          <w:i/>
          <w:iCs/>
          <w:sz w:val="18"/>
          <w:szCs w:val="18"/>
        </w:rPr>
        <w:t>Source: NYC Council Discretionary Funding Data – OpendataNYC.org</w:t>
      </w:r>
    </w:p>
  </w:footnote>
  <w:footnote w:id="16">
    <w:p w14:paraId="3326A0F9" w14:textId="77777777" w:rsidR="00BE5B7D" w:rsidRPr="00557041" w:rsidRDefault="00BE5B7D" w:rsidP="000A2351">
      <w:pPr>
        <w:pStyle w:val="FootnoteText"/>
        <w:rPr>
          <w:sz w:val="18"/>
          <w:szCs w:val="18"/>
        </w:rPr>
      </w:pPr>
      <w:r w:rsidRPr="00557041">
        <w:rPr>
          <w:rStyle w:val="FootnoteReference"/>
          <w:sz w:val="18"/>
          <w:szCs w:val="18"/>
        </w:rPr>
        <w:footnoteRef/>
      </w:r>
      <w:r w:rsidRPr="00557041">
        <w:rPr>
          <w:sz w:val="18"/>
          <w:szCs w:val="18"/>
        </w:rPr>
        <w:t xml:space="preserve"> Strauss, D. (1994). Corruption, Equality, and Campaign Finance Reform. Columbia Law Review, 94(4), 1369-1389. doi:10.2307/1123287 (p.1370, pp.4).</w:t>
      </w:r>
    </w:p>
  </w:footnote>
  <w:footnote w:id="17">
    <w:p w14:paraId="6BFA36AA" w14:textId="77777777" w:rsidR="00BE5B7D" w:rsidRPr="002E7FBB" w:rsidRDefault="00BE5B7D" w:rsidP="000A2351">
      <w:pPr>
        <w:pStyle w:val="FootnoteText"/>
        <w:rPr>
          <w:rFonts w:cstheme="minorHAnsi"/>
          <w:sz w:val="18"/>
          <w:szCs w:val="18"/>
        </w:rPr>
      </w:pPr>
      <w:r w:rsidRPr="002E7FBB">
        <w:rPr>
          <w:rStyle w:val="FootnoteReference"/>
          <w:rFonts w:cstheme="minorHAnsi"/>
          <w:sz w:val="18"/>
          <w:szCs w:val="18"/>
        </w:rPr>
        <w:footnoteRef/>
      </w:r>
      <w:r w:rsidRPr="002E7FBB">
        <w:rPr>
          <w:rFonts w:cstheme="minorHAnsi"/>
          <w:sz w:val="18"/>
          <w:szCs w:val="18"/>
        </w:rPr>
        <w:t xml:space="preserve"> </w:t>
      </w:r>
      <w:r w:rsidRPr="002E7FBB">
        <w:rPr>
          <w:rFonts w:cstheme="minorHAnsi"/>
          <w:i/>
          <w:iCs/>
          <w:sz w:val="18"/>
          <w:szCs w:val="18"/>
        </w:rPr>
        <w:t>IBID</w:t>
      </w:r>
      <w:r w:rsidRPr="002E7FBB">
        <w:rPr>
          <w:rFonts w:cstheme="minorHAnsi"/>
          <w:sz w:val="18"/>
          <w:szCs w:val="18"/>
        </w:rPr>
        <w:t xml:space="preserve"> (p.1378-1379)</w:t>
      </w:r>
    </w:p>
  </w:footnote>
  <w:footnote w:id="18">
    <w:p w14:paraId="790FF929" w14:textId="77777777" w:rsidR="00BE5B7D" w:rsidRPr="002E7FBB" w:rsidRDefault="00BE5B7D" w:rsidP="000A2351">
      <w:pPr>
        <w:pStyle w:val="FootnoteText"/>
        <w:rPr>
          <w:rFonts w:cstheme="minorHAnsi"/>
          <w:sz w:val="18"/>
          <w:szCs w:val="18"/>
        </w:rPr>
      </w:pPr>
      <w:r w:rsidRPr="002E7FBB">
        <w:rPr>
          <w:rStyle w:val="FootnoteReference"/>
          <w:rFonts w:cstheme="minorHAnsi"/>
          <w:sz w:val="18"/>
          <w:szCs w:val="18"/>
        </w:rPr>
        <w:footnoteRef/>
      </w:r>
      <w:r w:rsidRPr="002E7FBB">
        <w:rPr>
          <w:rFonts w:cstheme="minorHAnsi"/>
          <w:sz w:val="18"/>
          <w:szCs w:val="18"/>
        </w:rPr>
        <w:t xml:space="preserve"> Strauss, D. (1994). Corruption, Equality, and Campaign Finance Reform. Columbia Law Review, 94(4), 1369-1389. doi:10.2307/1123287 (p.1374, pp.4-1375, pp.1)</w:t>
      </w:r>
    </w:p>
  </w:footnote>
  <w:footnote w:id="19">
    <w:p w14:paraId="74D69F30" w14:textId="77777777" w:rsidR="00BE5B7D" w:rsidRPr="00557041" w:rsidRDefault="00BE5B7D" w:rsidP="000A2351">
      <w:pPr>
        <w:pStyle w:val="FootnoteText"/>
        <w:rPr>
          <w:sz w:val="18"/>
          <w:szCs w:val="18"/>
        </w:rPr>
      </w:pPr>
      <w:r w:rsidRPr="00557041">
        <w:rPr>
          <w:rStyle w:val="FootnoteReference"/>
          <w:sz w:val="18"/>
          <w:szCs w:val="18"/>
        </w:rPr>
        <w:footnoteRef/>
      </w:r>
      <w:r w:rsidRPr="00557041">
        <w:rPr>
          <w:sz w:val="18"/>
          <w:szCs w:val="18"/>
        </w:rPr>
        <w:t xml:space="preserve"> 424 U.S. 1 (1976).</w:t>
      </w:r>
    </w:p>
  </w:footnote>
  <w:footnote w:id="20">
    <w:p w14:paraId="68A5FA08" w14:textId="77777777" w:rsidR="00BE5B7D" w:rsidRPr="00557041" w:rsidRDefault="00BE5B7D" w:rsidP="000A2351">
      <w:pPr>
        <w:pStyle w:val="FootnoteText"/>
        <w:rPr>
          <w:sz w:val="18"/>
          <w:szCs w:val="18"/>
        </w:rPr>
      </w:pPr>
      <w:r w:rsidRPr="00557041">
        <w:rPr>
          <w:rStyle w:val="FootnoteReference"/>
          <w:sz w:val="18"/>
          <w:szCs w:val="18"/>
        </w:rPr>
        <w:footnoteRef/>
      </w:r>
      <w:r w:rsidRPr="00557041">
        <w:rPr>
          <w:sz w:val="18"/>
          <w:szCs w:val="18"/>
        </w:rPr>
        <w:t xml:space="preserve"> 551 U.S. 449 (2007).</w:t>
      </w:r>
    </w:p>
  </w:footnote>
  <w:footnote w:id="21">
    <w:p w14:paraId="42760003" w14:textId="77777777" w:rsidR="00BE5B7D" w:rsidRPr="00557041" w:rsidRDefault="00BE5B7D" w:rsidP="000A2351">
      <w:pPr>
        <w:pStyle w:val="FootnoteText"/>
        <w:rPr>
          <w:sz w:val="18"/>
          <w:szCs w:val="18"/>
        </w:rPr>
      </w:pPr>
      <w:r w:rsidRPr="00557041">
        <w:rPr>
          <w:rStyle w:val="FootnoteReference"/>
          <w:sz w:val="18"/>
          <w:szCs w:val="18"/>
        </w:rPr>
        <w:footnoteRef/>
      </w:r>
      <w:r w:rsidRPr="00557041">
        <w:rPr>
          <w:sz w:val="18"/>
          <w:szCs w:val="18"/>
        </w:rPr>
        <w:t xml:space="preserve"> 558 U.S. 310 (2010)</w:t>
      </w:r>
    </w:p>
  </w:footnote>
  <w:footnote w:id="22">
    <w:p w14:paraId="43EB5DA3" w14:textId="77777777" w:rsidR="00BE5B7D" w:rsidRPr="00557041" w:rsidRDefault="00BE5B7D" w:rsidP="000A2351">
      <w:pPr>
        <w:pStyle w:val="FootnoteText"/>
        <w:rPr>
          <w:sz w:val="18"/>
          <w:szCs w:val="18"/>
        </w:rPr>
      </w:pPr>
      <w:r w:rsidRPr="00557041">
        <w:rPr>
          <w:rStyle w:val="FootnoteReference"/>
          <w:sz w:val="18"/>
          <w:szCs w:val="18"/>
        </w:rPr>
        <w:footnoteRef/>
      </w:r>
      <w:r w:rsidRPr="00557041">
        <w:rPr>
          <w:sz w:val="18"/>
          <w:szCs w:val="18"/>
        </w:rPr>
        <w:t xml:space="preserve"> Strauss, D. (1994). Corruption, Equality, and Campaign Finance Reform. Columbia Law Review, 94(4), 1369-1389. doi:10.2307/1123287 (p.1371, pp.2)</w:t>
      </w:r>
    </w:p>
  </w:footnote>
  <w:footnote w:id="23">
    <w:p w14:paraId="37741B4B" w14:textId="77777777" w:rsidR="00BE5B7D" w:rsidRPr="00557041" w:rsidRDefault="00BE5B7D" w:rsidP="000A2351">
      <w:pPr>
        <w:pStyle w:val="FootnoteText"/>
        <w:rPr>
          <w:sz w:val="18"/>
          <w:szCs w:val="18"/>
        </w:rPr>
      </w:pPr>
      <w:r w:rsidRPr="00557041">
        <w:rPr>
          <w:rStyle w:val="FootnoteReference"/>
          <w:sz w:val="18"/>
          <w:szCs w:val="18"/>
        </w:rPr>
        <w:footnoteRef/>
      </w:r>
      <w:r w:rsidRPr="00557041">
        <w:rPr>
          <w:sz w:val="18"/>
          <w:szCs w:val="18"/>
        </w:rPr>
        <w:t xml:space="preserve"> </w:t>
      </w:r>
      <w:r w:rsidRPr="00557041">
        <w:rPr>
          <w:i/>
          <w:iCs/>
          <w:sz w:val="18"/>
          <w:szCs w:val="18"/>
        </w:rPr>
        <w:t>IBID</w:t>
      </w:r>
      <w:r w:rsidRPr="00557041">
        <w:rPr>
          <w:sz w:val="18"/>
          <w:szCs w:val="18"/>
        </w:rPr>
        <w:t xml:space="preserve"> (p.1373, pp.2)</w:t>
      </w:r>
    </w:p>
  </w:footnote>
  <w:footnote w:id="24">
    <w:p w14:paraId="7C47E75B" w14:textId="77777777" w:rsidR="00BE5B7D" w:rsidRPr="006E18FA" w:rsidRDefault="00BE5B7D" w:rsidP="000A2351">
      <w:pPr>
        <w:pStyle w:val="FootnoteText"/>
      </w:pPr>
      <w:r w:rsidRPr="00557041">
        <w:rPr>
          <w:rStyle w:val="FootnoteReference"/>
          <w:sz w:val="18"/>
          <w:szCs w:val="18"/>
        </w:rPr>
        <w:footnoteRef/>
      </w:r>
      <w:r w:rsidRPr="00557041">
        <w:rPr>
          <w:sz w:val="18"/>
          <w:szCs w:val="18"/>
        </w:rPr>
        <w:t xml:space="preserve"> </w:t>
      </w:r>
      <w:r w:rsidRPr="00557041">
        <w:rPr>
          <w:i/>
          <w:iCs/>
          <w:sz w:val="18"/>
          <w:szCs w:val="18"/>
        </w:rPr>
        <w:t>IBID</w:t>
      </w:r>
    </w:p>
  </w:footnote>
  <w:footnote w:id="25">
    <w:p w14:paraId="6D838977" w14:textId="77777777" w:rsidR="00BE5B7D" w:rsidRPr="002E7FBB" w:rsidRDefault="00BE5B7D" w:rsidP="000A2351">
      <w:pPr>
        <w:pStyle w:val="FootnoteText"/>
        <w:rPr>
          <w:rFonts w:cstheme="minorHAnsi"/>
          <w:sz w:val="18"/>
          <w:szCs w:val="18"/>
        </w:rPr>
      </w:pPr>
      <w:r w:rsidRPr="002E7FBB">
        <w:rPr>
          <w:rStyle w:val="FootnoteReference"/>
          <w:rFonts w:cstheme="minorHAnsi"/>
          <w:sz w:val="18"/>
          <w:szCs w:val="18"/>
        </w:rPr>
        <w:footnoteRef/>
      </w:r>
      <w:r w:rsidRPr="002E7FBB">
        <w:rPr>
          <w:rFonts w:cstheme="minorHAnsi"/>
          <w:sz w:val="18"/>
          <w:szCs w:val="18"/>
        </w:rPr>
        <w:t xml:space="preserve"> </w:t>
      </w:r>
      <w:r w:rsidRPr="002E7FBB">
        <w:rPr>
          <w:rFonts w:cstheme="minorHAnsi"/>
          <w:color w:val="000000"/>
          <w:spacing w:val="-5"/>
          <w:sz w:val="18"/>
          <w:szCs w:val="18"/>
          <w:shd w:val="clear" w:color="auto" w:fill="FFFFFF"/>
        </w:rPr>
        <w:t>Nelson, J. (2000). The Supply and Demand of Campaign Finance Reform. </w:t>
      </w:r>
      <w:r w:rsidRPr="002E7FBB">
        <w:rPr>
          <w:rFonts w:cstheme="minorHAnsi"/>
          <w:i/>
          <w:iCs/>
          <w:color w:val="000000"/>
          <w:spacing w:val="-5"/>
          <w:sz w:val="18"/>
          <w:szCs w:val="18"/>
          <w:shd w:val="clear" w:color="auto" w:fill="FFFFFF"/>
        </w:rPr>
        <w:t>Columbia Law Review,</w:t>
      </w:r>
      <w:r w:rsidRPr="002E7FBB">
        <w:rPr>
          <w:rFonts w:cstheme="minorHAnsi"/>
          <w:color w:val="000000"/>
          <w:spacing w:val="-5"/>
          <w:sz w:val="18"/>
          <w:szCs w:val="18"/>
          <w:shd w:val="clear" w:color="auto" w:fill="FFFFFF"/>
        </w:rPr>
        <w:t> </w:t>
      </w:r>
      <w:r w:rsidRPr="002E7FBB">
        <w:rPr>
          <w:rFonts w:cstheme="minorHAnsi"/>
          <w:i/>
          <w:iCs/>
          <w:color w:val="000000"/>
          <w:spacing w:val="-5"/>
          <w:sz w:val="18"/>
          <w:szCs w:val="18"/>
          <w:shd w:val="clear" w:color="auto" w:fill="FFFFFF"/>
        </w:rPr>
        <w:t>100</w:t>
      </w:r>
      <w:r w:rsidRPr="002E7FBB">
        <w:rPr>
          <w:rFonts w:cstheme="minorHAnsi"/>
          <w:color w:val="000000"/>
          <w:spacing w:val="-5"/>
          <w:sz w:val="18"/>
          <w:szCs w:val="18"/>
          <w:shd w:val="clear" w:color="auto" w:fill="FFFFFF"/>
        </w:rPr>
        <w:t>(2), 524-557. doi:10.2307/1123475 (p. 524-525)</w:t>
      </w:r>
    </w:p>
  </w:footnote>
  <w:footnote w:id="26">
    <w:p w14:paraId="6A3D7A5C" w14:textId="77777777" w:rsidR="00BE5B7D" w:rsidRPr="002E7FBB" w:rsidRDefault="00BE5B7D" w:rsidP="000A2351">
      <w:pPr>
        <w:pStyle w:val="FootnoteText"/>
        <w:rPr>
          <w:rFonts w:cstheme="minorHAnsi"/>
          <w:sz w:val="18"/>
          <w:szCs w:val="18"/>
        </w:rPr>
      </w:pPr>
      <w:r w:rsidRPr="002E7FBB">
        <w:rPr>
          <w:rStyle w:val="FootnoteReference"/>
          <w:rFonts w:cstheme="minorHAnsi"/>
          <w:sz w:val="18"/>
          <w:szCs w:val="18"/>
        </w:rPr>
        <w:footnoteRef/>
      </w:r>
      <w:r w:rsidRPr="002E7FBB">
        <w:rPr>
          <w:rFonts w:cstheme="minorHAnsi"/>
          <w:sz w:val="18"/>
          <w:szCs w:val="18"/>
        </w:rPr>
        <w:t xml:space="preserve"> special interest groups need to be dissuaded from using contributions to sway the de facto independence of elected officials</w:t>
      </w:r>
    </w:p>
  </w:footnote>
  <w:footnote w:id="27">
    <w:p w14:paraId="538C1D6C" w14:textId="77777777" w:rsidR="00BE5B7D" w:rsidRPr="002E7FBB" w:rsidRDefault="00BE5B7D" w:rsidP="000A2351">
      <w:pPr>
        <w:pStyle w:val="FootnoteText"/>
        <w:rPr>
          <w:rFonts w:cstheme="minorHAnsi"/>
          <w:sz w:val="18"/>
          <w:szCs w:val="18"/>
        </w:rPr>
      </w:pPr>
      <w:r w:rsidRPr="002E7FBB">
        <w:rPr>
          <w:rStyle w:val="FootnoteReference"/>
          <w:rFonts w:cstheme="minorHAnsi"/>
          <w:sz w:val="18"/>
          <w:szCs w:val="18"/>
        </w:rPr>
        <w:footnoteRef/>
      </w:r>
      <w:r w:rsidRPr="002E7FBB">
        <w:rPr>
          <w:rFonts w:cstheme="minorHAnsi"/>
          <w:sz w:val="18"/>
          <w:szCs w:val="18"/>
        </w:rPr>
        <w:t xml:space="preserve"> Elected officials, with increasing campaigning costs, seek out special interest donors to increase incumbency</w:t>
      </w:r>
    </w:p>
  </w:footnote>
  <w:footnote w:id="28">
    <w:p w14:paraId="415197B1" w14:textId="77777777" w:rsidR="00BE5B7D" w:rsidRPr="002E7FBB" w:rsidRDefault="00BE5B7D" w:rsidP="000A2351">
      <w:pPr>
        <w:pStyle w:val="FootnoteText"/>
        <w:rPr>
          <w:rFonts w:cstheme="minorHAnsi"/>
          <w:sz w:val="18"/>
          <w:szCs w:val="18"/>
        </w:rPr>
      </w:pPr>
      <w:r w:rsidRPr="002E7FBB">
        <w:rPr>
          <w:rStyle w:val="FootnoteReference"/>
          <w:rFonts w:cstheme="minorHAnsi"/>
          <w:sz w:val="18"/>
          <w:szCs w:val="18"/>
        </w:rPr>
        <w:footnoteRef/>
      </w:r>
      <w:r w:rsidRPr="002E7FBB">
        <w:rPr>
          <w:rFonts w:cstheme="minorHAnsi"/>
          <w:sz w:val="18"/>
          <w:szCs w:val="18"/>
        </w:rPr>
        <w:t xml:space="preserve"> </w:t>
      </w:r>
      <w:r w:rsidRPr="002E7FBB">
        <w:rPr>
          <w:rFonts w:cstheme="minorHAnsi"/>
          <w:color w:val="000000"/>
          <w:spacing w:val="-5"/>
          <w:sz w:val="18"/>
          <w:szCs w:val="18"/>
          <w:shd w:val="clear" w:color="auto" w:fill="FFFFFF"/>
        </w:rPr>
        <w:t>Nelson, J. (2000). The Supply and Demand of Campaign Finance Reform. </w:t>
      </w:r>
      <w:r w:rsidRPr="002E7FBB">
        <w:rPr>
          <w:rFonts w:cstheme="minorHAnsi"/>
          <w:i/>
          <w:iCs/>
          <w:color w:val="000000"/>
          <w:spacing w:val="-5"/>
          <w:sz w:val="18"/>
          <w:szCs w:val="18"/>
          <w:shd w:val="clear" w:color="auto" w:fill="FFFFFF"/>
        </w:rPr>
        <w:t>Columbia Law Review,</w:t>
      </w:r>
      <w:r w:rsidRPr="002E7FBB">
        <w:rPr>
          <w:rFonts w:cstheme="minorHAnsi"/>
          <w:color w:val="000000"/>
          <w:spacing w:val="-5"/>
          <w:sz w:val="18"/>
          <w:szCs w:val="18"/>
          <w:shd w:val="clear" w:color="auto" w:fill="FFFFFF"/>
        </w:rPr>
        <w:t> </w:t>
      </w:r>
      <w:r w:rsidRPr="002E7FBB">
        <w:rPr>
          <w:rFonts w:cstheme="minorHAnsi"/>
          <w:i/>
          <w:iCs/>
          <w:color w:val="000000"/>
          <w:spacing w:val="-5"/>
          <w:sz w:val="18"/>
          <w:szCs w:val="18"/>
          <w:shd w:val="clear" w:color="auto" w:fill="FFFFFF"/>
        </w:rPr>
        <w:t>100</w:t>
      </w:r>
      <w:r w:rsidRPr="002E7FBB">
        <w:rPr>
          <w:rFonts w:cstheme="minorHAnsi"/>
          <w:color w:val="000000"/>
          <w:spacing w:val="-5"/>
          <w:sz w:val="18"/>
          <w:szCs w:val="18"/>
          <w:shd w:val="clear" w:color="auto" w:fill="FFFFFF"/>
        </w:rPr>
        <w:t>(2), 524-557. doi:10.2307/1123475 (p.525-526)</w:t>
      </w:r>
    </w:p>
  </w:footnote>
  <w:footnote w:id="29">
    <w:p w14:paraId="72354ADF" w14:textId="77777777" w:rsidR="00BE5B7D" w:rsidRPr="002E7FBB" w:rsidRDefault="00BE5B7D" w:rsidP="000A2351">
      <w:pPr>
        <w:pStyle w:val="FootnoteText"/>
        <w:rPr>
          <w:rFonts w:cstheme="minorHAnsi"/>
          <w:sz w:val="18"/>
          <w:szCs w:val="18"/>
        </w:rPr>
      </w:pPr>
      <w:r w:rsidRPr="002E7FBB">
        <w:rPr>
          <w:rStyle w:val="FootnoteReference"/>
          <w:rFonts w:cstheme="minorHAnsi"/>
          <w:sz w:val="18"/>
          <w:szCs w:val="18"/>
        </w:rPr>
        <w:footnoteRef/>
      </w:r>
      <w:r w:rsidRPr="002E7FBB">
        <w:rPr>
          <w:rFonts w:cstheme="minorHAnsi"/>
          <w:sz w:val="18"/>
          <w:szCs w:val="18"/>
        </w:rPr>
        <w:t xml:space="preserve"> </w:t>
      </w:r>
      <w:r w:rsidRPr="002E7FBB">
        <w:rPr>
          <w:rFonts w:cstheme="minorHAnsi"/>
          <w:i/>
          <w:iCs/>
          <w:sz w:val="18"/>
          <w:szCs w:val="18"/>
        </w:rPr>
        <w:t>IBID</w:t>
      </w:r>
      <w:r w:rsidRPr="002E7FBB">
        <w:rPr>
          <w:rFonts w:cstheme="minorHAnsi"/>
          <w:sz w:val="18"/>
          <w:szCs w:val="18"/>
        </w:rPr>
        <w:t xml:space="preserve"> (p.529)</w:t>
      </w:r>
    </w:p>
  </w:footnote>
  <w:footnote w:id="30">
    <w:p w14:paraId="01864A98" w14:textId="77777777" w:rsidR="00BE5B7D" w:rsidRPr="002E7FBB" w:rsidRDefault="00BE5B7D" w:rsidP="000A2351">
      <w:pPr>
        <w:pStyle w:val="FootnoteText"/>
        <w:rPr>
          <w:rFonts w:cstheme="minorHAnsi"/>
          <w:sz w:val="18"/>
          <w:szCs w:val="18"/>
        </w:rPr>
      </w:pPr>
      <w:r w:rsidRPr="002E7FBB">
        <w:rPr>
          <w:rStyle w:val="FootnoteReference"/>
          <w:rFonts w:cstheme="minorHAnsi"/>
          <w:sz w:val="18"/>
          <w:szCs w:val="18"/>
        </w:rPr>
        <w:footnoteRef/>
      </w:r>
      <w:r w:rsidRPr="002E7FBB">
        <w:rPr>
          <w:rFonts w:cstheme="minorHAnsi"/>
          <w:sz w:val="18"/>
          <w:szCs w:val="18"/>
        </w:rPr>
        <w:t xml:space="preserve"> </w:t>
      </w:r>
      <w:r w:rsidRPr="002E7FBB">
        <w:rPr>
          <w:rFonts w:cstheme="minorHAnsi"/>
          <w:i/>
          <w:iCs/>
          <w:sz w:val="18"/>
          <w:szCs w:val="18"/>
        </w:rPr>
        <w:t>IBID</w:t>
      </w:r>
      <w:r w:rsidRPr="002E7FBB">
        <w:rPr>
          <w:rFonts w:cstheme="minorHAnsi"/>
          <w:sz w:val="18"/>
          <w:szCs w:val="18"/>
        </w:rPr>
        <w:t xml:space="preserve"> (p.529-530)</w:t>
      </w:r>
    </w:p>
  </w:footnote>
  <w:footnote w:id="31">
    <w:p w14:paraId="4AB14DE3" w14:textId="77777777" w:rsidR="00BE5B7D" w:rsidRPr="009A52EF" w:rsidRDefault="00BE5B7D" w:rsidP="000A2351">
      <w:pPr>
        <w:pStyle w:val="FootnoteText"/>
        <w:rPr>
          <w:sz w:val="18"/>
          <w:szCs w:val="18"/>
        </w:rPr>
      </w:pPr>
      <w:r w:rsidRPr="0071524E">
        <w:rPr>
          <w:rStyle w:val="FootnoteReference"/>
          <w:rFonts w:cstheme="minorHAnsi"/>
          <w:sz w:val="18"/>
          <w:szCs w:val="18"/>
        </w:rPr>
        <w:footnoteRef/>
      </w:r>
      <w:r w:rsidRPr="0071524E">
        <w:rPr>
          <w:rFonts w:cstheme="minorHAnsi"/>
          <w:sz w:val="18"/>
          <w:szCs w:val="18"/>
        </w:rPr>
        <w:t xml:space="preserve"> </w:t>
      </w:r>
      <w:r w:rsidRPr="0071524E">
        <w:rPr>
          <w:rFonts w:cstheme="minorHAnsi"/>
          <w:color w:val="000000"/>
          <w:spacing w:val="-5"/>
          <w:sz w:val="18"/>
          <w:szCs w:val="18"/>
          <w:shd w:val="clear" w:color="auto" w:fill="FFFFFF"/>
        </w:rPr>
        <w:t>Stephanopoulos, N. (2015). ALIGNING CAMPAIGN FINANCE LAW. </w:t>
      </w:r>
      <w:r w:rsidRPr="0071524E">
        <w:rPr>
          <w:rFonts w:cstheme="minorHAnsi"/>
          <w:i/>
          <w:iCs/>
          <w:color w:val="000000"/>
          <w:spacing w:val="-5"/>
          <w:sz w:val="18"/>
          <w:szCs w:val="18"/>
          <w:shd w:val="clear" w:color="auto" w:fill="FFFFFF"/>
        </w:rPr>
        <w:t>Virginia Law Review,</w:t>
      </w:r>
      <w:r w:rsidRPr="0071524E">
        <w:rPr>
          <w:rFonts w:cstheme="minorHAnsi"/>
          <w:color w:val="000000"/>
          <w:spacing w:val="-5"/>
          <w:sz w:val="18"/>
          <w:szCs w:val="18"/>
          <w:shd w:val="clear" w:color="auto" w:fill="FFFFFF"/>
        </w:rPr>
        <w:t> </w:t>
      </w:r>
      <w:r w:rsidRPr="0071524E">
        <w:rPr>
          <w:rFonts w:cstheme="minorHAnsi"/>
          <w:i/>
          <w:iCs/>
          <w:color w:val="000000"/>
          <w:spacing w:val="-5"/>
          <w:sz w:val="18"/>
          <w:szCs w:val="18"/>
          <w:shd w:val="clear" w:color="auto" w:fill="FFFFFF"/>
        </w:rPr>
        <w:t>101</w:t>
      </w:r>
      <w:r w:rsidRPr="0071524E">
        <w:rPr>
          <w:rFonts w:cstheme="minorHAnsi"/>
          <w:color w:val="000000"/>
          <w:spacing w:val="-5"/>
          <w:sz w:val="18"/>
          <w:szCs w:val="18"/>
          <w:shd w:val="clear" w:color="auto" w:fill="FFFFFF"/>
        </w:rPr>
        <w:t xml:space="preserve">(5), 1425-1500. Retrieved December 30, 2020, from </w:t>
      </w:r>
      <w:hyperlink r:id="rId6" w:history="1">
        <w:r w:rsidRPr="0071524E">
          <w:rPr>
            <w:rStyle w:val="Hyperlink"/>
            <w:rFonts w:cstheme="minorHAnsi"/>
            <w:spacing w:val="-5"/>
            <w:sz w:val="18"/>
            <w:szCs w:val="18"/>
            <w:shd w:val="clear" w:color="auto" w:fill="FFFFFF"/>
          </w:rPr>
          <w:t>http://www.jstor.org/stable/24643400</w:t>
        </w:r>
      </w:hyperlink>
      <w:r w:rsidRPr="0071524E">
        <w:rPr>
          <w:rFonts w:cstheme="minorHAnsi"/>
          <w:color w:val="000000"/>
          <w:spacing w:val="-5"/>
          <w:sz w:val="18"/>
          <w:szCs w:val="18"/>
          <w:shd w:val="clear" w:color="auto" w:fill="FFFFFF"/>
        </w:rPr>
        <w:t xml:space="preserve"> (p.1455, pp.2)</w:t>
      </w:r>
    </w:p>
  </w:footnote>
  <w:footnote w:id="32">
    <w:p w14:paraId="0F05CA15" w14:textId="58B5A64C" w:rsidR="00BE5B7D" w:rsidRPr="009A52EF" w:rsidRDefault="00BE5B7D" w:rsidP="000A2351">
      <w:pPr>
        <w:pStyle w:val="FootnoteText"/>
        <w:rPr>
          <w:sz w:val="18"/>
          <w:szCs w:val="18"/>
        </w:rPr>
      </w:pPr>
      <w:r w:rsidRPr="009A52EF">
        <w:rPr>
          <w:rStyle w:val="FootnoteReference"/>
          <w:sz w:val="18"/>
          <w:szCs w:val="18"/>
        </w:rPr>
        <w:footnoteRef/>
      </w:r>
      <w:r w:rsidRPr="009A52EF">
        <w:rPr>
          <w:sz w:val="18"/>
          <w:szCs w:val="18"/>
        </w:rPr>
        <w:t xml:space="preserve"> </w:t>
      </w:r>
      <w:r w:rsidRPr="009A52EF">
        <w:rPr>
          <w:rFonts w:cs="Arial"/>
          <w:color w:val="444444"/>
          <w:sz w:val="18"/>
          <w:szCs w:val="18"/>
          <w:shd w:val="clear" w:color="auto" w:fill="FFFFFF"/>
        </w:rPr>
        <w:t>Independence in appearance is the absence of c</w:t>
      </w:r>
      <w:r w:rsidR="002A09CD">
        <w:rPr>
          <w:rFonts w:cs="Arial"/>
          <w:color w:val="444444"/>
          <w:sz w:val="18"/>
          <w:szCs w:val="18"/>
          <w:shd w:val="clear" w:color="auto" w:fill="FFFFFF"/>
        </w:rPr>
        <w:t>onflicts of interest</w:t>
      </w:r>
      <w:r w:rsidRPr="009A52EF">
        <w:rPr>
          <w:rFonts w:cs="Arial"/>
          <w:color w:val="444444"/>
          <w:sz w:val="18"/>
          <w:szCs w:val="18"/>
          <w:shd w:val="clear" w:color="auto" w:fill="FFFFFF"/>
        </w:rPr>
        <w:t xml:space="preserve"> that would cause a reasonable and informed third party, having knowledge of the relevant information, to reasonably conclude that the integrity, objectivity, or professional skepticism of audit organization or member of the audit team had been compromised.</w:t>
      </w:r>
    </w:p>
  </w:footnote>
  <w:footnote w:id="33">
    <w:p w14:paraId="6C2643DE" w14:textId="77777777" w:rsidR="00BE5B7D" w:rsidRPr="0071524E" w:rsidRDefault="00BE5B7D" w:rsidP="000A2351">
      <w:pPr>
        <w:pStyle w:val="FootnoteText"/>
        <w:rPr>
          <w:rFonts w:cstheme="minorHAnsi"/>
          <w:sz w:val="18"/>
          <w:szCs w:val="18"/>
        </w:rPr>
      </w:pPr>
      <w:r w:rsidRPr="0071524E">
        <w:rPr>
          <w:rStyle w:val="FootnoteReference"/>
          <w:rFonts w:cstheme="minorHAnsi"/>
          <w:sz w:val="18"/>
          <w:szCs w:val="18"/>
        </w:rPr>
        <w:footnoteRef/>
      </w:r>
      <w:r w:rsidRPr="0071524E">
        <w:rPr>
          <w:rFonts w:cstheme="minorHAnsi"/>
          <w:sz w:val="18"/>
          <w:szCs w:val="18"/>
        </w:rPr>
        <w:t xml:space="preserve"> </w:t>
      </w:r>
      <w:r w:rsidRPr="0071524E">
        <w:rPr>
          <w:rFonts w:cstheme="minorHAnsi"/>
          <w:color w:val="000000"/>
          <w:spacing w:val="-5"/>
          <w:sz w:val="18"/>
          <w:szCs w:val="18"/>
          <w:shd w:val="clear" w:color="auto" w:fill="FFFFFF"/>
        </w:rPr>
        <w:t>Kang, M. (2012). THE END OF CAMPAIGN FINANCE LAW. </w:t>
      </w:r>
      <w:r w:rsidRPr="0071524E">
        <w:rPr>
          <w:rFonts w:cstheme="minorHAnsi"/>
          <w:i/>
          <w:iCs/>
          <w:color w:val="000000"/>
          <w:spacing w:val="-5"/>
          <w:sz w:val="18"/>
          <w:szCs w:val="18"/>
          <w:shd w:val="clear" w:color="auto" w:fill="FFFFFF"/>
        </w:rPr>
        <w:t>Virginia Law Review,</w:t>
      </w:r>
      <w:r w:rsidRPr="0071524E">
        <w:rPr>
          <w:rFonts w:cstheme="minorHAnsi"/>
          <w:color w:val="000000"/>
          <w:spacing w:val="-5"/>
          <w:sz w:val="18"/>
          <w:szCs w:val="18"/>
          <w:shd w:val="clear" w:color="auto" w:fill="FFFFFF"/>
        </w:rPr>
        <w:t> </w:t>
      </w:r>
      <w:r w:rsidRPr="0071524E">
        <w:rPr>
          <w:rFonts w:cstheme="minorHAnsi"/>
          <w:i/>
          <w:iCs/>
          <w:color w:val="000000"/>
          <w:spacing w:val="-5"/>
          <w:sz w:val="18"/>
          <w:szCs w:val="18"/>
          <w:shd w:val="clear" w:color="auto" w:fill="FFFFFF"/>
        </w:rPr>
        <w:t>98</w:t>
      </w:r>
      <w:r w:rsidRPr="0071524E">
        <w:rPr>
          <w:rFonts w:cstheme="minorHAnsi"/>
          <w:color w:val="000000"/>
          <w:spacing w:val="-5"/>
          <w:sz w:val="18"/>
          <w:szCs w:val="18"/>
          <w:shd w:val="clear" w:color="auto" w:fill="FFFFFF"/>
        </w:rPr>
        <w:t xml:space="preserve">(1), 1-65. Retrieved December 30, 2020, from </w:t>
      </w:r>
      <w:hyperlink r:id="rId7" w:history="1">
        <w:r w:rsidRPr="0071524E">
          <w:rPr>
            <w:rStyle w:val="Hyperlink"/>
            <w:rFonts w:cstheme="minorHAnsi"/>
            <w:spacing w:val="-5"/>
            <w:sz w:val="18"/>
            <w:szCs w:val="18"/>
            <w:shd w:val="clear" w:color="auto" w:fill="FFFFFF"/>
          </w:rPr>
          <w:t>http://www.jstor.org/stable/41350237</w:t>
        </w:r>
      </w:hyperlink>
      <w:r w:rsidRPr="0071524E">
        <w:rPr>
          <w:rFonts w:cstheme="minorHAnsi"/>
          <w:color w:val="000000"/>
          <w:spacing w:val="-5"/>
          <w:sz w:val="18"/>
          <w:szCs w:val="18"/>
          <w:shd w:val="clear" w:color="auto" w:fill="FFFFFF"/>
        </w:rPr>
        <w:t xml:space="preserve"> (p.4)</w:t>
      </w:r>
    </w:p>
  </w:footnote>
  <w:footnote w:id="34">
    <w:p w14:paraId="13069D5A" w14:textId="77777777" w:rsidR="00BE5B7D" w:rsidRPr="00C44A80" w:rsidRDefault="00BE5B7D" w:rsidP="000A2351">
      <w:pPr>
        <w:pStyle w:val="FootnoteText"/>
        <w:rPr>
          <w:rFonts w:cstheme="minorHAnsi"/>
          <w:sz w:val="18"/>
          <w:szCs w:val="18"/>
        </w:rPr>
      </w:pPr>
      <w:r w:rsidRPr="0071524E">
        <w:rPr>
          <w:rStyle w:val="FootnoteReference"/>
          <w:rFonts w:cstheme="minorHAnsi"/>
          <w:sz w:val="18"/>
          <w:szCs w:val="18"/>
        </w:rPr>
        <w:footnoteRef/>
      </w:r>
      <w:r w:rsidRPr="0071524E">
        <w:rPr>
          <w:rFonts w:cstheme="minorHAnsi"/>
          <w:sz w:val="18"/>
          <w:szCs w:val="18"/>
        </w:rPr>
        <w:t xml:space="preserve"> Strauss, D. (1994). Corruption, Equality, and Campaign Finance Reform. Columbia Law Review, 94(4), 1369-1389. doi:10.2307/1123287(p.1379-1383)</w:t>
      </w:r>
    </w:p>
  </w:footnote>
  <w:footnote w:id="35">
    <w:p w14:paraId="3FD7D12A" w14:textId="77777777" w:rsidR="00BE5B7D" w:rsidRPr="00727EF8" w:rsidRDefault="00BE5B7D" w:rsidP="0095353A">
      <w:pPr>
        <w:pStyle w:val="FootnoteText"/>
        <w:rPr>
          <w:rFonts w:cstheme="minorHAnsi"/>
          <w:sz w:val="18"/>
          <w:szCs w:val="18"/>
        </w:rPr>
      </w:pPr>
      <w:r w:rsidRPr="00727EF8">
        <w:rPr>
          <w:rStyle w:val="FootnoteReference"/>
          <w:rFonts w:cstheme="minorHAnsi"/>
          <w:sz w:val="18"/>
          <w:szCs w:val="18"/>
        </w:rPr>
        <w:footnoteRef/>
      </w:r>
      <w:r w:rsidRPr="00727EF8">
        <w:rPr>
          <w:rFonts w:cstheme="minorHAnsi"/>
          <w:sz w:val="18"/>
          <w:szCs w:val="18"/>
        </w:rPr>
        <w:t xml:space="preserve"> Rent Guidelines Board: Retrieved from </w:t>
      </w:r>
      <w:hyperlink r:id="rId8" w:history="1">
        <w:r w:rsidRPr="00727EF8">
          <w:rPr>
            <w:rStyle w:val="Hyperlink"/>
            <w:rFonts w:cstheme="minorHAnsi"/>
            <w:sz w:val="18"/>
            <w:szCs w:val="18"/>
          </w:rPr>
          <w:t>https://www1.nyc.gov/site/rentguidelinesboard/resources/rent-control.page</w:t>
        </w:r>
      </w:hyperlink>
      <w:r w:rsidRPr="00727EF8">
        <w:rPr>
          <w:rFonts w:cstheme="minorHAnsi"/>
          <w:sz w:val="18"/>
          <w:szCs w:val="18"/>
        </w:rPr>
        <w:t xml:space="preserve"> </w:t>
      </w:r>
    </w:p>
  </w:footnote>
  <w:footnote w:id="36">
    <w:p w14:paraId="5580134B" w14:textId="77777777" w:rsidR="00BE5B7D" w:rsidRPr="009A52EF" w:rsidRDefault="00BE5B7D" w:rsidP="0095353A">
      <w:pPr>
        <w:pStyle w:val="FootnoteText"/>
        <w:rPr>
          <w:rFonts w:cstheme="minorHAnsi"/>
          <w:sz w:val="18"/>
          <w:szCs w:val="18"/>
        </w:rPr>
      </w:pPr>
      <w:r w:rsidRPr="00727EF8">
        <w:rPr>
          <w:rStyle w:val="FootnoteReference"/>
          <w:rFonts w:cstheme="minorHAnsi"/>
          <w:sz w:val="18"/>
          <w:szCs w:val="18"/>
        </w:rPr>
        <w:footnoteRef/>
      </w:r>
      <w:r w:rsidRPr="00727EF8">
        <w:rPr>
          <w:rFonts w:cstheme="minorHAnsi"/>
          <w:sz w:val="18"/>
          <w:szCs w:val="18"/>
        </w:rPr>
        <w:t xml:space="preserve"> </w:t>
      </w:r>
      <w:r w:rsidRPr="00727EF8">
        <w:rPr>
          <w:rFonts w:cstheme="minorHAnsi"/>
          <w:i/>
          <w:sz w:val="18"/>
          <w:szCs w:val="18"/>
        </w:rPr>
        <w:t>IBID</w:t>
      </w:r>
    </w:p>
  </w:footnote>
  <w:footnote w:id="37">
    <w:p w14:paraId="2D7118B0" w14:textId="77777777" w:rsidR="00BE5B7D" w:rsidRPr="009A52EF" w:rsidRDefault="00BE5B7D" w:rsidP="0095353A">
      <w:pPr>
        <w:pStyle w:val="FootnoteText"/>
        <w:rPr>
          <w:rFonts w:cstheme="minorHAnsi"/>
          <w:sz w:val="18"/>
          <w:szCs w:val="18"/>
        </w:rPr>
      </w:pPr>
      <w:r w:rsidRPr="009A52EF">
        <w:rPr>
          <w:rStyle w:val="FootnoteReference"/>
          <w:rFonts w:cstheme="minorHAnsi"/>
          <w:sz w:val="18"/>
          <w:szCs w:val="18"/>
        </w:rPr>
        <w:footnoteRef/>
      </w:r>
      <w:r w:rsidRPr="009A52EF">
        <w:rPr>
          <w:rFonts w:cstheme="minorHAnsi"/>
          <w:sz w:val="18"/>
          <w:szCs w:val="18"/>
        </w:rPr>
        <w:t xml:space="preserve"> </w:t>
      </w:r>
      <w:hyperlink r:id="rId9" w:history="1">
        <w:r w:rsidRPr="009A52EF">
          <w:rPr>
            <w:rStyle w:val="Hyperlink"/>
            <w:rFonts w:cstheme="minorHAnsi"/>
            <w:sz w:val="18"/>
            <w:szCs w:val="18"/>
          </w:rPr>
          <w:t>NYCHA-Fact-Sheet_2019_08-01.pdf</w:t>
        </w:r>
      </w:hyperlink>
      <w:r w:rsidRPr="009A52EF">
        <w:rPr>
          <w:rFonts w:cstheme="minorHAnsi"/>
          <w:sz w:val="18"/>
          <w:szCs w:val="18"/>
        </w:rPr>
        <w:t xml:space="preserve"> </w:t>
      </w:r>
    </w:p>
  </w:footnote>
  <w:footnote w:id="38">
    <w:p w14:paraId="66CCD5C0" w14:textId="77777777" w:rsidR="00BE5B7D" w:rsidRPr="009A52EF" w:rsidRDefault="00BE5B7D" w:rsidP="0095353A">
      <w:pPr>
        <w:pStyle w:val="FootnoteText"/>
        <w:rPr>
          <w:rFonts w:cstheme="minorHAnsi"/>
          <w:sz w:val="18"/>
          <w:szCs w:val="18"/>
        </w:rPr>
      </w:pPr>
      <w:r w:rsidRPr="009A52EF">
        <w:rPr>
          <w:rStyle w:val="FootnoteReference"/>
          <w:rFonts w:cstheme="minorHAnsi"/>
          <w:sz w:val="18"/>
          <w:szCs w:val="18"/>
        </w:rPr>
        <w:footnoteRef/>
      </w:r>
      <w:r w:rsidRPr="009A52EF">
        <w:rPr>
          <w:rFonts w:cstheme="minorHAnsi"/>
          <w:sz w:val="18"/>
          <w:szCs w:val="18"/>
        </w:rPr>
        <w:t xml:space="preserve"> </w:t>
      </w:r>
      <w:hyperlink r:id="rId10" w:history="1">
        <w:r w:rsidRPr="009A52EF">
          <w:rPr>
            <w:rStyle w:val="Hyperlink"/>
            <w:rFonts w:cstheme="minorHAnsi"/>
            <w:sz w:val="18"/>
            <w:szCs w:val="18"/>
          </w:rPr>
          <w:t>The Mirage of Affordable Housing in New York City.pdf</w:t>
        </w:r>
      </w:hyperlink>
      <w:r w:rsidRPr="009A52EF">
        <w:rPr>
          <w:rFonts w:cstheme="minorHAnsi"/>
          <w:sz w:val="18"/>
          <w:szCs w:val="18"/>
        </w:rPr>
        <w:t xml:space="preserve"> (p.2)</w:t>
      </w:r>
    </w:p>
  </w:footnote>
  <w:footnote w:id="39">
    <w:p w14:paraId="5B312155" w14:textId="77777777" w:rsidR="00BE5B7D" w:rsidRPr="009A52EF" w:rsidRDefault="00BE5B7D" w:rsidP="0095353A">
      <w:pPr>
        <w:pStyle w:val="FootnoteText"/>
        <w:rPr>
          <w:sz w:val="18"/>
          <w:szCs w:val="18"/>
        </w:rPr>
      </w:pPr>
      <w:r w:rsidRPr="009A52EF">
        <w:rPr>
          <w:rStyle w:val="FootnoteReference"/>
          <w:rFonts w:cstheme="minorHAnsi"/>
          <w:sz w:val="18"/>
          <w:szCs w:val="18"/>
        </w:rPr>
        <w:footnoteRef/>
      </w:r>
      <w:r w:rsidRPr="009A52EF">
        <w:rPr>
          <w:rFonts w:cstheme="minorHAnsi"/>
          <w:sz w:val="18"/>
          <w:szCs w:val="18"/>
        </w:rPr>
        <w:t xml:space="preserve"> (1/40</w:t>
      </w:r>
      <w:r w:rsidRPr="009A52EF">
        <w:rPr>
          <w:rFonts w:cstheme="minorHAnsi"/>
          <w:sz w:val="18"/>
          <w:szCs w:val="18"/>
          <w:vertAlign w:val="superscript"/>
        </w:rPr>
        <w:t>th</w:t>
      </w:r>
      <w:r w:rsidRPr="009A52EF">
        <w:rPr>
          <w:rFonts w:cstheme="minorHAnsi"/>
          <w:sz w:val="18"/>
          <w:szCs w:val="18"/>
        </w:rPr>
        <w:t xml:space="preserve"> or 1/60</w:t>
      </w:r>
      <w:r w:rsidRPr="009A52EF">
        <w:rPr>
          <w:rFonts w:cstheme="minorHAnsi"/>
          <w:sz w:val="18"/>
          <w:szCs w:val="18"/>
          <w:vertAlign w:val="superscript"/>
        </w:rPr>
        <w:t>th</w:t>
      </w:r>
      <w:r w:rsidRPr="009A52EF">
        <w:rPr>
          <w:rFonts w:cstheme="minorHAnsi"/>
          <w:sz w:val="18"/>
          <w:szCs w:val="18"/>
        </w:rPr>
        <w:t xml:space="preserve"> of total cost of improvement based on size of the apartment building)</w:t>
      </w:r>
    </w:p>
  </w:footnote>
  <w:footnote w:id="40">
    <w:p w14:paraId="06D89A04" w14:textId="77777777" w:rsidR="00BE5B7D" w:rsidRDefault="00BE5B7D" w:rsidP="0095353A">
      <w:pPr>
        <w:pStyle w:val="FootnoteText"/>
      </w:pPr>
      <w:r w:rsidRPr="009A52EF">
        <w:rPr>
          <w:rStyle w:val="FootnoteReference"/>
          <w:sz w:val="18"/>
          <w:szCs w:val="18"/>
        </w:rPr>
        <w:footnoteRef/>
      </w:r>
      <w:r w:rsidRPr="009A52EF">
        <w:rPr>
          <w:sz w:val="18"/>
          <w:szCs w:val="18"/>
        </w:rPr>
        <w:t xml:space="preserve"> My husband &amp; I recently rewatched the classic “Batteries Not Included”. We loved the “aliens” as children. Most recently, we were sad that the “aliens” were the resolution to NYC’s affordable housing crisis, as per Spielberg.</w:t>
      </w:r>
    </w:p>
  </w:footnote>
  <w:footnote w:id="41">
    <w:p w14:paraId="4BFF65B5" w14:textId="2EB792E3" w:rsidR="002A4429" w:rsidRDefault="002A4429">
      <w:pPr>
        <w:pStyle w:val="FootnoteText"/>
      </w:pPr>
      <w:r>
        <w:rPr>
          <w:rStyle w:val="FootnoteReference"/>
        </w:rPr>
        <w:footnoteRef/>
      </w:r>
      <w:r>
        <w:t xml:space="preserve"> Rent Guidelines Board</w:t>
      </w:r>
    </w:p>
  </w:footnote>
  <w:footnote w:id="42">
    <w:p w14:paraId="3E9940A7" w14:textId="77777777" w:rsidR="00BE5B7D" w:rsidRPr="009D5ACA" w:rsidRDefault="00BE5B7D" w:rsidP="0095353A">
      <w:pPr>
        <w:pStyle w:val="NoSpacing"/>
        <w:jc w:val="both"/>
        <w:rPr>
          <w:rFonts w:asciiTheme="minorHAnsi" w:hAnsiTheme="minorHAnsi" w:cstheme="minorHAnsi"/>
          <w:sz w:val="18"/>
          <w:szCs w:val="18"/>
        </w:rPr>
      </w:pPr>
      <w:r w:rsidRPr="009D5ACA">
        <w:rPr>
          <w:rStyle w:val="FootnoteReference"/>
          <w:rFonts w:asciiTheme="minorHAnsi" w:hAnsiTheme="minorHAnsi" w:cstheme="minorHAnsi"/>
          <w:sz w:val="18"/>
          <w:szCs w:val="18"/>
        </w:rPr>
        <w:footnoteRef/>
      </w:r>
      <w:r w:rsidRPr="009D5ACA">
        <w:rPr>
          <w:rFonts w:asciiTheme="minorHAnsi" w:hAnsiTheme="minorHAnsi" w:cstheme="minorHAnsi"/>
          <w:sz w:val="18"/>
          <w:szCs w:val="18"/>
        </w:rPr>
        <w:t xml:space="preserve"> Zarin, A., Kasdan, A., Markman, E., Sick, J. (2017, Dec. 14). Stabilizing NYC. The Predatory Equity Story. Retrieved from:   </w:t>
      </w:r>
    </w:p>
    <w:p w14:paraId="18521F29" w14:textId="77777777" w:rsidR="00BE5B7D" w:rsidRPr="006350E4" w:rsidRDefault="002B7FF4" w:rsidP="0095353A">
      <w:pPr>
        <w:pStyle w:val="NoSpacing"/>
        <w:jc w:val="both"/>
        <w:rPr>
          <w:rFonts w:asciiTheme="minorHAnsi" w:hAnsiTheme="minorHAnsi" w:cstheme="minorHAnsi"/>
          <w:sz w:val="18"/>
          <w:szCs w:val="18"/>
        </w:rPr>
      </w:pPr>
      <w:hyperlink r:id="rId11" w:history="1">
        <w:r w:rsidR="00BE5B7D" w:rsidRPr="009D5ACA">
          <w:rPr>
            <w:rStyle w:val="Hyperlink"/>
            <w:rFonts w:asciiTheme="minorHAnsi" w:eastAsiaTheme="majorEastAsia" w:hAnsiTheme="minorHAnsi" w:cstheme="minorHAnsi"/>
            <w:sz w:val="18"/>
            <w:szCs w:val="18"/>
          </w:rPr>
          <w:t>https://cdp.urbanjustice.org/sites/default/files/CDP.WEB.doc_Report_SNYCPredatoryEquity_20171214_0.pdf</w:t>
        </w:r>
      </w:hyperlink>
      <w:r w:rsidR="00BE5B7D" w:rsidRPr="009D5ACA">
        <w:rPr>
          <w:rFonts w:asciiTheme="minorHAnsi" w:hAnsiTheme="minorHAnsi" w:cstheme="minorHAnsi"/>
          <w:sz w:val="18"/>
          <w:szCs w:val="18"/>
        </w:rPr>
        <w:t xml:space="preserve"> </w:t>
      </w:r>
    </w:p>
  </w:footnote>
  <w:footnote w:id="43">
    <w:p w14:paraId="21822F3A" w14:textId="77777777" w:rsidR="00BE5B7D" w:rsidRPr="006B4785" w:rsidRDefault="00BE5B7D" w:rsidP="0095353A">
      <w:pPr>
        <w:pStyle w:val="FootnoteText"/>
        <w:rPr>
          <w:sz w:val="18"/>
          <w:szCs w:val="18"/>
        </w:rPr>
      </w:pPr>
      <w:r w:rsidRPr="006B4785">
        <w:rPr>
          <w:rStyle w:val="FootnoteReference"/>
          <w:sz w:val="18"/>
          <w:szCs w:val="18"/>
        </w:rPr>
        <w:footnoteRef/>
      </w:r>
      <w:r w:rsidRPr="006B4785">
        <w:rPr>
          <w:sz w:val="18"/>
          <w:szCs w:val="18"/>
        </w:rPr>
        <w:t xml:space="preserve"> </w:t>
      </w:r>
      <w:r w:rsidRPr="006B4785">
        <w:rPr>
          <w:color w:val="000000"/>
          <w:spacing w:val="-5"/>
          <w:sz w:val="18"/>
          <w:szCs w:val="18"/>
          <w:shd w:val="clear" w:color="auto" w:fill="FFFFFF"/>
        </w:rPr>
        <w:t>Schwartz, A. (2019). New York City's Affordable Housing Plans and the Limits of Local Initiative. </w:t>
      </w:r>
      <w:r w:rsidRPr="006B4785">
        <w:rPr>
          <w:i/>
          <w:iCs/>
          <w:color w:val="000000"/>
          <w:spacing w:val="-5"/>
          <w:sz w:val="18"/>
          <w:szCs w:val="18"/>
          <w:shd w:val="clear" w:color="auto" w:fill="FFFFFF"/>
        </w:rPr>
        <w:t>Cityscape,</w:t>
      </w:r>
      <w:r w:rsidRPr="006B4785">
        <w:rPr>
          <w:color w:val="000000"/>
          <w:spacing w:val="-5"/>
          <w:sz w:val="18"/>
          <w:szCs w:val="18"/>
          <w:shd w:val="clear" w:color="auto" w:fill="FFFFFF"/>
        </w:rPr>
        <w:t> </w:t>
      </w:r>
      <w:r w:rsidRPr="006B4785">
        <w:rPr>
          <w:i/>
          <w:iCs/>
          <w:color w:val="000000"/>
          <w:spacing w:val="-5"/>
          <w:sz w:val="18"/>
          <w:szCs w:val="18"/>
          <w:shd w:val="clear" w:color="auto" w:fill="FFFFFF"/>
        </w:rPr>
        <w:t>21</w:t>
      </w:r>
      <w:r w:rsidRPr="006B4785">
        <w:rPr>
          <w:color w:val="000000"/>
          <w:spacing w:val="-5"/>
          <w:sz w:val="18"/>
          <w:szCs w:val="18"/>
          <w:shd w:val="clear" w:color="auto" w:fill="FFFFFF"/>
        </w:rPr>
        <w:t>(3), 355-388. doi:10.2307/26820664 (p.357)</w:t>
      </w:r>
    </w:p>
  </w:footnote>
  <w:footnote w:id="44">
    <w:p w14:paraId="1A5A9AEA" w14:textId="77777777" w:rsidR="00BE5B7D" w:rsidRPr="008C2DE1" w:rsidRDefault="00BE5B7D" w:rsidP="0095353A">
      <w:pPr>
        <w:pStyle w:val="FootnoteText"/>
        <w:rPr>
          <w:sz w:val="18"/>
          <w:szCs w:val="18"/>
        </w:rPr>
      </w:pPr>
      <w:r w:rsidRPr="008C2DE1">
        <w:rPr>
          <w:rStyle w:val="FootnoteReference"/>
          <w:sz w:val="18"/>
          <w:szCs w:val="18"/>
        </w:rPr>
        <w:footnoteRef/>
      </w:r>
      <w:r w:rsidRPr="008C2DE1">
        <w:rPr>
          <w:sz w:val="18"/>
          <w:szCs w:val="18"/>
        </w:rPr>
        <w:t xml:space="preserve"> </w:t>
      </w:r>
      <w:hyperlink r:id="rId12" w:history="1">
        <w:r w:rsidRPr="008C2DE1">
          <w:rPr>
            <w:rStyle w:val="Hyperlink"/>
            <w:sz w:val="18"/>
            <w:szCs w:val="18"/>
          </w:rPr>
          <w:t>https://www.nysenate.gov/legislation/bills/2019/s6458</w:t>
        </w:r>
      </w:hyperlink>
      <w:r w:rsidRPr="008C2DE1">
        <w:rPr>
          <w:sz w:val="18"/>
          <w:szCs w:val="18"/>
        </w:rPr>
        <w:t xml:space="preserve"> </w:t>
      </w:r>
    </w:p>
  </w:footnote>
  <w:footnote w:id="45">
    <w:p w14:paraId="20F5CA7E" w14:textId="77777777" w:rsidR="00BE5B7D" w:rsidRPr="008C2DE1" w:rsidRDefault="00BE5B7D" w:rsidP="0095353A">
      <w:pPr>
        <w:pStyle w:val="FootnoteText"/>
        <w:rPr>
          <w:sz w:val="18"/>
          <w:szCs w:val="18"/>
        </w:rPr>
      </w:pPr>
      <w:r w:rsidRPr="008C2DE1">
        <w:rPr>
          <w:rStyle w:val="FootnoteReference"/>
          <w:sz w:val="18"/>
          <w:szCs w:val="18"/>
        </w:rPr>
        <w:footnoteRef/>
      </w:r>
      <w:r w:rsidRPr="008C2DE1">
        <w:rPr>
          <w:sz w:val="18"/>
          <w:szCs w:val="18"/>
        </w:rPr>
        <w:t xml:space="preserve"> </w:t>
      </w:r>
      <w:hyperlink r:id="rId13" w:history="1">
        <w:r w:rsidRPr="008C2DE1">
          <w:rPr>
            <w:rStyle w:val="Hyperlink"/>
            <w:sz w:val="18"/>
            <w:szCs w:val="18"/>
          </w:rPr>
          <w:t>https://www.villagevoice.com/2017/07/06/preferential-rent-how-landlords-kill-nycs-affordable-apartments-and-get-away-with-it/</w:t>
        </w:r>
      </w:hyperlink>
      <w:r w:rsidRPr="008C2DE1">
        <w:rPr>
          <w:sz w:val="18"/>
          <w:szCs w:val="18"/>
        </w:rPr>
        <w:t xml:space="preserve"> </w:t>
      </w:r>
    </w:p>
  </w:footnote>
  <w:footnote w:id="46">
    <w:p w14:paraId="10660231" w14:textId="77777777" w:rsidR="00BE5B7D" w:rsidRPr="009A52EF" w:rsidRDefault="00BE5B7D" w:rsidP="0095353A">
      <w:pPr>
        <w:pStyle w:val="FootnoteText"/>
        <w:rPr>
          <w:sz w:val="18"/>
          <w:szCs w:val="18"/>
        </w:rPr>
      </w:pPr>
      <w:r w:rsidRPr="008C2DE1">
        <w:rPr>
          <w:rStyle w:val="FootnoteReference"/>
          <w:sz w:val="18"/>
          <w:szCs w:val="18"/>
        </w:rPr>
        <w:footnoteRef/>
      </w:r>
      <w:r w:rsidRPr="008C2DE1">
        <w:rPr>
          <w:sz w:val="18"/>
          <w:szCs w:val="18"/>
        </w:rPr>
        <w:t xml:space="preserve"> </w:t>
      </w:r>
      <w:hyperlink r:id="rId14" w:history="1">
        <w:r w:rsidRPr="008C2DE1">
          <w:rPr>
            <w:rStyle w:val="Hyperlink"/>
            <w:sz w:val="18"/>
            <w:szCs w:val="18"/>
          </w:rPr>
          <w:t>NYC 2021 Budget Cuts HPD Capital Funding by 40 Percent (therealdeal.com)</w:t>
        </w:r>
      </w:hyperlink>
    </w:p>
  </w:footnote>
  <w:footnote w:id="47">
    <w:p w14:paraId="346ED10B" w14:textId="77777777" w:rsidR="00BE5B7D" w:rsidRPr="008C2DE1" w:rsidRDefault="00BE5B7D" w:rsidP="0095353A">
      <w:pPr>
        <w:pStyle w:val="FootnoteText"/>
        <w:rPr>
          <w:sz w:val="18"/>
          <w:szCs w:val="18"/>
        </w:rPr>
      </w:pPr>
      <w:r w:rsidRPr="008C2DE1">
        <w:rPr>
          <w:rStyle w:val="FootnoteReference"/>
          <w:sz w:val="18"/>
          <w:szCs w:val="18"/>
        </w:rPr>
        <w:footnoteRef/>
      </w:r>
      <w:r w:rsidRPr="008C2DE1">
        <w:rPr>
          <w:sz w:val="18"/>
          <w:szCs w:val="18"/>
        </w:rPr>
        <w:t xml:space="preserve"> </w:t>
      </w:r>
      <w:hyperlink r:id="rId15" w:history="1">
        <w:r w:rsidRPr="008C2DE1">
          <w:rPr>
            <w:rStyle w:val="Hyperlink"/>
            <w:sz w:val="18"/>
            <w:szCs w:val="18"/>
          </w:rPr>
          <w:t>https://www.nysenate.gov/legislation/bills/2019/s6458</w:t>
        </w:r>
      </w:hyperlink>
      <w:r w:rsidRPr="008C2DE1">
        <w:rPr>
          <w:sz w:val="18"/>
          <w:szCs w:val="18"/>
        </w:rPr>
        <w:t xml:space="preserve"> </w:t>
      </w:r>
    </w:p>
  </w:footnote>
  <w:footnote w:id="48">
    <w:p w14:paraId="1A56522A" w14:textId="77777777" w:rsidR="00BE5B7D" w:rsidRPr="00402629" w:rsidRDefault="00BE5B7D" w:rsidP="0095353A">
      <w:pPr>
        <w:pStyle w:val="FootnoteText"/>
        <w:rPr>
          <w:sz w:val="18"/>
          <w:szCs w:val="18"/>
        </w:rPr>
      </w:pPr>
      <w:r w:rsidRPr="008C2DE1">
        <w:rPr>
          <w:rStyle w:val="FootnoteReference"/>
          <w:sz w:val="18"/>
          <w:szCs w:val="18"/>
        </w:rPr>
        <w:footnoteRef/>
      </w:r>
      <w:r w:rsidRPr="008C2DE1">
        <w:rPr>
          <w:sz w:val="18"/>
          <w:szCs w:val="18"/>
        </w:rPr>
        <w:t xml:space="preserve"> </w:t>
      </w:r>
      <w:hyperlink r:id="rId16" w:history="1">
        <w:r w:rsidRPr="008C2DE1">
          <w:rPr>
            <w:rStyle w:val="Hyperlink"/>
            <w:sz w:val="18"/>
            <w:szCs w:val="18"/>
          </w:rPr>
          <w:t>https://www.nonfictionfilm.com/news/now-streaming-netflix-documentary-slumlord-millionaire-takes-apart-jared-kushner</w:t>
        </w:r>
      </w:hyperlink>
      <w:r w:rsidRPr="00402629">
        <w:rPr>
          <w:sz w:val="18"/>
          <w:szCs w:val="18"/>
        </w:rPr>
        <w:t xml:space="preserve"> </w:t>
      </w:r>
    </w:p>
  </w:footnote>
  <w:footnote w:id="49">
    <w:p w14:paraId="7C9ACD73" w14:textId="77777777" w:rsidR="00BE5B7D" w:rsidRPr="00402629" w:rsidRDefault="00BE5B7D" w:rsidP="0095353A">
      <w:pPr>
        <w:pStyle w:val="FootnoteText"/>
        <w:rPr>
          <w:sz w:val="18"/>
          <w:szCs w:val="18"/>
        </w:rPr>
      </w:pPr>
      <w:r w:rsidRPr="00402629">
        <w:rPr>
          <w:rStyle w:val="FootnoteReference"/>
          <w:sz w:val="18"/>
          <w:szCs w:val="18"/>
        </w:rPr>
        <w:footnoteRef/>
      </w:r>
      <w:r w:rsidRPr="00402629">
        <w:rPr>
          <w:sz w:val="18"/>
          <w:szCs w:val="18"/>
        </w:rPr>
        <w:t xml:space="preserve"> </w:t>
      </w:r>
      <w:hyperlink r:id="rId17" w:history="1">
        <w:r w:rsidRPr="00402629">
          <w:rPr>
            <w:rStyle w:val="Hyperlink"/>
            <w:sz w:val="18"/>
            <w:szCs w:val="18"/>
          </w:rPr>
          <w:t>https://hcr.ny.gov/section-8-housing-choice-voucher-hcv-program</w:t>
        </w:r>
      </w:hyperlink>
      <w:r w:rsidRPr="00402629">
        <w:rPr>
          <w:sz w:val="18"/>
          <w:szCs w:val="18"/>
        </w:rPr>
        <w:t xml:space="preserve"> </w:t>
      </w:r>
    </w:p>
  </w:footnote>
  <w:footnote w:id="50">
    <w:p w14:paraId="59C8BDD2" w14:textId="77777777" w:rsidR="00BE5B7D" w:rsidRDefault="00BE5B7D" w:rsidP="0095353A">
      <w:pPr>
        <w:pStyle w:val="FootnoteText"/>
      </w:pPr>
      <w:r>
        <w:rPr>
          <w:rStyle w:val="FootnoteReference"/>
        </w:rPr>
        <w:footnoteRef/>
      </w:r>
      <w:r>
        <w:t xml:space="preserve"> Fannie Mae &amp; Freddie Mac would be excellent, including in providing loan approval amount oversight</w:t>
      </w:r>
    </w:p>
  </w:footnote>
  <w:footnote w:id="51">
    <w:p w14:paraId="052703AC" w14:textId="77777777" w:rsidR="00BE5B7D" w:rsidRPr="00402629" w:rsidRDefault="00BE5B7D" w:rsidP="0095353A">
      <w:pPr>
        <w:pStyle w:val="FootnoteText"/>
        <w:rPr>
          <w:sz w:val="18"/>
          <w:szCs w:val="18"/>
        </w:rPr>
      </w:pPr>
      <w:r w:rsidRPr="00402629">
        <w:rPr>
          <w:rStyle w:val="FootnoteReference"/>
          <w:sz w:val="18"/>
          <w:szCs w:val="18"/>
        </w:rPr>
        <w:footnoteRef/>
      </w:r>
      <w:r w:rsidRPr="00402629">
        <w:rPr>
          <w:sz w:val="18"/>
          <w:szCs w:val="18"/>
        </w:rPr>
        <w:t xml:space="preserve"> </w:t>
      </w:r>
      <w:hyperlink r:id="rId18" w:history="1">
        <w:r w:rsidRPr="00DC66B7">
          <w:rPr>
            <w:rStyle w:val="Hyperlink"/>
            <w:rFonts w:cstheme="minorHAnsi"/>
            <w:sz w:val="18"/>
            <w:szCs w:val="18"/>
          </w:rPr>
          <w:t>The Mirage of Affordable Housing in New York City.pdf</w:t>
        </w:r>
      </w:hyperlink>
      <w:r w:rsidRPr="00DC66B7">
        <w:rPr>
          <w:rFonts w:cstheme="minorHAnsi"/>
          <w:sz w:val="18"/>
          <w:szCs w:val="18"/>
        </w:rPr>
        <w:t xml:space="preserve"> (p.2)</w:t>
      </w:r>
    </w:p>
  </w:footnote>
  <w:footnote w:id="52">
    <w:p w14:paraId="44C4A3EB" w14:textId="77777777" w:rsidR="00BE5B7D" w:rsidRPr="00402629" w:rsidRDefault="00BE5B7D" w:rsidP="0095353A">
      <w:pPr>
        <w:pStyle w:val="FootnoteText"/>
        <w:rPr>
          <w:sz w:val="18"/>
          <w:szCs w:val="18"/>
        </w:rPr>
      </w:pPr>
      <w:r w:rsidRPr="00402629">
        <w:rPr>
          <w:rStyle w:val="FootnoteReference"/>
          <w:sz w:val="18"/>
          <w:szCs w:val="18"/>
        </w:rPr>
        <w:footnoteRef/>
      </w:r>
      <w:r w:rsidRPr="00402629">
        <w:rPr>
          <w:sz w:val="18"/>
          <w:szCs w:val="18"/>
        </w:rPr>
        <w:t xml:space="preserve"> </w:t>
      </w:r>
      <w:hyperlink r:id="rId19" w:anchor=":~:text=In%20all%2C%20the%20tax%20breaks,analysis%20by%20the%20New%20School" w:history="1">
        <w:r w:rsidRPr="00402629">
          <w:rPr>
            <w:rStyle w:val="Hyperlink"/>
            <w:sz w:val="18"/>
            <w:szCs w:val="18"/>
          </w:rPr>
          <w:t>https://www.nytimes.com/2019/03/09/nyregion/hudson-yards-new-york-tax-breaks.html#:~:text=In%20all%2C%20the%20tax%20breaks,analysis%20by%20the%20New%20School</w:t>
        </w:r>
      </w:hyperlink>
      <w:r w:rsidRPr="00402629">
        <w:rPr>
          <w:sz w:val="18"/>
          <w:szCs w:val="18"/>
        </w:rPr>
        <w:t xml:space="preserve">. </w:t>
      </w:r>
    </w:p>
  </w:footnote>
  <w:footnote w:id="53">
    <w:p w14:paraId="46D13E52" w14:textId="77777777" w:rsidR="00BE5B7D" w:rsidRPr="00DF34C0" w:rsidRDefault="00BE5B7D" w:rsidP="0095353A">
      <w:pPr>
        <w:pStyle w:val="FootnoteText"/>
        <w:rPr>
          <w:sz w:val="18"/>
          <w:szCs w:val="18"/>
        </w:rPr>
      </w:pPr>
      <w:r w:rsidRPr="00DF34C0">
        <w:rPr>
          <w:rStyle w:val="FootnoteReference"/>
          <w:sz w:val="18"/>
          <w:szCs w:val="18"/>
        </w:rPr>
        <w:footnoteRef/>
      </w:r>
      <w:r w:rsidRPr="00DF34C0">
        <w:rPr>
          <w:sz w:val="18"/>
          <w:szCs w:val="18"/>
        </w:rPr>
        <w:t xml:space="preserve"> </w:t>
      </w:r>
      <w:hyperlink r:id="rId20" w:history="1">
        <w:r w:rsidRPr="00DF34C0">
          <w:rPr>
            <w:rStyle w:val="Hyperlink"/>
            <w:sz w:val="18"/>
            <w:szCs w:val="18"/>
          </w:rPr>
          <w:t>https://www.thecity.nyc/housing/2019/9/30/21210801/new-rent-law-deluges-backlogged-tenant-overcharge-claims</w:t>
        </w:r>
      </w:hyperlink>
      <w:r w:rsidRPr="00DF34C0">
        <w:rPr>
          <w:sz w:val="18"/>
          <w:szCs w:val="18"/>
        </w:rPr>
        <w:t xml:space="preserve"> </w:t>
      </w:r>
    </w:p>
  </w:footnote>
  <w:footnote w:id="54">
    <w:p w14:paraId="6450A25C" w14:textId="3D05E3D9" w:rsidR="00BE5B7D" w:rsidRPr="00DF34C0" w:rsidRDefault="00BE5B7D" w:rsidP="0095353A">
      <w:pPr>
        <w:pStyle w:val="FootnoteText"/>
        <w:rPr>
          <w:sz w:val="18"/>
          <w:szCs w:val="18"/>
        </w:rPr>
      </w:pPr>
      <w:r w:rsidRPr="00DF34C0">
        <w:rPr>
          <w:rStyle w:val="FootnoteReference"/>
          <w:sz w:val="18"/>
          <w:szCs w:val="18"/>
        </w:rPr>
        <w:footnoteRef/>
      </w:r>
      <w:r w:rsidRPr="00DF34C0">
        <w:rPr>
          <w:sz w:val="18"/>
          <w:szCs w:val="18"/>
        </w:rPr>
        <w:t xml:space="preserve"> rent overcharge cases</w:t>
      </w:r>
      <w:r>
        <w:rPr>
          <w:sz w:val="18"/>
          <w:szCs w:val="18"/>
        </w:rPr>
        <w:t xml:space="preserve"> at </w:t>
      </w:r>
      <w:r w:rsidR="0075351E">
        <w:rPr>
          <w:sz w:val="18"/>
          <w:szCs w:val="18"/>
        </w:rPr>
        <w:t>Disp</w:t>
      </w:r>
      <w:r>
        <w:rPr>
          <w:sz w:val="18"/>
          <w:szCs w:val="18"/>
        </w:rPr>
        <w:t>HCR</w:t>
      </w:r>
      <w:r w:rsidRPr="00DF34C0">
        <w:rPr>
          <w:sz w:val="18"/>
          <w:szCs w:val="18"/>
        </w:rPr>
        <w:t xml:space="preserve"> currently take an average of 24 months to complete</w:t>
      </w:r>
    </w:p>
  </w:footnote>
  <w:footnote w:id="55">
    <w:p w14:paraId="047183B5" w14:textId="77777777" w:rsidR="00BE5B7D" w:rsidRPr="00DF34C0" w:rsidRDefault="00BE5B7D" w:rsidP="0095353A">
      <w:pPr>
        <w:pStyle w:val="FootnoteText"/>
        <w:rPr>
          <w:sz w:val="18"/>
          <w:szCs w:val="18"/>
        </w:rPr>
      </w:pPr>
      <w:r w:rsidRPr="00DF34C0">
        <w:rPr>
          <w:rStyle w:val="FootnoteReference"/>
          <w:sz w:val="18"/>
          <w:szCs w:val="18"/>
        </w:rPr>
        <w:footnoteRef/>
      </w:r>
      <w:r w:rsidRPr="00DF34C0">
        <w:rPr>
          <w:sz w:val="18"/>
          <w:szCs w:val="18"/>
        </w:rPr>
        <w:t xml:space="preserve"> </w:t>
      </w:r>
      <w:hyperlink r:id="rId21" w:history="1">
        <w:r w:rsidRPr="00DF34C0">
          <w:rPr>
            <w:rStyle w:val="Hyperlink"/>
            <w:sz w:val="18"/>
            <w:szCs w:val="18"/>
          </w:rPr>
          <w:t>https://www.nytimes.com/2020/12/04/nyregion/coronavirus-nyc-nycha-gas.html?searchResultPosition=1</w:t>
        </w:r>
      </w:hyperlink>
      <w:r w:rsidRPr="00DF34C0">
        <w:rPr>
          <w:sz w:val="18"/>
          <w:szCs w:val="18"/>
        </w:rPr>
        <w:t xml:space="preserve"> </w:t>
      </w:r>
    </w:p>
  </w:footnote>
  <w:footnote w:id="56">
    <w:p w14:paraId="11D679E5" w14:textId="77777777" w:rsidR="00BE5B7D" w:rsidRPr="00DF34C0" w:rsidRDefault="00BE5B7D" w:rsidP="0095353A">
      <w:pPr>
        <w:pStyle w:val="FootnoteText"/>
        <w:rPr>
          <w:sz w:val="18"/>
          <w:szCs w:val="18"/>
        </w:rPr>
      </w:pPr>
      <w:r w:rsidRPr="00DF34C0">
        <w:rPr>
          <w:rStyle w:val="FootnoteReference"/>
          <w:sz w:val="18"/>
          <w:szCs w:val="18"/>
        </w:rPr>
        <w:footnoteRef/>
      </w:r>
      <w:r w:rsidRPr="00DF34C0">
        <w:rPr>
          <w:sz w:val="18"/>
          <w:szCs w:val="18"/>
        </w:rPr>
        <w:t xml:space="preserve"> </w:t>
      </w:r>
      <w:hyperlink r:id="rId22" w:history="1">
        <w:r w:rsidRPr="00DF34C0">
          <w:rPr>
            <w:rStyle w:val="Hyperlink"/>
            <w:sz w:val="18"/>
            <w:szCs w:val="18"/>
          </w:rPr>
          <w:t>https://www.nytimes.com/2020/12/15/nyregion/nyc-public-housing-coronavirus.html?searchResultPosition=3</w:t>
        </w:r>
      </w:hyperlink>
      <w:r w:rsidRPr="00DF34C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E7D3" w14:textId="0FD96952" w:rsidR="00BE5B7D" w:rsidRDefault="00BE5B7D" w:rsidP="00B3046B">
    <w:pPr>
      <w:pStyle w:val="Header"/>
    </w:pPr>
    <w:r>
      <w:t>Priti Bali-Kahn Thesis Proposal – Main Concept Paper</w:t>
    </w:r>
  </w:p>
  <w:p w14:paraId="2D36A8A7" w14:textId="77777777" w:rsidR="00BE5B7D" w:rsidRDefault="00BE5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201"/>
    <w:multiLevelType w:val="hybridMultilevel"/>
    <w:tmpl w:val="99EEB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93E4E"/>
    <w:multiLevelType w:val="hybridMultilevel"/>
    <w:tmpl w:val="8AAA12CE"/>
    <w:lvl w:ilvl="0" w:tplc="07A6C7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B14193"/>
    <w:multiLevelType w:val="hybridMultilevel"/>
    <w:tmpl w:val="3420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32782"/>
    <w:multiLevelType w:val="hybridMultilevel"/>
    <w:tmpl w:val="F8404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106A27"/>
    <w:multiLevelType w:val="hybridMultilevel"/>
    <w:tmpl w:val="D6728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F2C6E"/>
    <w:multiLevelType w:val="hybridMultilevel"/>
    <w:tmpl w:val="B69CF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44C80"/>
    <w:multiLevelType w:val="multilevel"/>
    <w:tmpl w:val="213EA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5185C"/>
    <w:multiLevelType w:val="hybridMultilevel"/>
    <w:tmpl w:val="0230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66F37"/>
    <w:multiLevelType w:val="hybridMultilevel"/>
    <w:tmpl w:val="1F9CFF9A"/>
    <w:lvl w:ilvl="0" w:tplc="98B00884">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283C303E"/>
    <w:multiLevelType w:val="hybridMultilevel"/>
    <w:tmpl w:val="AC1AD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41DFD"/>
    <w:multiLevelType w:val="hybridMultilevel"/>
    <w:tmpl w:val="92D45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14420"/>
    <w:multiLevelType w:val="multilevel"/>
    <w:tmpl w:val="6B88C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47A2B"/>
    <w:multiLevelType w:val="hybridMultilevel"/>
    <w:tmpl w:val="AEB62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E6DB9"/>
    <w:multiLevelType w:val="hybridMultilevel"/>
    <w:tmpl w:val="9A843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14220"/>
    <w:multiLevelType w:val="hybridMultilevel"/>
    <w:tmpl w:val="FE20B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D363C"/>
    <w:multiLevelType w:val="hybridMultilevel"/>
    <w:tmpl w:val="5E36C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8301CC"/>
    <w:multiLevelType w:val="hybridMultilevel"/>
    <w:tmpl w:val="844CE6B4"/>
    <w:lvl w:ilvl="0" w:tplc="BFCEB6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0425EDD"/>
    <w:multiLevelType w:val="hybridMultilevel"/>
    <w:tmpl w:val="2474EE36"/>
    <w:lvl w:ilvl="0" w:tplc="BFCEB6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D8A7367"/>
    <w:multiLevelType w:val="hybridMultilevel"/>
    <w:tmpl w:val="A428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165C1"/>
    <w:multiLevelType w:val="hybridMultilevel"/>
    <w:tmpl w:val="296C7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60F69"/>
    <w:multiLevelType w:val="hybridMultilevel"/>
    <w:tmpl w:val="9EBAC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2342D"/>
    <w:multiLevelType w:val="hybridMultilevel"/>
    <w:tmpl w:val="EDA46492"/>
    <w:lvl w:ilvl="0" w:tplc="38B02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465EF4"/>
    <w:multiLevelType w:val="hybridMultilevel"/>
    <w:tmpl w:val="2B6E7F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1E17D2"/>
    <w:multiLevelType w:val="hybridMultilevel"/>
    <w:tmpl w:val="2612F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D233B"/>
    <w:multiLevelType w:val="hybridMultilevel"/>
    <w:tmpl w:val="6396D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60B9E"/>
    <w:multiLevelType w:val="hybridMultilevel"/>
    <w:tmpl w:val="1EA025A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514025"/>
    <w:multiLevelType w:val="hybridMultilevel"/>
    <w:tmpl w:val="B1E8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21"/>
  </w:num>
  <w:num w:numId="4">
    <w:abstractNumId w:val="5"/>
  </w:num>
  <w:num w:numId="5">
    <w:abstractNumId w:val="9"/>
  </w:num>
  <w:num w:numId="6">
    <w:abstractNumId w:val="26"/>
  </w:num>
  <w:num w:numId="7">
    <w:abstractNumId w:val="18"/>
  </w:num>
  <w:num w:numId="8">
    <w:abstractNumId w:val="4"/>
  </w:num>
  <w:num w:numId="9">
    <w:abstractNumId w:val="2"/>
  </w:num>
  <w:num w:numId="10">
    <w:abstractNumId w:val="13"/>
  </w:num>
  <w:num w:numId="11">
    <w:abstractNumId w:val="12"/>
  </w:num>
  <w:num w:numId="12">
    <w:abstractNumId w:val="7"/>
  </w:num>
  <w:num w:numId="13">
    <w:abstractNumId w:val="14"/>
  </w:num>
  <w:num w:numId="14">
    <w:abstractNumId w:val="19"/>
  </w:num>
  <w:num w:numId="15">
    <w:abstractNumId w:val="20"/>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22"/>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F30"/>
    <w:rsid w:val="00000073"/>
    <w:rsid w:val="000008D7"/>
    <w:rsid w:val="00000A31"/>
    <w:rsid w:val="00001BA8"/>
    <w:rsid w:val="0000718F"/>
    <w:rsid w:val="00007836"/>
    <w:rsid w:val="000104B0"/>
    <w:rsid w:val="00011C1F"/>
    <w:rsid w:val="00016F09"/>
    <w:rsid w:val="000206A6"/>
    <w:rsid w:val="00024EAB"/>
    <w:rsid w:val="000264EE"/>
    <w:rsid w:val="00030D31"/>
    <w:rsid w:val="00030D8D"/>
    <w:rsid w:val="00031B18"/>
    <w:rsid w:val="00036A5E"/>
    <w:rsid w:val="00036AEF"/>
    <w:rsid w:val="00042702"/>
    <w:rsid w:val="00043BC9"/>
    <w:rsid w:val="0004461A"/>
    <w:rsid w:val="000475D9"/>
    <w:rsid w:val="00047781"/>
    <w:rsid w:val="0005692E"/>
    <w:rsid w:val="00056AA3"/>
    <w:rsid w:val="000573D3"/>
    <w:rsid w:val="0006102F"/>
    <w:rsid w:val="0006295E"/>
    <w:rsid w:val="00062B76"/>
    <w:rsid w:val="000645FF"/>
    <w:rsid w:val="000655A1"/>
    <w:rsid w:val="00067DAB"/>
    <w:rsid w:val="000702EE"/>
    <w:rsid w:val="00071232"/>
    <w:rsid w:val="000731D4"/>
    <w:rsid w:val="000754D8"/>
    <w:rsid w:val="00077C60"/>
    <w:rsid w:val="00077E47"/>
    <w:rsid w:val="000805CF"/>
    <w:rsid w:val="00082AC2"/>
    <w:rsid w:val="0008336F"/>
    <w:rsid w:val="0008432F"/>
    <w:rsid w:val="00087529"/>
    <w:rsid w:val="000927C0"/>
    <w:rsid w:val="00092FED"/>
    <w:rsid w:val="00095285"/>
    <w:rsid w:val="00095F1F"/>
    <w:rsid w:val="000975D1"/>
    <w:rsid w:val="000A1E02"/>
    <w:rsid w:val="000A2351"/>
    <w:rsid w:val="000A25FF"/>
    <w:rsid w:val="000A2A9E"/>
    <w:rsid w:val="000A2DF2"/>
    <w:rsid w:val="000A2EDC"/>
    <w:rsid w:val="000A5AC3"/>
    <w:rsid w:val="000A62C7"/>
    <w:rsid w:val="000A74BE"/>
    <w:rsid w:val="000A753A"/>
    <w:rsid w:val="000B1A3C"/>
    <w:rsid w:val="000B24A5"/>
    <w:rsid w:val="000B26A5"/>
    <w:rsid w:val="000B321D"/>
    <w:rsid w:val="000B4340"/>
    <w:rsid w:val="000B55C5"/>
    <w:rsid w:val="000B732E"/>
    <w:rsid w:val="000C102C"/>
    <w:rsid w:val="000C10AA"/>
    <w:rsid w:val="000C3ADD"/>
    <w:rsid w:val="000C4A9B"/>
    <w:rsid w:val="000C76DC"/>
    <w:rsid w:val="000D19F0"/>
    <w:rsid w:val="000D1A4E"/>
    <w:rsid w:val="000D7B21"/>
    <w:rsid w:val="000E1198"/>
    <w:rsid w:val="000E1F43"/>
    <w:rsid w:val="000E568E"/>
    <w:rsid w:val="000E78E2"/>
    <w:rsid w:val="000F2D90"/>
    <w:rsid w:val="000F30A0"/>
    <w:rsid w:val="000F62A1"/>
    <w:rsid w:val="000F6D49"/>
    <w:rsid w:val="001002AE"/>
    <w:rsid w:val="00101E92"/>
    <w:rsid w:val="00102799"/>
    <w:rsid w:val="00104D17"/>
    <w:rsid w:val="00104E43"/>
    <w:rsid w:val="00110AC5"/>
    <w:rsid w:val="001135EA"/>
    <w:rsid w:val="00113F1C"/>
    <w:rsid w:val="0011778B"/>
    <w:rsid w:val="00122C2B"/>
    <w:rsid w:val="00122F20"/>
    <w:rsid w:val="00123DDB"/>
    <w:rsid w:val="00132277"/>
    <w:rsid w:val="00133FEE"/>
    <w:rsid w:val="00134B85"/>
    <w:rsid w:val="00137E4A"/>
    <w:rsid w:val="00141185"/>
    <w:rsid w:val="001427EF"/>
    <w:rsid w:val="00143DBD"/>
    <w:rsid w:val="0014456F"/>
    <w:rsid w:val="00147908"/>
    <w:rsid w:val="00147F86"/>
    <w:rsid w:val="00150C44"/>
    <w:rsid w:val="00152D6A"/>
    <w:rsid w:val="00154D28"/>
    <w:rsid w:val="00155004"/>
    <w:rsid w:val="00156B20"/>
    <w:rsid w:val="00160C35"/>
    <w:rsid w:val="00161F59"/>
    <w:rsid w:val="001632E7"/>
    <w:rsid w:val="001639ED"/>
    <w:rsid w:val="00164DB3"/>
    <w:rsid w:val="001658CA"/>
    <w:rsid w:val="00166970"/>
    <w:rsid w:val="00170919"/>
    <w:rsid w:val="00170F26"/>
    <w:rsid w:val="00172BD4"/>
    <w:rsid w:val="00173071"/>
    <w:rsid w:val="00180B07"/>
    <w:rsid w:val="00183C58"/>
    <w:rsid w:val="001840D6"/>
    <w:rsid w:val="001858F1"/>
    <w:rsid w:val="0019185A"/>
    <w:rsid w:val="00192292"/>
    <w:rsid w:val="00194349"/>
    <w:rsid w:val="001A788C"/>
    <w:rsid w:val="001B402B"/>
    <w:rsid w:val="001B5411"/>
    <w:rsid w:val="001B5EEC"/>
    <w:rsid w:val="001C2E07"/>
    <w:rsid w:val="001C50BF"/>
    <w:rsid w:val="001D25B0"/>
    <w:rsid w:val="001D2B81"/>
    <w:rsid w:val="001D3227"/>
    <w:rsid w:val="001D59F3"/>
    <w:rsid w:val="001D7BD4"/>
    <w:rsid w:val="001E126A"/>
    <w:rsid w:val="001E6686"/>
    <w:rsid w:val="001E6B7A"/>
    <w:rsid w:val="001E7979"/>
    <w:rsid w:val="001F2222"/>
    <w:rsid w:val="001F236E"/>
    <w:rsid w:val="001F68E8"/>
    <w:rsid w:val="001F795A"/>
    <w:rsid w:val="00201B8E"/>
    <w:rsid w:val="00203A06"/>
    <w:rsid w:val="002053D9"/>
    <w:rsid w:val="002055BC"/>
    <w:rsid w:val="00205C82"/>
    <w:rsid w:val="0020740B"/>
    <w:rsid w:val="00212CAE"/>
    <w:rsid w:val="002132EE"/>
    <w:rsid w:val="002155DF"/>
    <w:rsid w:val="002200E3"/>
    <w:rsid w:val="00220130"/>
    <w:rsid w:val="002245A3"/>
    <w:rsid w:val="00225050"/>
    <w:rsid w:val="002307DB"/>
    <w:rsid w:val="002314C5"/>
    <w:rsid w:val="002320CF"/>
    <w:rsid w:val="0023415A"/>
    <w:rsid w:val="0023461B"/>
    <w:rsid w:val="00235788"/>
    <w:rsid w:val="002372C3"/>
    <w:rsid w:val="002402E1"/>
    <w:rsid w:val="00241828"/>
    <w:rsid w:val="002428DC"/>
    <w:rsid w:val="00242A1C"/>
    <w:rsid w:val="00243F77"/>
    <w:rsid w:val="00245C33"/>
    <w:rsid w:val="002506F3"/>
    <w:rsid w:val="00251B3D"/>
    <w:rsid w:val="00252952"/>
    <w:rsid w:val="00252EBE"/>
    <w:rsid w:val="00253980"/>
    <w:rsid w:val="002543CA"/>
    <w:rsid w:val="002544BF"/>
    <w:rsid w:val="00256A5C"/>
    <w:rsid w:val="00257712"/>
    <w:rsid w:val="00264C3F"/>
    <w:rsid w:val="00267887"/>
    <w:rsid w:val="002705ED"/>
    <w:rsid w:val="00270FEA"/>
    <w:rsid w:val="00271200"/>
    <w:rsid w:val="00271E0C"/>
    <w:rsid w:val="00271F43"/>
    <w:rsid w:val="0027492A"/>
    <w:rsid w:val="00275FEB"/>
    <w:rsid w:val="002774DC"/>
    <w:rsid w:val="00280035"/>
    <w:rsid w:val="002828FF"/>
    <w:rsid w:val="00282BAB"/>
    <w:rsid w:val="002839EF"/>
    <w:rsid w:val="002846B0"/>
    <w:rsid w:val="00287C94"/>
    <w:rsid w:val="00290FAA"/>
    <w:rsid w:val="00292963"/>
    <w:rsid w:val="002945CA"/>
    <w:rsid w:val="002970C3"/>
    <w:rsid w:val="002A09CD"/>
    <w:rsid w:val="002A3D9A"/>
    <w:rsid w:val="002A4429"/>
    <w:rsid w:val="002A5335"/>
    <w:rsid w:val="002A5A03"/>
    <w:rsid w:val="002A6F5B"/>
    <w:rsid w:val="002A7283"/>
    <w:rsid w:val="002A774D"/>
    <w:rsid w:val="002B35A7"/>
    <w:rsid w:val="002B494C"/>
    <w:rsid w:val="002B7FF4"/>
    <w:rsid w:val="002C12EE"/>
    <w:rsid w:val="002C2E7F"/>
    <w:rsid w:val="002C55DF"/>
    <w:rsid w:val="002C74F0"/>
    <w:rsid w:val="002D0651"/>
    <w:rsid w:val="002D1B5F"/>
    <w:rsid w:val="002D367F"/>
    <w:rsid w:val="002D565A"/>
    <w:rsid w:val="002D66B3"/>
    <w:rsid w:val="002E0C26"/>
    <w:rsid w:val="002E2822"/>
    <w:rsid w:val="002E4580"/>
    <w:rsid w:val="002E4F4B"/>
    <w:rsid w:val="002E7FB9"/>
    <w:rsid w:val="002E7FBB"/>
    <w:rsid w:val="002F298B"/>
    <w:rsid w:val="002F34CE"/>
    <w:rsid w:val="002F4813"/>
    <w:rsid w:val="002F4B01"/>
    <w:rsid w:val="002F6353"/>
    <w:rsid w:val="002F6AF0"/>
    <w:rsid w:val="00300AC0"/>
    <w:rsid w:val="00302344"/>
    <w:rsid w:val="00305C78"/>
    <w:rsid w:val="003065E3"/>
    <w:rsid w:val="00312491"/>
    <w:rsid w:val="00313E94"/>
    <w:rsid w:val="0031482C"/>
    <w:rsid w:val="0031660C"/>
    <w:rsid w:val="00316E61"/>
    <w:rsid w:val="00323EE7"/>
    <w:rsid w:val="00324F21"/>
    <w:rsid w:val="00325051"/>
    <w:rsid w:val="003251A5"/>
    <w:rsid w:val="00325E17"/>
    <w:rsid w:val="00327FCD"/>
    <w:rsid w:val="00333E5A"/>
    <w:rsid w:val="00334D12"/>
    <w:rsid w:val="00335022"/>
    <w:rsid w:val="00335439"/>
    <w:rsid w:val="003378BC"/>
    <w:rsid w:val="0034440A"/>
    <w:rsid w:val="003450C0"/>
    <w:rsid w:val="003503E4"/>
    <w:rsid w:val="00351388"/>
    <w:rsid w:val="00351C6D"/>
    <w:rsid w:val="00352FBA"/>
    <w:rsid w:val="00353531"/>
    <w:rsid w:val="0035366D"/>
    <w:rsid w:val="003538F9"/>
    <w:rsid w:val="00354013"/>
    <w:rsid w:val="00354714"/>
    <w:rsid w:val="00362FE0"/>
    <w:rsid w:val="00363DFB"/>
    <w:rsid w:val="00364CCD"/>
    <w:rsid w:val="00366CF7"/>
    <w:rsid w:val="00371B35"/>
    <w:rsid w:val="003735E8"/>
    <w:rsid w:val="00374B28"/>
    <w:rsid w:val="00376ACF"/>
    <w:rsid w:val="003824E0"/>
    <w:rsid w:val="00383599"/>
    <w:rsid w:val="003849DF"/>
    <w:rsid w:val="00384D31"/>
    <w:rsid w:val="00386D8F"/>
    <w:rsid w:val="00387D47"/>
    <w:rsid w:val="00391110"/>
    <w:rsid w:val="00391576"/>
    <w:rsid w:val="00391787"/>
    <w:rsid w:val="003A040E"/>
    <w:rsid w:val="003A0B07"/>
    <w:rsid w:val="003A287D"/>
    <w:rsid w:val="003A56BA"/>
    <w:rsid w:val="003A5AC7"/>
    <w:rsid w:val="003A7B59"/>
    <w:rsid w:val="003B1CBE"/>
    <w:rsid w:val="003B1D2A"/>
    <w:rsid w:val="003C0385"/>
    <w:rsid w:val="003C0C64"/>
    <w:rsid w:val="003C50E9"/>
    <w:rsid w:val="003C6CDC"/>
    <w:rsid w:val="003D0675"/>
    <w:rsid w:val="003D4969"/>
    <w:rsid w:val="003D690D"/>
    <w:rsid w:val="003E098E"/>
    <w:rsid w:val="003E1063"/>
    <w:rsid w:val="003E215C"/>
    <w:rsid w:val="003E3C0E"/>
    <w:rsid w:val="003E3EA3"/>
    <w:rsid w:val="003E3F30"/>
    <w:rsid w:val="003E67A8"/>
    <w:rsid w:val="003E7E6A"/>
    <w:rsid w:val="003F11F4"/>
    <w:rsid w:val="003F1283"/>
    <w:rsid w:val="003F238F"/>
    <w:rsid w:val="003F39E5"/>
    <w:rsid w:val="003F6401"/>
    <w:rsid w:val="0040173D"/>
    <w:rsid w:val="00402629"/>
    <w:rsid w:val="004048F8"/>
    <w:rsid w:val="00405DBD"/>
    <w:rsid w:val="00415D13"/>
    <w:rsid w:val="00416C50"/>
    <w:rsid w:val="00421A26"/>
    <w:rsid w:val="00421B55"/>
    <w:rsid w:val="0042382C"/>
    <w:rsid w:val="00424527"/>
    <w:rsid w:val="004256C2"/>
    <w:rsid w:val="004266AD"/>
    <w:rsid w:val="00427850"/>
    <w:rsid w:val="00430C8A"/>
    <w:rsid w:val="004347BB"/>
    <w:rsid w:val="00436B8F"/>
    <w:rsid w:val="00437CB3"/>
    <w:rsid w:val="004407E5"/>
    <w:rsid w:val="00447708"/>
    <w:rsid w:val="00450E5F"/>
    <w:rsid w:val="004536EF"/>
    <w:rsid w:val="00453A0F"/>
    <w:rsid w:val="00453F2B"/>
    <w:rsid w:val="004554E0"/>
    <w:rsid w:val="00455BC3"/>
    <w:rsid w:val="00457809"/>
    <w:rsid w:val="0045796A"/>
    <w:rsid w:val="00460DE8"/>
    <w:rsid w:val="0046135B"/>
    <w:rsid w:val="0046135E"/>
    <w:rsid w:val="00461FCA"/>
    <w:rsid w:val="004671D2"/>
    <w:rsid w:val="0047208A"/>
    <w:rsid w:val="00473D01"/>
    <w:rsid w:val="00480179"/>
    <w:rsid w:val="00480A43"/>
    <w:rsid w:val="004814FB"/>
    <w:rsid w:val="0048383F"/>
    <w:rsid w:val="00483F3A"/>
    <w:rsid w:val="00484556"/>
    <w:rsid w:val="00487B96"/>
    <w:rsid w:val="004907B4"/>
    <w:rsid w:val="0049245E"/>
    <w:rsid w:val="004951E8"/>
    <w:rsid w:val="0049538F"/>
    <w:rsid w:val="004A0CEE"/>
    <w:rsid w:val="004A517E"/>
    <w:rsid w:val="004A5ADE"/>
    <w:rsid w:val="004B2FFB"/>
    <w:rsid w:val="004B48F5"/>
    <w:rsid w:val="004B64F1"/>
    <w:rsid w:val="004B6C29"/>
    <w:rsid w:val="004C0DFD"/>
    <w:rsid w:val="004C262E"/>
    <w:rsid w:val="004C605A"/>
    <w:rsid w:val="004D0D4A"/>
    <w:rsid w:val="004D1E4F"/>
    <w:rsid w:val="004D4B5B"/>
    <w:rsid w:val="004D5F32"/>
    <w:rsid w:val="004D6EF8"/>
    <w:rsid w:val="004D7ADD"/>
    <w:rsid w:val="004E2249"/>
    <w:rsid w:val="004E2CC5"/>
    <w:rsid w:val="004E69D6"/>
    <w:rsid w:val="004E743B"/>
    <w:rsid w:val="004F0E8B"/>
    <w:rsid w:val="004F3E12"/>
    <w:rsid w:val="004F511E"/>
    <w:rsid w:val="004F5C60"/>
    <w:rsid w:val="004F6302"/>
    <w:rsid w:val="004F745B"/>
    <w:rsid w:val="004F7674"/>
    <w:rsid w:val="0050053D"/>
    <w:rsid w:val="00500CFF"/>
    <w:rsid w:val="0050231A"/>
    <w:rsid w:val="00502472"/>
    <w:rsid w:val="005026FD"/>
    <w:rsid w:val="00504B61"/>
    <w:rsid w:val="00505D94"/>
    <w:rsid w:val="00506D23"/>
    <w:rsid w:val="00510935"/>
    <w:rsid w:val="00510DA2"/>
    <w:rsid w:val="00517019"/>
    <w:rsid w:val="00517720"/>
    <w:rsid w:val="00517E40"/>
    <w:rsid w:val="00520A3F"/>
    <w:rsid w:val="0052226F"/>
    <w:rsid w:val="00523FEB"/>
    <w:rsid w:val="0053240E"/>
    <w:rsid w:val="00534EFD"/>
    <w:rsid w:val="00536D5A"/>
    <w:rsid w:val="005373E9"/>
    <w:rsid w:val="005379E0"/>
    <w:rsid w:val="00542045"/>
    <w:rsid w:val="00542154"/>
    <w:rsid w:val="0054363B"/>
    <w:rsid w:val="0054725C"/>
    <w:rsid w:val="00547519"/>
    <w:rsid w:val="0055041B"/>
    <w:rsid w:val="0055068F"/>
    <w:rsid w:val="005561EF"/>
    <w:rsid w:val="00557041"/>
    <w:rsid w:val="005572F4"/>
    <w:rsid w:val="00560EFB"/>
    <w:rsid w:val="00563E6B"/>
    <w:rsid w:val="00566649"/>
    <w:rsid w:val="00567B68"/>
    <w:rsid w:val="00570996"/>
    <w:rsid w:val="00571C0C"/>
    <w:rsid w:val="005737C9"/>
    <w:rsid w:val="00575485"/>
    <w:rsid w:val="00575D8C"/>
    <w:rsid w:val="00576AC5"/>
    <w:rsid w:val="005778ED"/>
    <w:rsid w:val="00582EC5"/>
    <w:rsid w:val="005830F3"/>
    <w:rsid w:val="00585F5B"/>
    <w:rsid w:val="00587E57"/>
    <w:rsid w:val="00590A01"/>
    <w:rsid w:val="00592E56"/>
    <w:rsid w:val="00593EB8"/>
    <w:rsid w:val="00595FB9"/>
    <w:rsid w:val="005A0F07"/>
    <w:rsid w:val="005A2257"/>
    <w:rsid w:val="005B1095"/>
    <w:rsid w:val="005B45EB"/>
    <w:rsid w:val="005B45FF"/>
    <w:rsid w:val="005B50CC"/>
    <w:rsid w:val="005C1222"/>
    <w:rsid w:val="005C2BCA"/>
    <w:rsid w:val="005C4221"/>
    <w:rsid w:val="005C47EA"/>
    <w:rsid w:val="005C5570"/>
    <w:rsid w:val="005C62B2"/>
    <w:rsid w:val="005C6AB3"/>
    <w:rsid w:val="005D1DBE"/>
    <w:rsid w:val="005D2319"/>
    <w:rsid w:val="005D25E2"/>
    <w:rsid w:val="005D262F"/>
    <w:rsid w:val="005D4A7C"/>
    <w:rsid w:val="005D4F08"/>
    <w:rsid w:val="005D6BB1"/>
    <w:rsid w:val="005D6DC2"/>
    <w:rsid w:val="005E0B23"/>
    <w:rsid w:val="005E1126"/>
    <w:rsid w:val="005E30BC"/>
    <w:rsid w:val="005E431A"/>
    <w:rsid w:val="005E6F75"/>
    <w:rsid w:val="005F672B"/>
    <w:rsid w:val="005F7582"/>
    <w:rsid w:val="00604AC1"/>
    <w:rsid w:val="0060624D"/>
    <w:rsid w:val="00606C19"/>
    <w:rsid w:val="0060708F"/>
    <w:rsid w:val="006072E6"/>
    <w:rsid w:val="00611364"/>
    <w:rsid w:val="00617FCA"/>
    <w:rsid w:val="00623E8A"/>
    <w:rsid w:val="006258C5"/>
    <w:rsid w:val="00625FE4"/>
    <w:rsid w:val="00626BEA"/>
    <w:rsid w:val="0062788E"/>
    <w:rsid w:val="006278A7"/>
    <w:rsid w:val="00631488"/>
    <w:rsid w:val="00631ACF"/>
    <w:rsid w:val="00633D35"/>
    <w:rsid w:val="006350E4"/>
    <w:rsid w:val="006371BC"/>
    <w:rsid w:val="006409E6"/>
    <w:rsid w:val="00642FC3"/>
    <w:rsid w:val="00650CDC"/>
    <w:rsid w:val="00653A61"/>
    <w:rsid w:val="00655260"/>
    <w:rsid w:val="0066286B"/>
    <w:rsid w:val="00663814"/>
    <w:rsid w:val="00673800"/>
    <w:rsid w:val="00674C54"/>
    <w:rsid w:val="00675921"/>
    <w:rsid w:val="006761DF"/>
    <w:rsid w:val="006768AE"/>
    <w:rsid w:val="00677955"/>
    <w:rsid w:val="006904E7"/>
    <w:rsid w:val="006907DE"/>
    <w:rsid w:val="00695959"/>
    <w:rsid w:val="00696C78"/>
    <w:rsid w:val="006A235B"/>
    <w:rsid w:val="006A3002"/>
    <w:rsid w:val="006A5C49"/>
    <w:rsid w:val="006B4785"/>
    <w:rsid w:val="006B4CE9"/>
    <w:rsid w:val="006B6A22"/>
    <w:rsid w:val="006C33B2"/>
    <w:rsid w:val="006C37CF"/>
    <w:rsid w:val="006C4680"/>
    <w:rsid w:val="006C6AA4"/>
    <w:rsid w:val="006C77DD"/>
    <w:rsid w:val="006D2F1B"/>
    <w:rsid w:val="006D4C85"/>
    <w:rsid w:val="006D5C93"/>
    <w:rsid w:val="006E0ECD"/>
    <w:rsid w:val="006E18FA"/>
    <w:rsid w:val="006E39BB"/>
    <w:rsid w:val="006E52A7"/>
    <w:rsid w:val="006E5FD0"/>
    <w:rsid w:val="006E62BF"/>
    <w:rsid w:val="006F0C29"/>
    <w:rsid w:val="006F125C"/>
    <w:rsid w:val="00701694"/>
    <w:rsid w:val="00702064"/>
    <w:rsid w:val="0070350E"/>
    <w:rsid w:val="00703B26"/>
    <w:rsid w:val="0070714F"/>
    <w:rsid w:val="007112AF"/>
    <w:rsid w:val="0071405B"/>
    <w:rsid w:val="00714D72"/>
    <w:rsid w:val="0071524E"/>
    <w:rsid w:val="00716EDE"/>
    <w:rsid w:val="00723839"/>
    <w:rsid w:val="00727EF8"/>
    <w:rsid w:val="00735509"/>
    <w:rsid w:val="00735858"/>
    <w:rsid w:val="00735C44"/>
    <w:rsid w:val="00737300"/>
    <w:rsid w:val="00737920"/>
    <w:rsid w:val="00737E45"/>
    <w:rsid w:val="00743AC1"/>
    <w:rsid w:val="00743B12"/>
    <w:rsid w:val="007447A5"/>
    <w:rsid w:val="0074498C"/>
    <w:rsid w:val="00745CCC"/>
    <w:rsid w:val="00746364"/>
    <w:rsid w:val="007511AC"/>
    <w:rsid w:val="007515FC"/>
    <w:rsid w:val="00752FCF"/>
    <w:rsid w:val="0075351E"/>
    <w:rsid w:val="00754958"/>
    <w:rsid w:val="0075611D"/>
    <w:rsid w:val="00757FA2"/>
    <w:rsid w:val="00763A0A"/>
    <w:rsid w:val="00767862"/>
    <w:rsid w:val="00770032"/>
    <w:rsid w:val="007730EE"/>
    <w:rsid w:val="0077318A"/>
    <w:rsid w:val="0077477E"/>
    <w:rsid w:val="0077789B"/>
    <w:rsid w:val="007825F8"/>
    <w:rsid w:val="00783673"/>
    <w:rsid w:val="00785322"/>
    <w:rsid w:val="0078601A"/>
    <w:rsid w:val="00792F9F"/>
    <w:rsid w:val="00795AE5"/>
    <w:rsid w:val="00795D8D"/>
    <w:rsid w:val="007A1872"/>
    <w:rsid w:val="007A4A2A"/>
    <w:rsid w:val="007B5891"/>
    <w:rsid w:val="007C14F1"/>
    <w:rsid w:val="007C169E"/>
    <w:rsid w:val="007C66E5"/>
    <w:rsid w:val="007C7710"/>
    <w:rsid w:val="007D07C1"/>
    <w:rsid w:val="007D42AF"/>
    <w:rsid w:val="007D7EC4"/>
    <w:rsid w:val="007E0949"/>
    <w:rsid w:val="007E113D"/>
    <w:rsid w:val="007E1350"/>
    <w:rsid w:val="007E16B6"/>
    <w:rsid w:val="007E33E3"/>
    <w:rsid w:val="007E458B"/>
    <w:rsid w:val="007F1936"/>
    <w:rsid w:val="007F1B5F"/>
    <w:rsid w:val="007F1BC3"/>
    <w:rsid w:val="007F4841"/>
    <w:rsid w:val="007F5B49"/>
    <w:rsid w:val="007F62F8"/>
    <w:rsid w:val="007F7B55"/>
    <w:rsid w:val="008109FA"/>
    <w:rsid w:val="00812DFC"/>
    <w:rsid w:val="00813BA4"/>
    <w:rsid w:val="00814101"/>
    <w:rsid w:val="00814A9F"/>
    <w:rsid w:val="00814EFB"/>
    <w:rsid w:val="00815840"/>
    <w:rsid w:val="00815F32"/>
    <w:rsid w:val="00816838"/>
    <w:rsid w:val="00817D8E"/>
    <w:rsid w:val="00826900"/>
    <w:rsid w:val="008272CF"/>
    <w:rsid w:val="00827A34"/>
    <w:rsid w:val="00833E54"/>
    <w:rsid w:val="008347F8"/>
    <w:rsid w:val="0083665D"/>
    <w:rsid w:val="008373C2"/>
    <w:rsid w:val="00837B00"/>
    <w:rsid w:val="0084302A"/>
    <w:rsid w:val="008436D7"/>
    <w:rsid w:val="00845D7B"/>
    <w:rsid w:val="00846393"/>
    <w:rsid w:val="00846DFF"/>
    <w:rsid w:val="00850B0A"/>
    <w:rsid w:val="00853D6F"/>
    <w:rsid w:val="00853F07"/>
    <w:rsid w:val="00855579"/>
    <w:rsid w:val="0085581B"/>
    <w:rsid w:val="00856503"/>
    <w:rsid w:val="008569A0"/>
    <w:rsid w:val="008570B7"/>
    <w:rsid w:val="00857391"/>
    <w:rsid w:val="00857F50"/>
    <w:rsid w:val="00860737"/>
    <w:rsid w:val="00860EDC"/>
    <w:rsid w:val="00861B16"/>
    <w:rsid w:val="008624BD"/>
    <w:rsid w:val="00863252"/>
    <w:rsid w:val="008708CA"/>
    <w:rsid w:val="00870D50"/>
    <w:rsid w:val="00870E14"/>
    <w:rsid w:val="00871672"/>
    <w:rsid w:val="008716BD"/>
    <w:rsid w:val="00872730"/>
    <w:rsid w:val="00883FFC"/>
    <w:rsid w:val="00884B8A"/>
    <w:rsid w:val="008852A4"/>
    <w:rsid w:val="008858D0"/>
    <w:rsid w:val="008864C1"/>
    <w:rsid w:val="0088721D"/>
    <w:rsid w:val="00891268"/>
    <w:rsid w:val="00891980"/>
    <w:rsid w:val="00894DAC"/>
    <w:rsid w:val="00897053"/>
    <w:rsid w:val="008A04FB"/>
    <w:rsid w:val="008A0530"/>
    <w:rsid w:val="008A0C37"/>
    <w:rsid w:val="008A24F8"/>
    <w:rsid w:val="008A4109"/>
    <w:rsid w:val="008A42FF"/>
    <w:rsid w:val="008A47E9"/>
    <w:rsid w:val="008A5112"/>
    <w:rsid w:val="008B0391"/>
    <w:rsid w:val="008B2B1A"/>
    <w:rsid w:val="008B45FB"/>
    <w:rsid w:val="008B53FD"/>
    <w:rsid w:val="008B68D3"/>
    <w:rsid w:val="008C2DE1"/>
    <w:rsid w:val="008C634E"/>
    <w:rsid w:val="008C7669"/>
    <w:rsid w:val="008C76C0"/>
    <w:rsid w:val="008D0544"/>
    <w:rsid w:val="008D15EC"/>
    <w:rsid w:val="008D1BF6"/>
    <w:rsid w:val="008D1CBA"/>
    <w:rsid w:val="008D6C58"/>
    <w:rsid w:val="008E0D5A"/>
    <w:rsid w:val="008E1471"/>
    <w:rsid w:val="008E2791"/>
    <w:rsid w:val="008E2C57"/>
    <w:rsid w:val="008E2CA5"/>
    <w:rsid w:val="008E4CDF"/>
    <w:rsid w:val="008F0637"/>
    <w:rsid w:val="008F2C8B"/>
    <w:rsid w:val="008F41EF"/>
    <w:rsid w:val="008F6333"/>
    <w:rsid w:val="00900DA6"/>
    <w:rsid w:val="009010FD"/>
    <w:rsid w:val="009011A5"/>
    <w:rsid w:val="009021F7"/>
    <w:rsid w:val="00905C3E"/>
    <w:rsid w:val="00905FC3"/>
    <w:rsid w:val="00906949"/>
    <w:rsid w:val="00912225"/>
    <w:rsid w:val="009207EA"/>
    <w:rsid w:val="00921E49"/>
    <w:rsid w:val="009229EE"/>
    <w:rsid w:val="0092359A"/>
    <w:rsid w:val="009269A4"/>
    <w:rsid w:val="00927327"/>
    <w:rsid w:val="009311F3"/>
    <w:rsid w:val="009321CC"/>
    <w:rsid w:val="009327A2"/>
    <w:rsid w:val="00932BE4"/>
    <w:rsid w:val="00936062"/>
    <w:rsid w:val="009370A7"/>
    <w:rsid w:val="009427AF"/>
    <w:rsid w:val="00945CD7"/>
    <w:rsid w:val="00950EBB"/>
    <w:rsid w:val="009522FF"/>
    <w:rsid w:val="00952D3C"/>
    <w:rsid w:val="0095353A"/>
    <w:rsid w:val="00953D3E"/>
    <w:rsid w:val="00956017"/>
    <w:rsid w:val="0096169B"/>
    <w:rsid w:val="0096221B"/>
    <w:rsid w:val="00962630"/>
    <w:rsid w:val="00963D10"/>
    <w:rsid w:val="00965325"/>
    <w:rsid w:val="00966196"/>
    <w:rsid w:val="00966B0D"/>
    <w:rsid w:val="00967558"/>
    <w:rsid w:val="009676F6"/>
    <w:rsid w:val="00970C0F"/>
    <w:rsid w:val="0098125A"/>
    <w:rsid w:val="00987DF7"/>
    <w:rsid w:val="009902FA"/>
    <w:rsid w:val="009912D5"/>
    <w:rsid w:val="0099309B"/>
    <w:rsid w:val="00994CFC"/>
    <w:rsid w:val="009957C9"/>
    <w:rsid w:val="009A0909"/>
    <w:rsid w:val="009A1B46"/>
    <w:rsid w:val="009A2167"/>
    <w:rsid w:val="009A397E"/>
    <w:rsid w:val="009A52EF"/>
    <w:rsid w:val="009A5FA8"/>
    <w:rsid w:val="009A7153"/>
    <w:rsid w:val="009B1694"/>
    <w:rsid w:val="009B1E64"/>
    <w:rsid w:val="009B56F4"/>
    <w:rsid w:val="009B73AA"/>
    <w:rsid w:val="009B7766"/>
    <w:rsid w:val="009C1247"/>
    <w:rsid w:val="009C31D6"/>
    <w:rsid w:val="009C51F9"/>
    <w:rsid w:val="009C5424"/>
    <w:rsid w:val="009C6178"/>
    <w:rsid w:val="009D0A65"/>
    <w:rsid w:val="009D1E4F"/>
    <w:rsid w:val="009D4BF2"/>
    <w:rsid w:val="009E107D"/>
    <w:rsid w:val="009E16ED"/>
    <w:rsid w:val="009E1E3A"/>
    <w:rsid w:val="009E4636"/>
    <w:rsid w:val="009E7AA7"/>
    <w:rsid w:val="009F02B8"/>
    <w:rsid w:val="009F6D2B"/>
    <w:rsid w:val="00A005F1"/>
    <w:rsid w:val="00A014AA"/>
    <w:rsid w:val="00A04250"/>
    <w:rsid w:val="00A06987"/>
    <w:rsid w:val="00A069FB"/>
    <w:rsid w:val="00A0703F"/>
    <w:rsid w:val="00A075E5"/>
    <w:rsid w:val="00A101D7"/>
    <w:rsid w:val="00A10E0C"/>
    <w:rsid w:val="00A13EC6"/>
    <w:rsid w:val="00A14431"/>
    <w:rsid w:val="00A157A7"/>
    <w:rsid w:val="00A201C2"/>
    <w:rsid w:val="00A21E05"/>
    <w:rsid w:val="00A2367A"/>
    <w:rsid w:val="00A26E32"/>
    <w:rsid w:val="00A32950"/>
    <w:rsid w:val="00A34B73"/>
    <w:rsid w:val="00A36B1B"/>
    <w:rsid w:val="00A415C4"/>
    <w:rsid w:val="00A42015"/>
    <w:rsid w:val="00A43FCF"/>
    <w:rsid w:val="00A458D5"/>
    <w:rsid w:val="00A46908"/>
    <w:rsid w:val="00A51998"/>
    <w:rsid w:val="00A62F03"/>
    <w:rsid w:val="00A63E33"/>
    <w:rsid w:val="00A6622C"/>
    <w:rsid w:val="00A66CD2"/>
    <w:rsid w:val="00A66D35"/>
    <w:rsid w:val="00A721AE"/>
    <w:rsid w:val="00A80886"/>
    <w:rsid w:val="00A808E6"/>
    <w:rsid w:val="00A80FE6"/>
    <w:rsid w:val="00A815D8"/>
    <w:rsid w:val="00A81C69"/>
    <w:rsid w:val="00A92650"/>
    <w:rsid w:val="00A92DF1"/>
    <w:rsid w:val="00A94532"/>
    <w:rsid w:val="00A95371"/>
    <w:rsid w:val="00A95A50"/>
    <w:rsid w:val="00A95BC9"/>
    <w:rsid w:val="00AA281C"/>
    <w:rsid w:val="00AA2AED"/>
    <w:rsid w:val="00AA6F1E"/>
    <w:rsid w:val="00AB044A"/>
    <w:rsid w:val="00AB0D93"/>
    <w:rsid w:val="00AB6E23"/>
    <w:rsid w:val="00AC0AF8"/>
    <w:rsid w:val="00AC1057"/>
    <w:rsid w:val="00AD1512"/>
    <w:rsid w:val="00AD6E4A"/>
    <w:rsid w:val="00AE0CA8"/>
    <w:rsid w:val="00AE39C8"/>
    <w:rsid w:val="00AE3C54"/>
    <w:rsid w:val="00AE3DA0"/>
    <w:rsid w:val="00AE45D5"/>
    <w:rsid w:val="00AE6725"/>
    <w:rsid w:val="00AE6774"/>
    <w:rsid w:val="00AF4694"/>
    <w:rsid w:val="00AF5AFF"/>
    <w:rsid w:val="00AF77A8"/>
    <w:rsid w:val="00B0109E"/>
    <w:rsid w:val="00B03814"/>
    <w:rsid w:val="00B04AF8"/>
    <w:rsid w:val="00B04D96"/>
    <w:rsid w:val="00B0701A"/>
    <w:rsid w:val="00B1288C"/>
    <w:rsid w:val="00B149E1"/>
    <w:rsid w:val="00B20623"/>
    <w:rsid w:val="00B239E4"/>
    <w:rsid w:val="00B24F2C"/>
    <w:rsid w:val="00B25C53"/>
    <w:rsid w:val="00B3046B"/>
    <w:rsid w:val="00B31DA9"/>
    <w:rsid w:val="00B32987"/>
    <w:rsid w:val="00B331F5"/>
    <w:rsid w:val="00B36647"/>
    <w:rsid w:val="00B401A4"/>
    <w:rsid w:val="00B410CE"/>
    <w:rsid w:val="00B47985"/>
    <w:rsid w:val="00B5016D"/>
    <w:rsid w:val="00B504DF"/>
    <w:rsid w:val="00B557F5"/>
    <w:rsid w:val="00B55C20"/>
    <w:rsid w:val="00B56139"/>
    <w:rsid w:val="00B624B2"/>
    <w:rsid w:val="00B62EF1"/>
    <w:rsid w:val="00B63790"/>
    <w:rsid w:val="00B66AEF"/>
    <w:rsid w:val="00B66DAD"/>
    <w:rsid w:val="00B67B34"/>
    <w:rsid w:val="00B7308F"/>
    <w:rsid w:val="00B75C5F"/>
    <w:rsid w:val="00B81CBE"/>
    <w:rsid w:val="00B81F27"/>
    <w:rsid w:val="00B836EF"/>
    <w:rsid w:val="00B862CD"/>
    <w:rsid w:val="00B86722"/>
    <w:rsid w:val="00B90B94"/>
    <w:rsid w:val="00B91ED0"/>
    <w:rsid w:val="00B93D2A"/>
    <w:rsid w:val="00B95885"/>
    <w:rsid w:val="00B9603D"/>
    <w:rsid w:val="00BA19BF"/>
    <w:rsid w:val="00BA3A63"/>
    <w:rsid w:val="00BA3D20"/>
    <w:rsid w:val="00BA4782"/>
    <w:rsid w:val="00BA7949"/>
    <w:rsid w:val="00BB68A2"/>
    <w:rsid w:val="00BC240D"/>
    <w:rsid w:val="00BC340F"/>
    <w:rsid w:val="00BC3DD2"/>
    <w:rsid w:val="00BC7C09"/>
    <w:rsid w:val="00BD279D"/>
    <w:rsid w:val="00BD497C"/>
    <w:rsid w:val="00BE5B7D"/>
    <w:rsid w:val="00BF1374"/>
    <w:rsid w:val="00BF2F93"/>
    <w:rsid w:val="00BF31C0"/>
    <w:rsid w:val="00BF4785"/>
    <w:rsid w:val="00BF51AB"/>
    <w:rsid w:val="00BF5525"/>
    <w:rsid w:val="00BF6BD0"/>
    <w:rsid w:val="00C0003E"/>
    <w:rsid w:val="00C004B1"/>
    <w:rsid w:val="00C011DC"/>
    <w:rsid w:val="00C0498C"/>
    <w:rsid w:val="00C06194"/>
    <w:rsid w:val="00C10D18"/>
    <w:rsid w:val="00C11744"/>
    <w:rsid w:val="00C1216D"/>
    <w:rsid w:val="00C1397B"/>
    <w:rsid w:val="00C13BBE"/>
    <w:rsid w:val="00C161C3"/>
    <w:rsid w:val="00C16321"/>
    <w:rsid w:val="00C16AC2"/>
    <w:rsid w:val="00C178C8"/>
    <w:rsid w:val="00C22926"/>
    <w:rsid w:val="00C239CA"/>
    <w:rsid w:val="00C253B0"/>
    <w:rsid w:val="00C25C47"/>
    <w:rsid w:val="00C2750B"/>
    <w:rsid w:val="00C27D01"/>
    <w:rsid w:val="00C30D75"/>
    <w:rsid w:val="00C370EB"/>
    <w:rsid w:val="00C4191B"/>
    <w:rsid w:val="00C43160"/>
    <w:rsid w:val="00C434F3"/>
    <w:rsid w:val="00C44A80"/>
    <w:rsid w:val="00C44D1C"/>
    <w:rsid w:val="00C458FD"/>
    <w:rsid w:val="00C4775D"/>
    <w:rsid w:val="00C52248"/>
    <w:rsid w:val="00C528E1"/>
    <w:rsid w:val="00C5315A"/>
    <w:rsid w:val="00C53861"/>
    <w:rsid w:val="00C538B1"/>
    <w:rsid w:val="00C5394F"/>
    <w:rsid w:val="00C54B45"/>
    <w:rsid w:val="00C55300"/>
    <w:rsid w:val="00C55542"/>
    <w:rsid w:val="00C559B6"/>
    <w:rsid w:val="00C55A70"/>
    <w:rsid w:val="00C63C6A"/>
    <w:rsid w:val="00C64174"/>
    <w:rsid w:val="00C678F3"/>
    <w:rsid w:val="00C700CE"/>
    <w:rsid w:val="00C72020"/>
    <w:rsid w:val="00C720F6"/>
    <w:rsid w:val="00C72D3B"/>
    <w:rsid w:val="00C74836"/>
    <w:rsid w:val="00C750BB"/>
    <w:rsid w:val="00C76555"/>
    <w:rsid w:val="00C76587"/>
    <w:rsid w:val="00C77ADF"/>
    <w:rsid w:val="00C8027E"/>
    <w:rsid w:val="00C81189"/>
    <w:rsid w:val="00C82360"/>
    <w:rsid w:val="00C82610"/>
    <w:rsid w:val="00C8297D"/>
    <w:rsid w:val="00C91184"/>
    <w:rsid w:val="00C9226F"/>
    <w:rsid w:val="00C944E4"/>
    <w:rsid w:val="00C94BA7"/>
    <w:rsid w:val="00C96E72"/>
    <w:rsid w:val="00C9797C"/>
    <w:rsid w:val="00CA094F"/>
    <w:rsid w:val="00CA4810"/>
    <w:rsid w:val="00CA4AB9"/>
    <w:rsid w:val="00CA5409"/>
    <w:rsid w:val="00CA56CF"/>
    <w:rsid w:val="00CA6022"/>
    <w:rsid w:val="00CA7EF7"/>
    <w:rsid w:val="00CB2E0F"/>
    <w:rsid w:val="00CB64EB"/>
    <w:rsid w:val="00CC0BF5"/>
    <w:rsid w:val="00CC4924"/>
    <w:rsid w:val="00CC60E4"/>
    <w:rsid w:val="00CD0329"/>
    <w:rsid w:val="00CD1C70"/>
    <w:rsid w:val="00CD335B"/>
    <w:rsid w:val="00CD4119"/>
    <w:rsid w:val="00CD449B"/>
    <w:rsid w:val="00CD6735"/>
    <w:rsid w:val="00CE05CB"/>
    <w:rsid w:val="00CE3F03"/>
    <w:rsid w:val="00CE4A2B"/>
    <w:rsid w:val="00CE518B"/>
    <w:rsid w:val="00CE5207"/>
    <w:rsid w:val="00CE6F17"/>
    <w:rsid w:val="00CE78DD"/>
    <w:rsid w:val="00CF52AD"/>
    <w:rsid w:val="00D11A99"/>
    <w:rsid w:val="00D11C5B"/>
    <w:rsid w:val="00D15360"/>
    <w:rsid w:val="00D17D72"/>
    <w:rsid w:val="00D23691"/>
    <w:rsid w:val="00D24F8D"/>
    <w:rsid w:val="00D259F4"/>
    <w:rsid w:val="00D26B6F"/>
    <w:rsid w:val="00D3142C"/>
    <w:rsid w:val="00D33ED0"/>
    <w:rsid w:val="00D33F74"/>
    <w:rsid w:val="00D40B32"/>
    <w:rsid w:val="00D413D4"/>
    <w:rsid w:val="00D45BF8"/>
    <w:rsid w:val="00D46AC2"/>
    <w:rsid w:val="00D5066F"/>
    <w:rsid w:val="00D5088B"/>
    <w:rsid w:val="00D521BE"/>
    <w:rsid w:val="00D6471B"/>
    <w:rsid w:val="00D64E63"/>
    <w:rsid w:val="00D64E7A"/>
    <w:rsid w:val="00D65B6F"/>
    <w:rsid w:val="00D67E66"/>
    <w:rsid w:val="00D71A1B"/>
    <w:rsid w:val="00D71E64"/>
    <w:rsid w:val="00D72323"/>
    <w:rsid w:val="00D73ABB"/>
    <w:rsid w:val="00D745D2"/>
    <w:rsid w:val="00D7571F"/>
    <w:rsid w:val="00D83ACD"/>
    <w:rsid w:val="00D84DC1"/>
    <w:rsid w:val="00D8538E"/>
    <w:rsid w:val="00D85AD1"/>
    <w:rsid w:val="00D87A96"/>
    <w:rsid w:val="00D967C6"/>
    <w:rsid w:val="00DA16F7"/>
    <w:rsid w:val="00DA2867"/>
    <w:rsid w:val="00DA5729"/>
    <w:rsid w:val="00DB2477"/>
    <w:rsid w:val="00DB44BD"/>
    <w:rsid w:val="00DC08D7"/>
    <w:rsid w:val="00DC0D70"/>
    <w:rsid w:val="00DC1041"/>
    <w:rsid w:val="00DC22DB"/>
    <w:rsid w:val="00DC34B5"/>
    <w:rsid w:val="00DC4210"/>
    <w:rsid w:val="00DC782F"/>
    <w:rsid w:val="00DC7DC8"/>
    <w:rsid w:val="00DD284B"/>
    <w:rsid w:val="00DD5ED1"/>
    <w:rsid w:val="00DD69F1"/>
    <w:rsid w:val="00DE10E7"/>
    <w:rsid w:val="00DE5945"/>
    <w:rsid w:val="00DE5EC9"/>
    <w:rsid w:val="00DE795D"/>
    <w:rsid w:val="00DF34C0"/>
    <w:rsid w:val="00DF6686"/>
    <w:rsid w:val="00DF7EE9"/>
    <w:rsid w:val="00E07BBF"/>
    <w:rsid w:val="00E12CA0"/>
    <w:rsid w:val="00E1535B"/>
    <w:rsid w:val="00E15922"/>
    <w:rsid w:val="00E163D0"/>
    <w:rsid w:val="00E17A38"/>
    <w:rsid w:val="00E21AF1"/>
    <w:rsid w:val="00E21B0D"/>
    <w:rsid w:val="00E22A4A"/>
    <w:rsid w:val="00E231FF"/>
    <w:rsid w:val="00E24B5F"/>
    <w:rsid w:val="00E30A12"/>
    <w:rsid w:val="00E325FF"/>
    <w:rsid w:val="00E3530B"/>
    <w:rsid w:val="00E3765A"/>
    <w:rsid w:val="00E415D1"/>
    <w:rsid w:val="00E4245D"/>
    <w:rsid w:val="00E46B64"/>
    <w:rsid w:val="00E515F5"/>
    <w:rsid w:val="00E5606D"/>
    <w:rsid w:val="00E607DB"/>
    <w:rsid w:val="00E6143F"/>
    <w:rsid w:val="00E646DB"/>
    <w:rsid w:val="00E70068"/>
    <w:rsid w:val="00E707F4"/>
    <w:rsid w:val="00E7116B"/>
    <w:rsid w:val="00E73B05"/>
    <w:rsid w:val="00E74B6A"/>
    <w:rsid w:val="00E757F8"/>
    <w:rsid w:val="00E7582A"/>
    <w:rsid w:val="00E82795"/>
    <w:rsid w:val="00E8716E"/>
    <w:rsid w:val="00E875FA"/>
    <w:rsid w:val="00E87992"/>
    <w:rsid w:val="00E90539"/>
    <w:rsid w:val="00E92B40"/>
    <w:rsid w:val="00E93191"/>
    <w:rsid w:val="00E968D0"/>
    <w:rsid w:val="00E96E85"/>
    <w:rsid w:val="00E97804"/>
    <w:rsid w:val="00EA5F19"/>
    <w:rsid w:val="00EA6F99"/>
    <w:rsid w:val="00EB22F0"/>
    <w:rsid w:val="00EB6264"/>
    <w:rsid w:val="00EB6DB0"/>
    <w:rsid w:val="00EC00ED"/>
    <w:rsid w:val="00EC4D25"/>
    <w:rsid w:val="00EC727C"/>
    <w:rsid w:val="00ED0F04"/>
    <w:rsid w:val="00ED4F99"/>
    <w:rsid w:val="00ED5159"/>
    <w:rsid w:val="00EE0F5F"/>
    <w:rsid w:val="00EE13FD"/>
    <w:rsid w:val="00EE2103"/>
    <w:rsid w:val="00EE5519"/>
    <w:rsid w:val="00EE7818"/>
    <w:rsid w:val="00EF001D"/>
    <w:rsid w:val="00EF3333"/>
    <w:rsid w:val="00EF44CB"/>
    <w:rsid w:val="00EF527C"/>
    <w:rsid w:val="00EF714A"/>
    <w:rsid w:val="00EF71F1"/>
    <w:rsid w:val="00F00FAD"/>
    <w:rsid w:val="00F03206"/>
    <w:rsid w:val="00F04563"/>
    <w:rsid w:val="00F04C0C"/>
    <w:rsid w:val="00F109F5"/>
    <w:rsid w:val="00F1198A"/>
    <w:rsid w:val="00F12BAB"/>
    <w:rsid w:val="00F17584"/>
    <w:rsid w:val="00F2258C"/>
    <w:rsid w:val="00F246F5"/>
    <w:rsid w:val="00F24FB1"/>
    <w:rsid w:val="00F25ECC"/>
    <w:rsid w:val="00F34414"/>
    <w:rsid w:val="00F34EF1"/>
    <w:rsid w:val="00F351C1"/>
    <w:rsid w:val="00F366C6"/>
    <w:rsid w:val="00F42318"/>
    <w:rsid w:val="00F4368E"/>
    <w:rsid w:val="00F4489C"/>
    <w:rsid w:val="00F450BF"/>
    <w:rsid w:val="00F45475"/>
    <w:rsid w:val="00F47165"/>
    <w:rsid w:val="00F5083F"/>
    <w:rsid w:val="00F54A46"/>
    <w:rsid w:val="00F54E65"/>
    <w:rsid w:val="00F57A48"/>
    <w:rsid w:val="00F65F6D"/>
    <w:rsid w:val="00F7146B"/>
    <w:rsid w:val="00F71CBD"/>
    <w:rsid w:val="00F723A1"/>
    <w:rsid w:val="00F74283"/>
    <w:rsid w:val="00F76787"/>
    <w:rsid w:val="00F80192"/>
    <w:rsid w:val="00F85393"/>
    <w:rsid w:val="00F862B2"/>
    <w:rsid w:val="00F866AA"/>
    <w:rsid w:val="00F87A36"/>
    <w:rsid w:val="00F94960"/>
    <w:rsid w:val="00F94C83"/>
    <w:rsid w:val="00F95984"/>
    <w:rsid w:val="00F9602F"/>
    <w:rsid w:val="00F9759C"/>
    <w:rsid w:val="00FA05F1"/>
    <w:rsid w:val="00FA0DB6"/>
    <w:rsid w:val="00FA1A00"/>
    <w:rsid w:val="00FA3394"/>
    <w:rsid w:val="00FA4F82"/>
    <w:rsid w:val="00FA5800"/>
    <w:rsid w:val="00FA6B42"/>
    <w:rsid w:val="00FA7513"/>
    <w:rsid w:val="00FB10B6"/>
    <w:rsid w:val="00FB27C3"/>
    <w:rsid w:val="00FB340C"/>
    <w:rsid w:val="00FB4041"/>
    <w:rsid w:val="00FB459C"/>
    <w:rsid w:val="00FB4B2B"/>
    <w:rsid w:val="00FB7D83"/>
    <w:rsid w:val="00FC1F6F"/>
    <w:rsid w:val="00FC485C"/>
    <w:rsid w:val="00FC5D42"/>
    <w:rsid w:val="00FD033C"/>
    <w:rsid w:val="00FD0F77"/>
    <w:rsid w:val="00FD10C8"/>
    <w:rsid w:val="00FD512E"/>
    <w:rsid w:val="00FE2E5D"/>
    <w:rsid w:val="00FE7BA7"/>
    <w:rsid w:val="00FE7CE9"/>
    <w:rsid w:val="00FE7D70"/>
    <w:rsid w:val="00FF1137"/>
    <w:rsid w:val="00FF44A3"/>
    <w:rsid w:val="00FF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8949"/>
  <w15:chartTrackingRefBased/>
  <w15:docId w15:val="{43947CBB-C884-46F1-B2FF-B80BE35E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F30"/>
  </w:style>
  <w:style w:type="paragraph" w:styleId="Heading1">
    <w:name w:val="heading 1"/>
    <w:basedOn w:val="Normal"/>
    <w:next w:val="Normal"/>
    <w:link w:val="Heading1Char"/>
    <w:uiPriority w:val="9"/>
    <w:qFormat/>
    <w:rsid w:val="008716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45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29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D69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3F30"/>
    <w:pPr>
      <w:spacing w:after="0" w:line="240" w:lineRule="auto"/>
    </w:pPr>
    <w:rPr>
      <w:sz w:val="20"/>
      <w:szCs w:val="20"/>
    </w:rPr>
  </w:style>
  <w:style w:type="character" w:customStyle="1" w:styleId="FootnoteTextChar">
    <w:name w:val="Footnote Text Char"/>
    <w:basedOn w:val="DefaultParagraphFont"/>
    <w:link w:val="FootnoteText"/>
    <w:uiPriority w:val="99"/>
    <w:rsid w:val="003E3F30"/>
    <w:rPr>
      <w:sz w:val="20"/>
      <w:szCs w:val="20"/>
    </w:rPr>
  </w:style>
  <w:style w:type="character" w:styleId="FootnoteReference">
    <w:name w:val="footnote reference"/>
    <w:basedOn w:val="DefaultParagraphFont"/>
    <w:uiPriority w:val="99"/>
    <w:semiHidden/>
    <w:unhideWhenUsed/>
    <w:rsid w:val="003E3F30"/>
    <w:rPr>
      <w:vertAlign w:val="superscript"/>
    </w:rPr>
  </w:style>
  <w:style w:type="character" w:styleId="Hyperlink">
    <w:name w:val="Hyperlink"/>
    <w:basedOn w:val="DefaultParagraphFont"/>
    <w:uiPriority w:val="99"/>
    <w:unhideWhenUsed/>
    <w:rsid w:val="003E3F30"/>
    <w:rPr>
      <w:color w:val="0000FF"/>
      <w:u w:val="single"/>
    </w:rPr>
  </w:style>
  <w:style w:type="paragraph" w:styleId="ListParagraph">
    <w:name w:val="List Paragraph"/>
    <w:basedOn w:val="Normal"/>
    <w:uiPriority w:val="34"/>
    <w:qFormat/>
    <w:rsid w:val="00C178C8"/>
    <w:pPr>
      <w:ind w:left="720"/>
      <w:contextualSpacing/>
    </w:pPr>
  </w:style>
  <w:style w:type="character" w:customStyle="1" w:styleId="dclbl">
    <w:name w:val="dc_lbl"/>
    <w:basedOn w:val="DefaultParagraphFont"/>
    <w:rsid w:val="003F238F"/>
  </w:style>
  <w:style w:type="character" w:customStyle="1" w:styleId="bdemotetext">
    <w:name w:val="b_demotetext"/>
    <w:basedOn w:val="DefaultParagraphFont"/>
    <w:rsid w:val="003F238F"/>
  </w:style>
  <w:style w:type="table" w:styleId="TableGrid">
    <w:name w:val="Table Grid"/>
    <w:basedOn w:val="TableNormal"/>
    <w:uiPriority w:val="39"/>
    <w:rsid w:val="00B4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25ECC"/>
    <w:rPr>
      <w:color w:val="605E5C"/>
      <w:shd w:val="clear" w:color="auto" w:fill="E1DFDD"/>
    </w:rPr>
  </w:style>
  <w:style w:type="character" w:styleId="FollowedHyperlink">
    <w:name w:val="FollowedHyperlink"/>
    <w:basedOn w:val="DefaultParagraphFont"/>
    <w:uiPriority w:val="99"/>
    <w:semiHidden/>
    <w:unhideWhenUsed/>
    <w:rsid w:val="00077E47"/>
    <w:rPr>
      <w:color w:val="954F72" w:themeColor="followedHyperlink"/>
      <w:u w:val="single"/>
    </w:rPr>
  </w:style>
  <w:style w:type="character" w:customStyle="1" w:styleId="luna-example">
    <w:name w:val="luna-example"/>
    <w:basedOn w:val="DefaultParagraphFont"/>
    <w:rsid w:val="009E1E3A"/>
  </w:style>
  <w:style w:type="character" w:styleId="CommentReference">
    <w:name w:val="annotation reference"/>
    <w:basedOn w:val="DefaultParagraphFont"/>
    <w:uiPriority w:val="99"/>
    <w:semiHidden/>
    <w:unhideWhenUsed/>
    <w:rsid w:val="002970C3"/>
    <w:rPr>
      <w:sz w:val="16"/>
      <w:szCs w:val="16"/>
    </w:rPr>
  </w:style>
  <w:style w:type="paragraph" w:styleId="CommentText">
    <w:name w:val="annotation text"/>
    <w:basedOn w:val="Normal"/>
    <w:link w:val="CommentTextChar"/>
    <w:uiPriority w:val="99"/>
    <w:semiHidden/>
    <w:unhideWhenUsed/>
    <w:rsid w:val="002970C3"/>
    <w:pPr>
      <w:spacing w:line="240" w:lineRule="auto"/>
    </w:pPr>
    <w:rPr>
      <w:sz w:val="20"/>
      <w:szCs w:val="20"/>
    </w:rPr>
  </w:style>
  <w:style w:type="character" w:customStyle="1" w:styleId="CommentTextChar">
    <w:name w:val="Comment Text Char"/>
    <w:basedOn w:val="DefaultParagraphFont"/>
    <w:link w:val="CommentText"/>
    <w:uiPriority w:val="99"/>
    <w:semiHidden/>
    <w:rsid w:val="002970C3"/>
    <w:rPr>
      <w:sz w:val="20"/>
      <w:szCs w:val="20"/>
    </w:rPr>
  </w:style>
  <w:style w:type="paragraph" w:styleId="CommentSubject">
    <w:name w:val="annotation subject"/>
    <w:basedOn w:val="CommentText"/>
    <w:next w:val="CommentText"/>
    <w:link w:val="CommentSubjectChar"/>
    <w:uiPriority w:val="99"/>
    <w:semiHidden/>
    <w:unhideWhenUsed/>
    <w:rsid w:val="002970C3"/>
    <w:rPr>
      <w:b/>
      <w:bCs/>
    </w:rPr>
  </w:style>
  <w:style w:type="character" w:customStyle="1" w:styleId="CommentSubjectChar">
    <w:name w:val="Comment Subject Char"/>
    <w:basedOn w:val="CommentTextChar"/>
    <w:link w:val="CommentSubject"/>
    <w:uiPriority w:val="99"/>
    <w:semiHidden/>
    <w:rsid w:val="002970C3"/>
    <w:rPr>
      <w:b/>
      <w:bCs/>
      <w:sz w:val="20"/>
      <w:szCs w:val="20"/>
    </w:rPr>
  </w:style>
  <w:style w:type="paragraph" w:styleId="BalloonText">
    <w:name w:val="Balloon Text"/>
    <w:basedOn w:val="Normal"/>
    <w:link w:val="BalloonTextChar"/>
    <w:uiPriority w:val="99"/>
    <w:semiHidden/>
    <w:unhideWhenUsed/>
    <w:rsid w:val="00297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C3"/>
    <w:rPr>
      <w:rFonts w:ascii="Segoe UI" w:hAnsi="Segoe UI" w:cs="Segoe UI"/>
      <w:sz w:val="18"/>
      <w:szCs w:val="18"/>
    </w:rPr>
  </w:style>
  <w:style w:type="character" w:customStyle="1" w:styleId="Heading2Char">
    <w:name w:val="Heading 2 Char"/>
    <w:basedOn w:val="DefaultParagraphFont"/>
    <w:link w:val="Heading2"/>
    <w:uiPriority w:val="9"/>
    <w:rsid w:val="00A9453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94532"/>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716B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F298B"/>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110A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0AC5"/>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66AEF"/>
    <w:pPr>
      <w:outlineLvl w:val="9"/>
    </w:pPr>
  </w:style>
  <w:style w:type="paragraph" w:styleId="TOC1">
    <w:name w:val="toc 1"/>
    <w:basedOn w:val="Normal"/>
    <w:next w:val="Normal"/>
    <w:autoRedefine/>
    <w:uiPriority w:val="39"/>
    <w:unhideWhenUsed/>
    <w:rsid w:val="00FB340C"/>
    <w:pPr>
      <w:tabs>
        <w:tab w:val="right" w:leader="dot" w:pos="9350"/>
      </w:tabs>
      <w:spacing w:after="100"/>
    </w:pPr>
  </w:style>
  <w:style w:type="paragraph" w:styleId="TOC2">
    <w:name w:val="toc 2"/>
    <w:basedOn w:val="Normal"/>
    <w:next w:val="Normal"/>
    <w:autoRedefine/>
    <w:uiPriority w:val="39"/>
    <w:unhideWhenUsed/>
    <w:rsid w:val="00B66AEF"/>
    <w:pPr>
      <w:spacing w:after="100"/>
      <w:ind w:left="220"/>
    </w:pPr>
  </w:style>
  <w:style w:type="paragraph" w:styleId="TOC3">
    <w:name w:val="toc 3"/>
    <w:basedOn w:val="Normal"/>
    <w:next w:val="Normal"/>
    <w:autoRedefine/>
    <w:uiPriority w:val="39"/>
    <w:unhideWhenUsed/>
    <w:rsid w:val="00B66AEF"/>
    <w:pPr>
      <w:spacing w:after="100"/>
      <w:ind w:left="440"/>
    </w:pPr>
  </w:style>
  <w:style w:type="paragraph" w:styleId="Subtitle">
    <w:name w:val="Subtitle"/>
    <w:basedOn w:val="Normal"/>
    <w:next w:val="Normal"/>
    <w:link w:val="SubtitleChar"/>
    <w:uiPriority w:val="11"/>
    <w:qFormat/>
    <w:rsid w:val="00B66A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AEF"/>
    <w:rPr>
      <w:rFonts w:eastAsiaTheme="minorEastAsia"/>
      <w:color w:val="5A5A5A" w:themeColor="text1" w:themeTint="A5"/>
      <w:spacing w:val="15"/>
    </w:rPr>
  </w:style>
  <w:style w:type="character" w:customStyle="1" w:styleId="UnresolvedMention2">
    <w:name w:val="Unresolved Mention2"/>
    <w:basedOn w:val="DefaultParagraphFont"/>
    <w:uiPriority w:val="99"/>
    <w:semiHidden/>
    <w:unhideWhenUsed/>
    <w:rsid w:val="008F41EF"/>
    <w:rPr>
      <w:color w:val="605E5C"/>
      <w:shd w:val="clear" w:color="auto" w:fill="E1DFDD"/>
    </w:rPr>
  </w:style>
  <w:style w:type="paragraph" w:styleId="Revision">
    <w:name w:val="Revision"/>
    <w:hidden/>
    <w:uiPriority w:val="99"/>
    <w:semiHidden/>
    <w:rsid w:val="004A517E"/>
    <w:pPr>
      <w:spacing w:after="0" w:line="240" w:lineRule="auto"/>
    </w:pPr>
  </w:style>
  <w:style w:type="character" w:styleId="Emphasis">
    <w:name w:val="Emphasis"/>
    <w:basedOn w:val="DefaultParagraphFont"/>
    <w:uiPriority w:val="20"/>
    <w:qFormat/>
    <w:rsid w:val="00A721AE"/>
    <w:rPr>
      <w:i/>
      <w:iCs/>
    </w:rPr>
  </w:style>
  <w:style w:type="character" w:customStyle="1" w:styleId="Heading4Char">
    <w:name w:val="Heading 4 Char"/>
    <w:basedOn w:val="DefaultParagraphFont"/>
    <w:link w:val="Heading4"/>
    <w:uiPriority w:val="9"/>
    <w:rsid w:val="00DD69F1"/>
    <w:rPr>
      <w:rFonts w:asciiTheme="majorHAnsi" w:eastAsiaTheme="majorEastAsia" w:hAnsiTheme="majorHAnsi" w:cstheme="majorBidi"/>
      <w:i/>
      <w:iCs/>
      <w:color w:val="2F5496" w:themeColor="accent1" w:themeShade="BF"/>
    </w:rPr>
  </w:style>
  <w:style w:type="character" w:customStyle="1" w:styleId="UnresolvedMention3">
    <w:name w:val="Unresolved Mention3"/>
    <w:basedOn w:val="DefaultParagraphFont"/>
    <w:uiPriority w:val="99"/>
    <w:semiHidden/>
    <w:unhideWhenUsed/>
    <w:rsid w:val="00FF5265"/>
    <w:rPr>
      <w:color w:val="605E5C"/>
      <w:shd w:val="clear" w:color="auto" w:fill="E1DFDD"/>
    </w:rPr>
  </w:style>
  <w:style w:type="paragraph" w:styleId="Header">
    <w:name w:val="header"/>
    <w:basedOn w:val="Normal"/>
    <w:link w:val="HeaderChar"/>
    <w:uiPriority w:val="99"/>
    <w:unhideWhenUsed/>
    <w:rsid w:val="00B30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46B"/>
  </w:style>
  <w:style w:type="paragraph" w:styleId="Footer">
    <w:name w:val="footer"/>
    <w:basedOn w:val="Normal"/>
    <w:link w:val="FooterChar"/>
    <w:uiPriority w:val="99"/>
    <w:unhideWhenUsed/>
    <w:rsid w:val="00B30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46B"/>
  </w:style>
  <w:style w:type="character" w:styleId="UnresolvedMention">
    <w:name w:val="Unresolved Mention"/>
    <w:basedOn w:val="DefaultParagraphFont"/>
    <w:uiPriority w:val="99"/>
    <w:semiHidden/>
    <w:unhideWhenUsed/>
    <w:rsid w:val="00C55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0447">
      <w:bodyDiv w:val="1"/>
      <w:marLeft w:val="0"/>
      <w:marRight w:val="0"/>
      <w:marTop w:val="0"/>
      <w:marBottom w:val="0"/>
      <w:divBdr>
        <w:top w:val="none" w:sz="0" w:space="0" w:color="auto"/>
        <w:left w:val="none" w:sz="0" w:space="0" w:color="auto"/>
        <w:bottom w:val="none" w:sz="0" w:space="0" w:color="auto"/>
        <w:right w:val="none" w:sz="0" w:space="0" w:color="auto"/>
      </w:divBdr>
    </w:div>
    <w:div w:id="148056059">
      <w:bodyDiv w:val="1"/>
      <w:marLeft w:val="0"/>
      <w:marRight w:val="0"/>
      <w:marTop w:val="0"/>
      <w:marBottom w:val="0"/>
      <w:divBdr>
        <w:top w:val="none" w:sz="0" w:space="0" w:color="auto"/>
        <w:left w:val="none" w:sz="0" w:space="0" w:color="auto"/>
        <w:bottom w:val="none" w:sz="0" w:space="0" w:color="auto"/>
        <w:right w:val="none" w:sz="0" w:space="0" w:color="auto"/>
      </w:divBdr>
    </w:div>
    <w:div w:id="242568295">
      <w:bodyDiv w:val="1"/>
      <w:marLeft w:val="0"/>
      <w:marRight w:val="0"/>
      <w:marTop w:val="0"/>
      <w:marBottom w:val="0"/>
      <w:divBdr>
        <w:top w:val="none" w:sz="0" w:space="0" w:color="auto"/>
        <w:left w:val="none" w:sz="0" w:space="0" w:color="auto"/>
        <w:bottom w:val="none" w:sz="0" w:space="0" w:color="auto"/>
        <w:right w:val="none" w:sz="0" w:space="0" w:color="auto"/>
      </w:divBdr>
      <w:divsChild>
        <w:div w:id="1046490546">
          <w:marLeft w:val="0"/>
          <w:marRight w:val="0"/>
          <w:marTop w:val="0"/>
          <w:marBottom w:val="0"/>
          <w:divBdr>
            <w:top w:val="none" w:sz="0" w:space="0" w:color="auto"/>
            <w:left w:val="none" w:sz="0" w:space="0" w:color="auto"/>
            <w:bottom w:val="none" w:sz="0" w:space="0" w:color="auto"/>
            <w:right w:val="none" w:sz="0" w:space="0" w:color="auto"/>
          </w:divBdr>
        </w:div>
      </w:divsChild>
    </w:div>
    <w:div w:id="275992906">
      <w:bodyDiv w:val="1"/>
      <w:marLeft w:val="0"/>
      <w:marRight w:val="0"/>
      <w:marTop w:val="0"/>
      <w:marBottom w:val="0"/>
      <w:divBdr>
        <w:top w:val="none" w:sz="0" w:space="0" w:color="auto"/>
        <w:left w:val="none" w:sz="0" w:space="0" w:color="auto"/>
        <w:bottom w:val="none" w:sz="0" w:space="0" w:color="auto"/>
        <w:right w:val="none" w:sz="0" w:space="0" w:color="auto"/>
      </w:divBdr>
    </w:div>
    <w:div w:id="335577060">
      <w:bodyDiv w:val="1"/>
      <w:marLeft w:val="0"/>
      <w:marRight w:val="0"/>
      <w:marTop w:val="0"/>
      <w:marBottom w:val="0"/>
      <w:divBdr>
        <w:top w:val="none" w:sz="0" w:space="0" w:color="auto"/>
        <w:left w:val="none" w:sz="0" w:space="0" w:color="auto"/>
        <w:bottom w:val="none" w:sz="0" w:space="0" w:color="auto"/>
        <w:right w:val="none" w:sz="0" w:space="0" w:color="auto"/>
      </w:divBdr>
      <w:divsChild>
        <w:div w:id="1212226762">
          <w:marLeft w:val="0"/>
          <w:marRight w:val="0"/>
          <w:marTop w:val="0"/>
          <w:marBottom w:val="0"/>
          <w:divBdr>
            <w:top w:val="none" w:sz="0" w:space="0" w:color="auto"/>
            <w:left w:val="none" w:sz="0" w:space="0" w:color="auto"/>
            <w:bottom w:val="none" w:sz="0" w:space="0" w:color="auto"/>
            <w:right w:val="none" w:sz="0" w:space="0" w:color="auto"/>
          </w:divBdr>
          <w:divsChild>
            <w:div w:id="10121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0591">
      <w:bodyDiv w:val="1"/>
      <w:marLeft w:val="0"/>
      <w:marRight w:val="0"/>
      <w:marTop w:val="0"/>
      <w:marBottom w:val="0"/>
      <w:divBdr>
        <w:top w:val="none" w:sz="0" w:space="0" w:color="auto"/>
        <w:left w:val="none" w:sz="0" w:space="0" w:color="auto"/>
        <w:bottom w:val="none" w:sz="0" w:space="0" w:color="auto"/>
        <w:right w:val="none" w:sz="0" w:space="0" w:color="auto"/>
      </w:divBdr>
    </w:div>
    <w:div w:id="493182529">
      <w:bodyDiv w:val="1"/>
      <w:marLeft w:val="0"/>
      <w:marRight w:val="0"/>
      <w:marTop w:val="0"/>
      <w:marBottom w:val="0"/>
      <w:divBdr>
        <w:top w:val="none" w:sz="0" w:space="0" w:color="auto"/>
        <w:left w:val="none" w:sz="0" w:space="0" w:color="auto"/>
        <w:bottom w:val="none" w:sz="0" w:space="0" w:color="auto"/>
        <w:right w:val="none" w:sz="0" w:space="0" w:color="auto"/>
      </w:divBdr>
      <w:divsChild>
        <w:div w:id="1170216262">
          <w:marLeft w:val="0"/>
          <w:marRight w:val="0"/>
          <w:marTop w:val="0"/>
          <w:marBottom w:val="0"/>
          <w:divBdr>
            <w:top w:val="none" w:sz="0" w:space="0" w:color="auto"/>
            <w:left w:val="none" w:sz="0" w:space="0" w:color="auto"/>
            <w:bottom w:val="none" w:sz="0" w:space="0" w:color="auto"/>
            <w:right w:val="none" w:sz="0" w:space="0" w:color="auto"/>
          </w:divBdr>
          <w:divsChild>
            <w:div w:id="931936138">
              <w:marLeft w:val="0"/>
              <w:marRight w:val="0"/>
              <w:marTop w:val="0"/>
              <w:marBottom w:val="0"/>
              <w:divBdr>
                <w:top w:val="none" w:sz="0" w:space="0" w:color="auto"/>
                <w:left w:val="none" w:sz="0" w:space="0" w:color="auto"/>
                <w:bottom w:val="none" w:sz="0" w:space="0" w:color="auto"/>
                <w:right w:val="none" w:sz="0" w:space="0" w:color="auto"/>
              </w:divBdr>
              <w:divsChild>
                <w:div w:id="665863391">
                  <w:marLeft w:val="0"/>
                  <w:marRight w:val="0"/>
                  <w:marTop w:val="0"/>
                  <w:marBottom w:val="0"/>
                  <w:divBdr>
                    <w:top w:val="none" w:sz="0" w:space="0" w:color="auto"/>
                    <w:left w:val="none" w:sz="0" w:space="0" w:color="auto"/>
                    <w:bottom w:val="none" w:sz="0" w:space="0" w:color="auto"/>
                    <w:right w:val="none" w:sz="0" w:space="0" w:color="auto"/>
                  </w:divBdr>
                  <w:divsChild>
                    <w:div w:id="4303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98908">
      <w:bodyDiv w:val="1"/>
      <w:marLeft w:val="0"/>
      <w:marRight w:val="0"/>
      <w:marTop w:val="0"/>
      <w:marBottom w:val="0"/>
      <w:divBdr>
        <w:top w:val="none" w:sz="0" w:space="0" w:color="auto"/>
        <w:left w:val="none" w:sz="0" w:space="0" w:color="auto"/>
        <w:bottom w:val="none" w:sz="0" w:space="0" w:color="auto"/>
        <w:right w:val="none" w:sz="0" w:space="0" w:color="auto"/>
      </w:divBdr>
    </w:div>
    <w:div w:id="787118280">
      <w:bodyDiv w:val="1"/>
      <w:marLeft w:val="0"/>
      <w:marRight w:val="0"/>
      <w:marTop w:val="0"/>
      <w:marBottom w:val="0"/>
      <w:divBdr>
        <w:top w:val="none" w:sz="0" w:space="0" w:color="auto"/>
        <w:left w:val="none" w:sz="0" w:space="0" w:color="auto"/>
        <w:bottom w:val="none" w:sz="0" w:space="0" w:color="auto"/>
        <w:right w:val="none" w:sz="0" w:space="0" w:color="auto"/>
      </w:divBdr>
    </w:div>
    <w:div w:id="805313447">
      <w:bodyDiv w:val="1"/>
      <w:marLeft w:val="0"/>
      <w:marRight w:val="0"/>
      <w:marTop w:val="0"/>
      <w:marBottom w:val="0"/>
      <w:divBdr>
        <w:top w:val="none" w:sz="0" w:space="0" w:color="auto"/>
        <w:left w:val="none" w:sz="0" w:space="0" w:color="auto"/>
        <w:bottom w:val="none" w:sz="0" w:space="0" w:color="auto"/>
        <w:right w:val="none" w:sz="0" w:space="0" w:color="auto"/>
      </w:divBdr>
    </w:div>
    <w:div w:id="887569919">
      <w:bodyDiv w:val="1"/>
      <w:marLeft w:val="0"/>
      <w:marRight w:val="0"/>
      <w:marTop w:val="0"/>
      <w:marBottom w:val="0"/>
      <w:divBdr>
        <w:top w:val="none" w:sz="0" w:space="0" w:color="auto"/>
        <w:left w:val="none" w:sz="0" w:space="0" w:color="auto"/>
        <w:bottom w:val="none" w:sz="0" w:space="0" w:color="auto"/>
        <w:right w:val="none" w:sz="0" w:space="0" w:color="auto"/>
      </w:divBdr>
      <w:divsChild>
        <w:div w:id="1574195460">
          <w:marLeft w:val="0"/>
          <w:marRight w:val="0"/>
          <w:marTop w:val="0"/>
          <w:marBottom w:val="0"/>
          <w:divBdr>
            <w:top w:val="none" w:sz="0" w:space="0" w:color="auto"/>
            <w:left w:val="none" w:sz="0" w:space="0" w:color="auto"/>
            <w:bottom w:val="none" w:sz="0" w:space="0" w:color="auto"/>
            <w:right w:val="none" w:sz="0" w:space="0" w:color="auto"/>
          </w:divBdr>
        </w:div>
      </w:divsChild>
    </w:div>
    <w:div w:id="953946173">
      <w:bodyDiv w:val="1"/>
      <w:marLeft w:val="0"/>
      <w:marRight w:val="0"/>
      <w:marTop w:val="0"/>
      <w:marBottom w:val="0"/>
      <w:divBdr>
        <w:top w:val="none" w:sz="0" w:space="0" w:color="auto"/>
        <w:left w:val="none" w:sz="0" w:space="0" w:color="auto"/>
        <w:bottom w:val="none" w:sz="0" w:space="0" w:color="auto"/>
        <w:right w:val="none" w:sz="0" w:space="0" w:color="auto"/>
      </w:divBdr>
    </w:div>
    <w:div w:id="1063218886">
      <w:bodyDiv w:val="1"/>
      <w:marLeft w:val="0"/>
      <w:marRight w:val="0"/>
      <w:marTop w:val="0"/>
      <w:marBottom w:val="0"/>
      <w:divBdr>
        <w:top w:val="none" w:sz="0" w:space="0" w:color="auto"/>
        <w:left w:val="none" w:sz="0" w:space="0" w:color="auto"/>
        <w:bottom w:val="none" w:sz="0" w:space="0" w:color="auto"/>
        <w:right w:val="none" w:sz="0" w:space="0" w:color="auto"/>
      </w:divBdr>
    </w:div>
    <w:div w:id="1221870120">
      <w:bodyDiv w:val="1"/>
      <w:marLeft w:val="0"/>
      <w:marRight w:val="0"/>
      <w:marTop w:val="0"/>
      <w:marBottom w:val="0"/>
      <w:divBdr>
        <w:top w:val="none" w:sz="0" w:space="0" w:color="auto"/>
        <w:left w:val="none" w:sz="0" w:space="0" w:color="auto"/>
        <w:bottom w:val="none" w:sz="0" w:space="0" w:color="auto"/>
        <w:right w:val="none" w:sz="0" w:space="0" w:color="auto"/>
      </w:divBdr>
      <w:divsChild>
        <w:div w:id="1076171393">
          <w:marLeft w:val="0"/>
          <w:marRight w:val="0"/>
          <w:marTop w:val="0"/>
          <w:marBottom w:val="0"/>
          <w:divBdr>
            <w:top w:val="none" w:sz="0" w:space="0" w:color="auto"/>
            <w:left w:val="none" w:sz="0" w:space="0" w:color="auto"/>
            <w:bottom w:val="none" w:sz="0" w:space="0" w:color="auto"/>
            <w:right w:val="none" w:sz="0" w:space="0" w:color="auto"/>
          </w:divBdr>
        </w:div>
        <w:div w:id="1691833125">
          <w:marLeft w:val="0"/>
          <w:marRight w:val="0"/>
          <w:marTop w:val="0"/>
          <w:marBottom w:val="0"/>
          <w:divBdr>
            <w:top w:val="none" w:sz="0" w:space="0" w:color="auto"/>
            <w:left w:val="none" w:sz="0" w:space="0" w:color="auto"/>
            <w:bottom w:val="none" w:sz="0" w:space="0" w:color="auto"/>
            <w:right w:val="none" w:sz="0" w:space="0" w:color="auto"/>
          </w:divBdr>
        </w:div>
      </w:divsChild>
    </w:div>
    <w:div w:id="2120488002">
      <w:bodyDiv w:val="1"/>
      <w:marLeft w:val="0"/>
      <w:marRight w:val="0"/>
      <w:marTop w:val="0"/>
      <w:marBottom w:val="0"/>
      <w:divBdr>
        <w:top w:val="none" w:sz="0" w:space="0" w:color="auto"/>
        <w:left w:val="none" w:sz="0" w:space="0" w:color="auto"/>
        <w:bottom w:val="none" w:sz="0" w:space="0" w:color="auto"/>
        <w:right w:val="none" w:sz="0" w:space="0" w:color="auto"/>
      </w:divBdr>
      <w:divsChild>
        <w:div w:id="87458081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site/rentguidelinesboard/resources/rent-control.page" TargetMode="External"/><Relationship Id="rId13" Type="http://schemas.openxmlformats.org/officeDocument/2006/relationships/hyperlink" Target="https://www.villagevoice.com/2017/07/06/preferential-rent-how-landlords-kill-nycs-affordable-apartments-and-get-away-with-it/" TargetMode="External"/><Relationship Id="rId18" Type="http://schemas.openxmlformats.org/officeDocument/2006/relationships/hyperlink" Target="file:///C:\Users\dkahn\Desktop\The%20Mirage%20of%20Affordable%20Housing%20in%20New%20York%20City.pdf" TargetMode="External"/><Relationship Id="rId3" Type="http://schemas.openxmlformats.org/officeDocument/2006/relationships/hyperlink" Target="http://www.jstor.org/stable/3542585" TargetMode="External"/><Relationship Id="rId21" Type="http://schemas.openxmlformats.org/officeDocument/2006/relationships/hyperlink" Target="https://www.nytimes.com/2020/12/04/nyregion/coronavirus-nyc-nycha-gas.html?searchResultPosition=1" TargetMode="External"/><Relationship Id="rId7" Type="http://schemas.openxmlformats.org/officeDocument/2006/relationships/hyperlink" Target="http://www.jstor.org/stable/41350237" TargetMode="External"/><Relationship Id="rId12" Type="http://schemas.openxmlformats.org/officeDocument/2006/relationships/hyperlink" Target="https://www.nysenate.gov/legislation/bills/2019/s6458" TargetMode="External"/><Relationship Id="rId17" Type="http://schemas.openxmlformats.org/officeDocument/2006/relationships/hyperlink" Target="https://hcr.ny.gov/section-8-housing-choice-voucher-hcv-program" TargetMode="External"/><Relationship Id="rId2" Type="http://schemas.openxmlformats.org/officeDocument/2006/relationships/hyperlink" Target="https://law.stanford.edu/wp-content/uploads/2018/07/Mistree-Dibley-Corruption.4.18.18.pdf" TargetMode="External"/><Relationship Id="rId16" Type="http://schemas.openxmlformats.org/officeDocument/2006/relationships/hyperlink" Target="https://www.nonfictionfilm.com/news/now-streaming-netflix-documentary-slumlord-millionaire-takes-apart-jared-kushner" TargetMode="External"/><Relationship Id="rId20" Type="http://schemas.openxmlformats.org/officeDocument/2006/relationships/hyperlink" Target="https://www.thecity.nyc/housing/2019/9/30/21210801/new-rent-law-deluges-backlogged-tenant-overcharge-claims" TargetMode="External"/><Relationship Id="rId1" Type="http://schemas.openxmlformats.org/officeDocument/2006/relationships/hyperlink" Target="https://law.stanford.edu/wp-content/uploads/2018/07/Mistree-Dibley-Corruption.4.18.18.pdf" TargetMode="External"/><Relationship Id="rId6" Type="http://schemas.openxmlformats.org/officeDocument/2006/relationships/hyperlink" Target="http://www.jstor.org/stable/24643400" TargetMode="External"/><Relationship Id="rId11" Type="http://schemas.openxmlformats.org/officeDocument/2006/relationships/hyperlink" Target="https://cdp.urbanjustice.org/sites/default/files/CDP.WEB.doc_Report_SNYCPredatoryEquity_20171214_0.pdf" TargetMode="External"/><Relationship Id="rId5" Type="http://schemas.openxmlformats.org/officeDocument/2006/relationships/hyperlink" Target="http://www.tenant.net/tengroup/Metcounc/Apr99/urstadt.html" TargetMode="External"/><Relationship Id="rId15" Type="http://schemas.openxmlformats.org/officeDocument/2006/relationships/hyperlink" Target="https://www.nysenate.gov/legislation/bills/2019/s6458" TargetMode="External"/><Relationship Id="rId10" Type="http://schemas.openxmlformats.org/officeDocument/2006/relationships/hyperlink" Target="file:///C:\Users\dkahn\Desktop\The%20Mirage%20of%20Affordable%20Housing%20in%20New%20York%20City.pdf" TargetMode="External"/><Relationship Id="rId19" Type="http://schemas.openxmlformats.org/officeDocument/2006/relationships/hyperlink" Target="https://www.nytimes.com/2019/03/09/nyregion/hudson-yards-new-york-tax-breaks.html" TargetMode="External"/><Relationship Id="rId4" Type="http://schemas.openxmlformats.org/officeDocument/2006/relationships/hyperlink" Target="https://doi.org/10.2308/jfar-19-035" TargetMode="External"/><Relationship Id="rId9" Type="http://schemas.openxmlformats.org/officeDocument/2006/relationships/hyperlink" Target="https://www1.nyc.gov/assets/nycha/downloads/pdf/NYCHA-Fact-Sheet_2019_08-01.pdf" TargetMode="External"/><Relationship Id="rId14" Type="http://schemas.openxmlformats.org/officeDocument/2006/relationships/hyperlink" Target="https://therealdeal.com/2020/06/30/citys-housing-plan-suffers-major-blow-in-painful-budget/" TargetMode="External"/><Relationship Id="rId22" Type="http://schemas.openxmlformats.org/officeDocument/2006/relationships/hyperlink" Target="https://www.nytimes.com/2020/12/15/nyregion/nyc-public-housing-coronavirus.html?searchResultPosit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D62A0-B044-426E-BA84-78E95193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7795</Words>
  <Characters>44434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Kahn</dc:creator>
  <cp:keywords/>
  <dc:description/>
  <cp:lastModifiedBy>Daniel Kahn</cp:lastModifiedBy>
  <cp:revision>9</cp:revision>
  <cp:lastPrinted>2021-04-05T13:20:00Z</cp:lastPrinted>
  <dcterms:created xsi:type="dcterms:W3CDTF">2021-03-31T23:59:00Z</dcterms:created>
  <dcterms:modified xsi:type="dcterms:W3CDTF">2021-04-05T13:20:00Z</dcterms:modified>
</cp:coreProperties>
</file>