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73C68" w14:textId="77777777" w:rsidR="00D85E1A" w:rsidRPr="00BA5FA4" w:rsidRDefault="00D85E1A" w:rsidP="00D85E1A">
      <w:pPr>
        <w:jc w:val="both"/>
        <w:rPr>
          <w:b/>
          <w:bCs/>
        </w:rPr>
      </w:pPr>
      <w:r w:rsidRPr="00BA5FA4">
        <w:rPr>
          <w:b/>
          <w:bCs/>
          <w:i/>
          <w:iCs/>
        </w:rPr>
        <w:t>The Issue:</w:t>
      </w:r>
    </w:p>
    <w:p w14:paraId="438560B6" w14:textId="77777777" w:rsidR="00D85E1A" w:rsidRDefault="00D85E1A" w:rsidP="00D85E1A">
      <w:pPr>
        <w:jc w:val="both"/>
      </w:pPr>
      <w:r>
        <w:t>Interest groups</w:t>
      </w:r>
      <w:r w:rsidRPr="000D62F5">
        <w:rPr>
          <w:rStyle w:val="FootnoteReference"/>
        </w:rPr>
        <w:footnoteReference w:id="1"/>
      </w:r>
      <w:r>
        <w:t xml:space="preserve"> seek to influence policy and elected officials’ “Tone at the Top”</w:t>
      </w:r>
      <w:r>
        <w:rPr>
          <w:rStyle w:val="FootnoteReference"/>
        </w:rPr>
        <w:footnoteReference w:id="2"/>
      </w:r>
      <w:r>
        <w:t xml:space="preserve"> through campaign contributions. </w:t>
      </w:r>
      <w:r w:rsidRPr="001A7DC1">
        <w:rPr>
          <w:rFonts w:cstheme="minorHAnsi"/>
        </w:rPr>
        <w:t>The Supreme Court</w:t>
      </w:r>
      <w:r>
        <w:rPr>
          <w:rFonts w:cstheme="minorHAnsi"/>
        </w:rPr>
        <w:t xml:space="preserve"> acknowledged this as the </w:t>
      </w:r>
      <w:r>
        <w:rPr>
          <w:rFonts w:cstheme="minorHAnsi"/>
          <w:i/>
          <w:iCs/>
        </w:rPr>
        <w:t>Corrupting</w:t>
      </w:r>
      <w:r>
        <w:rPr>
          <w:rFonts w:cstheme="minorHAnsi"/>
        </w:rPr>
        <w:t xml:space="preserve"> </w:t>
      </w:r>
      <w:r>
        <w:rPr>
          <w:rFonts w:cstheme="minorHAnsi"/>
          <w:i/>
          <w:iCs/>
        </w:rPr>
        <w:t>Impact</w:t>
      </w:r>
      <w:r>
        <w:rPr>
          <w:rFonts w:cstheme="minorHAnsi"/>
        </w:rPr>
        <w:t xml:space="preserve"> of “soft money” on the “independent judgement” of elected officials, in McConnell v. FEC</w:t>
      </w:r>
      <w:r>
        <w:rPr>
          <w:rStyle w:val="FootnoteReference"/>
          <w:rFonts w:cstheme="minorHAnsi"/>
        </w:rPr>
        <w:footnoteReference w:id="3"/>
      </w:r>
      <w:r w:rsidRPr="001A7DC1">
        <w:rPr>
          <w:rFonts w:cstheme="minorHAnsi"/>
        </w:rPr>
        <w:t xml:space="preserve">. </w:t>
      </w:r>
      <w:r>
        <w:t xml:space="preserve">The Trump administration riotously highlighted this </w:t>
      </w:r>
      <w:r>
        <w:rPr>
          <w:i/>
          <w:iCs/>
        </w:rPr>
        <w:t xml:space="preserve">Corrupting Impact, </w:t>
      </w:r>
      <w:r>
        <w:t xml:space="preserve">specifically of </w:t>
      </w:r>
      <w:r w:rsidRPr="008078F4">
        <w:rPr>
          <w:i/>
          <w:iCs/>
        </w:rPr>
        <w:t>pernicious</w:t>
      </w:r>
      <w:r w:rsidRPr="008078F4">
        <w:rPr>
          <w:rStyle w:val="FootnoteReference"/>
          <w:i/>
          <w:iCs/>
        </w:rPr>
        <w:footnoteReference w:id="4"/>
      </w:r>
      <w:r>
        <w:t xml:space="preserve"> </w:t>
      </w:r>
      <w:r>
        <w:rPr>
          <w:i/>
          <w:iCs/>
        </w:rPr>
        <w:t>interest group politics</w:t>
      </w:r>
      <w:r>
        <w:rPr>
          <w:rStyle w:val="FootnoteReference"/>
          <w:i/>
          <w:iCs/>
        </w:rPr>
        <w:footnoteReference w:id="5"/>
      </w:r>
      <w:r>
        <w:t xml:space="preserve">. </w:t>
      </w:r>
    </w:p>
    <w:p w14:paraId="6EDBF491" w14:textId="77777777" w:rsidR="00D85E1A" w:rsidRDefault="00D85E1A" w:rsidP="00D85E1A">
      <w:pPr>
        <w:jc w:val="both"/>
      </w:pPr>
      <w:r>
        <w:rPr>
          <w:rFonts w:cstheme="minorHAnsi"/>
        </w:rPr>
        <w:t xml:space="preserve">Additionally, </w:t>
      </w:r>
      <w:r>
        <w:t>accountability avoidance seems to have become easier in this environment, as “Tone at the Top” defines which behaviors are rewarded or punished. It also defines which citizen</w:t>
      </w:r>
      <w:r>
        <w:rPr>
          <w:rStyle w:val="FootnoteReference"/>
        </w:rPr>
        <w:footnoteReference w:id="6"/>
      </w:r>
      <w:r>
        <w:t xml:space="preserve"> concerns are addressed, especially as elected officials also control fiscal capacity for municipal agencies. </w:t>
      </w:r>
    </w:p>
    <w:p w14:paraId="07423F56" w14:textId="77777777" w:rsidR="00D85E1A" w:rsidRPr="00BA5FA4" w:rsidRDefault="00D85E1A" w:rsidP="00D85E1A">
      <w:pPr>
        <w:jc w:val="both"/>
        <w:rPr>
          <w:b/>
          <w:bCs/>
          <w:i/>
          <w:iCs/>
        </w:rPr>
      </w:pPr>
      <w:r w:rsidRPr="00BA5FA4">
        <w:rPr>
          <w:b/>
          <w:bCs/>
          <w:i/>
          <w:iCs/>
        </w:rPr>
        <w:t>The Proposal:</w:t>
      </w:r>
    </w:p>
    <w:p w14:paraId="13848602" w14:textId="21384E1E" w:rsidR="00D85E1A" w:rsidRDefault="00D85E1A" w:rsidP="00D85E1A">
      <w:pPr>
        <w:jc w:val="both"/>
      </w:pPr>
      <w:r>
        <w:t>With rising income inequality, this phenomenon can have lopsided influence on policy, as this proposal contends happened with Affordable Housing in New York City (NYC). The Real Estate industry in NYC is an Interest Group</w:t>
      </w:r>
      <w:r w:rsidRPr="00FC4D94">
        <w:rPr>
          <w:rStyle w:val="FootnoteReference"/>
          <w:rFonts w:cstheme="minorHAnsi"/>
        </w:rPr>
        <w:footnoteReference w:id="7"/>
      </w:r>
      <w:r>
        <w:t xml:space="preserve"> seeking policy favoring higher-paying tenants. Using tools from research, accounting, and audit, this proposal seeks to study the impact of this influence on housing policy [199</w:t>
      </w:r>
      <w:r w:rsidR="007E63E6">
        <w:t>0-2020</w:t>
      </w:r>
      <w:r>
        <w:t xml:space="preserve">] by seeking: </w:t>
      </w:r>
    </w:p>
    <w:p w14:paraId="5E15C44E" w14:textId="77777777" w:rsidR="00D85E1A" w:rsidRPr="00156FBD" w:rsidRDefault="00D85E1A" w:rsidP="00D85E1A">
      <w:pPr>
        <w:pStyle w:val="ListParagraph"/>
        <w:numPr>
          <w:ilvl w:val="0"/>
          <w:numId w:val="1"/>
        </w:numPr>
        <w:jc w:val="both"/>
        <w:rPr>
          <w:rFonts w:cstheme="minorHAnsi"/>
          <w:b/>
          <w:bCs/>
        </w:rPr>
      </w:pPr>
      <w:r w:rsidRPr="00156FBD">
        <w:rPr>
          <w:rFonts w:cstheme="minorHAnsi"/>
          <w:b/>
          <w:bCs/>
        </w:rPr>
        <w:t xml:space="preserve">Direct evidence of </w:t>
      </w:r>
      <w:r>
        <w:rPr>
          <w:rFonts w:cstheme="minorHAnsi"/>
          <w:b/>
          <w:bCs/>
        </w:rPr>
        <w:t>impairment</w:t>
      </w:r>
      <w:r w:rsidRPr="00156FBD">
        <w:rPr>
          <w:rFonts w:cstheme="minorHAnsi"/>
          <w:b/>
          <w:bCs/>
        </w:rPr>
        <w:t xml:space="preserve"> to Affordable Housin</w:t>
      </w:r>
      <w:r>
        <w:rPr>
          <w:rFonts w:cstheme="minorHAnsi"/>
          <w:b/>
          <w:bCs/>
        </w:rPr>
        <w:t>g</w:t>
      </w:r>
      <w:r w:rsidRPr="00156FBD">
        <w:rPr>
          <w:rFonts w:cstheme="minorHAnsi"/>
          <w:b/>
          <w:bCs/>
        </w:rPr>
        <w:t xml:space="preserve"> in </w:t>
      </w:r>
      <w:r>
        <w:rPr>
          <w:rFonts w:cstheme="minorHAnsi"/>
          <w:b/>
          <w:bCs/>
        </w:rPr>
        <w:t>NYC</w:t>
      </w:r>
      <w:r w:rsidRPr="00156FBD">
        <w:rPr>
          <w:rFonts w:cstheme="minorHAnsi"/>
          <w:b/>
          <w:bCs/>
        </w:rPr>
        <w:t xml:space="preserve"> by Interest</w:t>
      </w:r>
      <w:r>
        <w:rPr>
          <w:rFonts w:cstheme="minorHAnsi"/>
          <w:b/>
          <w:bCs/>
        </w:rPr>
        <w:t xml:space="preserve"> Groups</w:t>
      </w:r>
      <w:r w:rsidRPr="00156FBD">
        <w:rPr>
          <w:rFonts w:cstheme="minorHAnsi"/>
          <w:b/>
          <w:bCs/>
        </w:rPr>
        <w:t xml:space="preserve"> using campaign contributions to </w:t>
      </w:r>
      <w:r>
        <w:rPr>
          <w:rFonts w:cstheme="minorHAnsi"/>
          <w:b/>
          <w:bCs/>
        </w:rPr>
        <w:t>directly influence portions of</w:t>
      </w:r>
      <w:r w:rsidRPr="00156FBD">
        <w:rPr>
          <w:rFonts w:cstheme="minorHAnsi"/>
          <w:b/>
          <w:bCs/>
        </w:rPr>
        <w:t xml:space="preserve"> the 1997 &amp; 2003 Rent Acts.</w:t>
      </w:r>
    </w:p>
    <w:p w14:paraId="0418CC6A" w14:textId="77777777" w:rsidR="00D85E1A" w:rsidRPr="00156FBD" w:rsidRDefault="00D85E1A" w:rsidP="00D85E1A">
      <w:pPr>
        <w:pStyle w:val="ListParagraph"/>
        <w:numPr>
          <w:ilvl w:val="0"/>
          <w:numId w:val="1"/>
        </w:numPr>
        <w:jc w:val="both"/>
        <w:rPr>
          <w:rFonts w:cstheme="minorHAnsi"/>
          <w:b/>
          <w:bCs/>
        </w:rPr>
      </w:pPr>
      <w:r w:rsidRPr="00156FBD">
        <w:rPr>
          <w:rFonts w:cstheme="minorHAnsi"/>
          <w:b/>
          <w:bCs/>
        </w:rPr>
        <w:t>Direct evidence this</w:t>
      </w:r>
      <w:r>
        <w:rPr>
          <w:rFonts w:cstheme="minorHAnsi"/>
          <w:b/>
          <w:bCs/>
        </w:rPr>
        <w:t xml:space="preserve"> fostered</w:t>
      </w:r>
      <w:r w:rsidRPr="00156FBD">
        <w:rPr>
          <w:rFonts w:cstheme="minorHAnsi"/>
          <w:b/>
          <w:bCs/>
        </w:rPr>
        <w:t xml:space="preserve"> </w:t>
      </w:r>
      <w:r>
        <w:rPr>
          <w:rFonts w:cstheme="minorHAnsi"/>
          <w:b/>
          <w:bCs/>
        </w:rPr>
        <w:t>an accountability avoidant environment in</w:t>
      </w:r>
      <w:r w:rsidRPr="00156FBD">
        <w:rPr>
          <w:rFonts w:cstheme="minorHAnsi"/>
          <w:b/>
          <w:bCs/>
        </w:rPr>
        <w:t xml:space="preserve"> administrative agencie</w:t>
      </w:r>
      <w:r>
        <w:rPr>
          <w:rFonts w:cstheme="minorHAnsi"/>
          <w:b/>
          <w:bCs/>
        </w:rPr>
        <w:t>s as</w:t>
      </w:r>
      <w:r w:rsidRPr="00156FBD">
        <w:rPr>
          <w:rFonts w:cstheme="minorHAnsi"/>
          <w:b/>
          <w:bCs/>
        </w:rPr>
        <w:t xml:space="preserve"> </w:t>
      </w:r>
      <w:r>
        <w:rPr>
          <w:rFonts w:cstheme="minorHAnsi"/>
          <w:b/>
          <w:bCs/>
        </w:rPr>
        <w:t>a result of</w:t>
      </w:r>
      <w:r w:rsidRPr="00156FBD">
        <w:rPr>
          <w:rFonts w:cstheme="minorHAnsi"/>
          <w:b/>
          <w:bCs/>
        </w:rPr>
        <w:t xml:space="preserve"> chronic</w:t>
      </w:r>
      <w:r>
        <w:rPr>
          <w:rFonts w:cstheme="minorHAnsi"/>
          <w:b/>
          <w:bCs/>
        </w:rPr>
        <w:t xml:space="preserve"> under-resourcing and under-reporting</w:t>
      </w:r>
      <w:r w:rsidRPr="00156FBD">
        <w:rPr>
          <w:rFonts w:cstheme="minorHAnsi"/>
          <w:b/>
          <w:bCs/>
        </w:rPr>
        <w:t xml:space="preserve">. </w:t>
      </w:r>
    </w:p>
    <w:p w14:paraId="4666BD73" w14:textId="77777777" w:rsidR="00D85E1A" w:rsidRPr="00BA5FA4" w:rsidRDefault="00D85E1A" w:rsidP="00D85E1A">
      <w:pPr>
        <w:jc w:val="both"/>
        <w:rPr>
          <w:b/>
          <w:bCs/>
          <w:i/>
          <w:iCs/>
        </w:rPr>
      </w:pPr>
      <w:r w:rsidRPr="00BA5FA4">
        <w:rPr>
          <w:b/>
          <w:bCs/>
          <w:i/>
          <w:iCs/>
        </w:rPr>
        <w:t>The Methodology:</w:t>
      </w:r>
    </w:p>
    <w:p w14:paraId="6E7EAE6E" w14:textId="77777777" w:rsidR="00D85E1A" w:rsidRPr="00156FBD" w:rsidRDefault="00D85E1A" w:rsidP="00D85E1A">
      <w:pPr>
        <w:pStyle w:val="ListParagraph"/>
        <w:numPr>
          <w:ilvl w:val="0"/>
          <w:numId w:val="2"/>
        </w:numPr>
        <w:jc w:val="both"/>
        <w:rPr>
          <w:b/>
          <w:bCs/>
        </w:rPr>
      </w:pPr>
      <w:r>
        <w:rPr>
          <w:b/>
          <w:bCs/>
        </w:rPr>
        <w:t>Peer-reviewed m</w:t>
      </w:r>
      <w:r w:rsidRPr="00156FBD">
        <w:rPr>
          <w:b/>
          <w:bCs/>
        </w:rPr>
        <w:t>eta-analysis literature review</w:t>
      </w:r>
      <w:r>
        <w:rPr>
          <w:b/>
          <w:bCs/>
        </w:rPr>
        <w:t xml:space="preserve"> to</w:t>
      </w:r>
      <w:r w:rsidRPr="00156FBD">
        <w:rPr>
          <w:b/>
          <w:bCs/>
        </w:rPr>
        <w:t xml:space="preserve"> expan</w:t>
      </w:r>
      <w:r>
        <w:rPr>
          <w:b/>
          <w:bCs/>
        </w:rPr>
        <w:t>d</w:t>
      </w:r>
      <w:r w:rsidRPr="00156FBD">
        <w:rPr>
          <w:b/>
          <w:bCs/>
        </w:rPr>
        <w:t xml:space="preserve"> definition of “Corruption” to inclu</w:t>
      </w:r>
      <w:r>
        <w:rPr>
          <w:b/>
          <w:bCs/>
        </w:rPr>
        <w:t>de</w:t>
      </w:r>
      <w:r w:rsidRPr="00156FBD">
        <w:rPr>
          <w:b/>
          <w:bCs/>
        </w:rPr>
        <w:t xml:space="preserve"> “Corrupting Impact”</w:t>
      </w:r>
      <w:r>
        <w:rPr>
          <w:b/>
          <w:bCs/>
        </w:rPr>
        <w:t xml:space="preserve"> of campaign finance</w:t>
      </w:r>
      <w:r w:rsidRPr="00156FBD">
        <w:rPr>
          <w:b/>
          <w:bCs/>
        </w:rPr>
        <w:t xml:space="preserve"> </w:t>
      </w:r>
      <w:r>
        <w:rPr>
          <w:b/>
          <w:bCs/>
        </w:rPr>
        <w:t>as defined by the</w:t>
      </w:r>
      <w:r w:rsidRPr="00156FBD">
        <w:rPr>
          <w:b/>
          <w:bCs/>
        </w:rPr>
        <w:t xml:space="preserve"> Court in McConnell v. FEC. </w:t>
      </w:r>
    </w:p>
    <w:p w14:paraId="0CF6A102" w14:textId="77777777" w:rsidR="00D85E1A" w:rsidRDefault="00D85E1A" w:rsidP="00D85E1A">
      <w:pPr>
        <w:pStyle w:val="ListParagraph"/>
        <w:numPr>
          <w:ilvl w:val="1"/>
          <w:numId w:val="2"/>
        </w:numPr>
        <w:jc w:val="both"/>
      </w:pPr>
      <w:r>
        <w:t>An agreement on “number” of sources</w:t>
      </w:r>
    </w:p>
    <w:p w14:paraId="17979902" w14:textId="77777777" w:rsidR="002F3330" w:rsidRDefault="00D85E1A" w:rsidP="002F3330">
      <w:pPr>
        <w:pStyle w:val="ListParagraph"/>
        <w:numPr>
          <w:ilvl w:val="1"/>
          <w:numId w:val="2"/>
        </w:numPr>
        <w:jc w:val="both"/>
      </w:pPr>
      <w:r>
        <w:t xml:space="preserve">An agreement on “acceptable” sources </w:t>
      </w:r>
    </w:p>
    <w:p w14:paraId="3F6E78A1" w14:textId="24C65B9A" w:rsidR="00D85E1A" w:rsidRPr="0079115C" w:rsidRDefault="00D85E1A" w:rsidP="00D85E1A">
      <w:pPr>
        <w:pStyle w:val="ListParagraph"/>
        <w:numPr>
          <w:ilvl w:val="0"/>
          <w:numId w:val="2"/>
        </w:numPr>
        <w:jc w:val="both"/>
        <w:rPr>
          <w:b/>
          <w:bCs/>
        </w:rPr>
      </w:pPr>
      <w:r>
        <w:rPr>
          <w:b/>
          <w:bCs/>
        </w:rPr>
        <w:t>P</w:t>
      </w:r>
      <w:r w:rsidRPr="00122B12">
        <w:rPr>
          <w:b/>
          <w:bCs/>
        </w:rPr>
        <w:t xml:space="preserve">eer-reviewed </w:t>
      </w:r>
      <w:r>
        <w:rPr>
          <w:b/>
          <w:bCs/>
        </w:rPr>
        <w:t xml:space="preserve">data </w:t>
      </w:r>
      <w:r w:rsidRPr="00122B12">
        <w:rPr>
          <w:b/>
          <w:bCs/>
        </w:rPr>
        <w:t>analysis</w:t>
      </w:r>
      <w:r>
        <w:rPr>
          <w:b/>
          <w:bCs/>
        </w:rPr>
        <w:t xml:space="preserve"> to quantify</w:t>
      </w:r>
      <w:r w:rsidRPr="00122B12">
        <w:rPr>
          <w:b/>
          <w:bCs/>
        </w:rPr>
        <w:t xml:space="preserve"> </w:t>
      </w:r>
      <w:r>
        <w:rPr>
          <w:b/>
          <w:bCs/>
        </w:rPr>
        <w:t>“C</w:t>
      </w:r>
      <w:r w:rsidRPr="00122B12">
        <w:rPr>
          <w:b/>
          <w:bCs/>
        </w:rPr>
        <w:t xml:space="preserve">orrupting </w:t>
      </w:r>
      <w:r>
        <w:rPr>
          <w:b/>
          <w:bCs/>
        </w:rPr>
        <w:t>I</w:t>
      </w:r>
      <w:r w:rsidRPr="00122B12">
        <w:rPr>
          <w:b/>
          <w:bCs/>
        </w:rPr>
        <w:t>mpact</w:t>
      </w:r>
      <w:r>
        <w:rPr>
          <w:b/>
          <w:bCs/>
        </w:rPr>
        <w:t>”</w:t>
      </w:r>
      <w:r w:rsidRPr="00122B12">
        <w:rPr>
          <w:b/>
          <w:bCs/>
        </w:rPr>
        <w:t>:</w:t>
      </w:r>
    </w:p>
    <w:p w14:paraId="0C169BEC" w14:textId="04984525" w:rsidR="00D85E1A" w:rsidRDefault="00D85E1A" w:rsidP="00D85E1A">
      <w:pPr>
        <w:pStyle w:val="ListParagraph"/>
        <w:numPr>
          <w:ilvl w:val="1"/>
          <w:numId w:val="2"/>
        </w:numPr>
        <w:jc w:val="both"/>
      </w:pPr>
      <w:r>
        <w:t xml:space="preserve">Studying “Displacement </w:t>
      </w:r>
      <w:r w:rsidR="002F3330">
        <w:t>&amp; Affordability Crisis</w:t>
      </w:r>
      <w:r>
        <w:t>” using data from stakeholder agencies</w:t>
      </w:r>
      <w:r>
        <w:rPr>
          <w:rStyle w:val="FootnoteReference"/>
        </w:rPr>
        <w:footnoteReference w:id="8"/>
      </w:r>
      <w:r>
        <w:t xml:space="preserve"> with the following variables:</w:t>
      </w:r>
    </w:p>
    <w:p w14:paraId="1DF090CC" w14:textId="60A13DA2" w:rsidR="00D85E1A" w:rsidRDefault="00D272D9" w:rsidP="00D272D9">
      <w:pPr>
        <w:jc w:val="both"/>
      </w:pPr>
      <w:r>
        <w:rPr>
          <w:noProof/>
          <w:lang w:val="en"/>
        </w:rPr>
        <w:drawing>
          <wp:anchor distT="0" distB="0" distL="114300" distR="114300" simplePos="0" relativeHeight="251659264" behindDoc="0" locked="0" layoutInCell="1" allowOverlap="1" wp14:anchorId="68F3A749" wp14:editId="7A119E11">
            <wp:simplePos x="0" y="0"/>
            <wp:positionH relativeFrom="column">
              <wp:posOffset>903605</wp:posOffset>
            </wp:positionH>
            <wp:positionV relativeFrom="paragraph">
              <wp:posOffset>88265</wp:posOffset>
            </wp:positionV>
            <wp:extent cx="4377690" cy="787400"/>
            <wp:effectExtent l="0" t="0" r="381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7690" cy="787400"/>
                    </a:xfrm>
                    <a:prstGeom prst="rect">
                      <a:avLst/>
                    </a:prstGeom>
                  </pic:spPr>
                </pic:pic>
              </a:graphicData>
            </a:graphic>
            <wp14:sizeRelH relativeFrom="margin">
              <wp14:pctWidth>0</wp14:pctWidth>
            </wp14:sizeRelH>
            <wp14:sizeRelV relativeFrom="margin">
              <wp14:pctHeight>0</wp14:pctHeight>
            </wp14:sizeRelV>
          </wp:anchor>
        </w:drawing>
      </w:r>
    </w:p>
    <w:p w14:paraId="662560C9" w14:textId="57F32B0A" w:rsidR="00D272D9" w:rsidRDefault="00D272D9" w:rsidP="00D272D9">
      <w:pPr>
        <w:jc w:val="both"/>
      </w:pPr>
    </w:p>
    <w:p w14:paraId="3A6C9328" w14:textId="44FBCFB0" w:rsidR="00D272D9" w:rsidRDefault="00D272D9" w:rsidP="00D272D9">
      <w:pPr>
        <w:jc w:val="both"/>
        <w:rPr>
          <w:b/>
          <w:bCs/>
        </w:rPr>
      </w:pPr>
    </w:p>
    <w:p w14:paraId="0B5B7326" w14:textId="77777777" w:rsidR="00D272D9" w:rsidRPr="00D272D9" w:rsidRDefault="00D272D9" w:rsidP="00D272D9">
      <w:pPr>
        <w:jc w:val="both"/>
        <w:rPr>
          <w:b/>
          <w:bCs/>
        </w:rPr>
      </w:pPr>
    </w:p>
    <w:p w14:paraId="30EFA638" w14:textId="2D97FA5D" w:rsidR="00D85E1A" w:rsidRDefault="00D85E1A" w:rsidP="00D85E1A">
      <w:pPr>
        <w:pStyle w:val="ListParagraph"/>
        <w:numPr>
          <w:ilvl w:val="0"/>
          <w:numId w:val="2"/>
        </w:numPr>
        <w:jc w:val="both"/>
        <w:rPr>
          <w:b/>
          <w:bCs/>
        </w:rPr>
      </w:pPr>
      <w:r w:rsidRPr="00FE5B8C">
        <w:rPr>
          <w:b/>
          <w:bCs/>
        </w:rPr>
        <w:lastRenderedPageBreak/>
        <w:t>Measuring “Accountability Avoidance” using</w:t>
      </w:r>
      <w:r>
        <w:rPr>
          <w:b/>
          <w:bCs/>
        </w:rPr>
        <w:t xml:space="preserve"> </w:t>
      </w:r>
      <w:r w:rsidRPr="00FE5B8C">
        <w:rPr>
          <w:b/>
          <w:bCs/>
        </w:rPr>
        <w:t xml:space="preserve">agency </w:t>
      </w:r>
      <w:r>
        <w:rPr>
          <w:b/>
          <w:bCs/>
        </w:rPr>
        <w:t xml:space="preserve">performance audit and other </w:t>
      </w:r>
      <w:r w:rsidRPr="00FE5B8C">
        <w:rPr>
          <w:b/>
          <w:bCs/>
        </w:rPr>
        <w:t>reporting</w:t>
      </w:r>
      <w:r>
        <w:rPr>
          <w:b/>
          <w:bCs/>
        </w:rPr>
        <w:t>,</w:t>
      </w:r>
      <w:r w:rsidRPr="00FE5B8C">
        <w:rPr>
          <w:b/>
          <w:bCs/>
        </w:rPr>
        <w:t xml:space="preserve"> for acknowledgement</w:t>
      </w:r>
      <w:r>
        <w:rPr>
          <w:b/>
          <w:bCs/>
        </w:rPr>
        <w:t xml:space="preserve"> of, and responsiveness to, crisis</w:t>
      </w:r>
      <w:r w:rsidRPr="00FE5B8C">
        <w:rPr>
          <w:b/>
          <w:bCs/>
        </w:rPr>
        <w:t>:</w:t>
      </w:r>
    </w:p>
    <w:p w14:paraId="74C89073" w14:textId="77777777" w:rsidR="00D85E1A" w:rsidRPr="00FE5B8C" w:rsidRDefault="00D85E1A" w:rsidP="00D85E1A">
      <w:pPr>
        <w:pStyle w:val="ListParagraph"/>
        <w:numPr>
          <w:ilvl w:val="1"/>
          <w:numId w:val="2"/>
        </w:numPr>
        <w:jc w:val="both"/>
        <w:rPr>
          <w:b/>
          <w:bCs/>
        </w:rPr>
      </w:pPr>
      <w:r w:rsidRPr="00FE5B8C">
        <w:t>Defining accountability avoidance</w:t>
      </w:r>
      <w:r>
        <w:rPr>
          <w:rStyle w:val="CommentReference"/>
        </w:rPr>
        <w:t xml:space="preserve">: </w:t>
      </w:r>
      <w:r w:rsidRPr="00FE5B8C">
        <w:rPr>
          <w:i/>
          <w:iCs/>
        </w:rPr>
        <w:t>Paul Light</w:t>
      </w:r>
      <w:r>
        <w:rPr>
          <w:i/>
          <w:iCs/>
        </w:rPr>
        <w:t xml:space="preserve"> -</w:t>
      </w:r>
      <w:r w:rsidRPr="00FE5B8C">
        <w:t xml:space="preserve"> </w:t>
      </w:r>
      <w:r w:rsidRPr="00FE5B8C">
        <w:rPr>
          <w:i/>
          <w:iCs/>
        </w:rPr>
        <w:t>Monitoring Government</w:t>
      </w:r>
      <w:r>
        <w:rPr>
          <w:rStyle w:val="FootnoteReference"/>
          <w:i/>
          <w:iCs/>
        </w:rPr>
        <w:footnoteReference w:id="9"/>
      </w:r>
    </w:p>
    <w:p w14:paraId="4D5A9160" w14:textId="77777777" w:rsidR="00D85E1A" w:rsidRPr="00FE5B8C" w:rsidRDefault="00D85E1A" w:rsidP="00D85E1A">
      <w:pPr>
        <w:pStyle w:val="ListParagraph"/>
        <w:numPr>
          <w:ilvl w:val="1"/>
          <w:numId w:val="2"/>
        </w:numPr>
        <w:jc w:val="both"/>
        <w:rPr>
          <w:b/>
          <w:bCs/>
        </w:rPr>
      </w:pPr>
      <w:r>
        <w:t xml:space="preserve">Measuring accountability avoidance </w:t>
      </w:r>
    </w:p>
    <w:p w14:paraId="2687E49F" w14:textId="77777777" w:rsidR="00D85E1A" w:rsidRPr="00FE5B8C" w:rsidRDefault="00D85E1A" w:rsidP="00D85E1A">
      <w:pPr>
        <w:pStyle w:val="ListParagraph"/>
        <w:numPr>
          <w:ilvl w:val="2"/>
          <w:numId w:val="2"/>
        </w:numPr>
        <w:jc w:val="both"/>
        <w:rPr>
          <w:b/>
          <w:bCs/>
        </w:rPr>
      </w:pPr>
      <w:r w:rsidRPr="00FE5B8C">
        <w:rPr>
          <w:u w:val="single"/>
        </w:rPr>
        <w:t>Compliance Review:</w:t>
      </w:r>
      <w:r>
        <w:t xml:space="preserve"> </w:t>
      </w:r>
      <w:r w:rsidRPr="001377C0">
        <w:rPr>
          <w:i/>
          <w:iCs/>
        </w:rPr>
        <w:t xml:space="preserve">Does agency provide </w:t>
      </w:r>
      <w:r>
        <w:rPr>
          <w:i/>
          <w:iCs/>
        </w:rPr>
        <w:t xml:space="preserve">citizens with transparent access </w:t>
      </w:r>
      <w:r w:rsidRPr="001377C0">
        <w:rPr>
          <w:i/>
          <w:iCs/>
        </w:rPr>
        <w:t xml:space="preserve">to data </w:t>
      </w:r>
      <w:r>
        <w:rPr>
          <w:i/>
          <w:iCs/>
        </w:rPr>
        <w:t xml:space="preserve">for </w:t>
      </w:r>
      <w:r w:rsidRPr="001377C0">
        <w:rPr>
          <w:i/>
          <w:iCs/>
        </w:rPr>
        <w:t>assess</w:t>
      </w:r>
      <w:r>
        <w:rPr>
          <w:i/>
          <w:iCs/>
        </w:rPr>
        <w:t>ing</w:t>
      </w:r>
      <w:r w:rsidRPr="001377C0">
        <w:rPr>
          <w:i/>
          <w:iCs/>
        </w:rPr>
        <w:t xml:space="preserve"> non-compliance and accountability avoidance</w:t>
      </w:r>
      <w:r>
        <w:rPr>
          <w:i/>
          <w:iCs/>
        </w:rPr>
        <w:t>.</w:t>
      </w:r>
    </w:p>
    <w:p w14:paraId="465A6BF2" w14:textId="77777777" w:rsidR="00D85E1A" w:rsidRDefault="00D85E1A" w:rsidP="00D85E1A">
      <w:pPr>
        <w:pStyle w:val="ListParagraph"/>
        <w:numPr>
          <w:ilvl w:val="4"/>
          <w:numId w:val="2"/>
        </w:numPr>
        <w:jc w:val="both"/>
      </w:pPr>
      <w:r>
        <w:t xml:space="preserve">Individual “rent basis history”; </w:t>
      </w:r>
    </w:p>
    <w:p w14:paraId="1AFB7664" w14:textId="77777777" w:rsidR="00D85E1A" w:rsidRDefault="00D85E1A" w:rsidP="00D85E1A">
      <w:pPr>
        <w:pStyle w:val="ListParagraph"/>
        <w:numPr>
          <w:ilvl w:val="4"/>
          <w:numId w:val="2"/>
        </w:numPr>
        <w:jc w:val="both"/>
      </w:pPr>
      <w:r>
        <w:t>Information on “Preferential Rent” tenancies.</w:t>
      </w:r>
    </w:p>
    <w:p w14:paraId="3BF98902" w14:textId="03E3C535" w:rsidR="00D85E1A" w:rsidRDefault="00D85E1A" w:rsidP="00D85E1A">
      <w:pPr>
        <w:pStyle w:val="ListParagraph"/>
        <w:numPr>
          <w:ilvl w:val="2"/>
          <w:numId w:val="2"/>
        </w:numPr>
        <w:jc w:val="both"/>
      </w:pPr>
      <w:r w:rsidRPr="00FE5B8C">
        <w:rPr>
          <w:u w:val="single"/>
        </w:rPr>
        <w:t>Capacity Review:</w:t>
      </w:r>
      <w:r>
        <w:t xml:space="preserve"> </w:t>
      </w:r>
      <w:r w:rsidRPr="001377C0">
        <w:rPr>
          <w:i/>
          <w:iCs/>
        </w:rPr>
        <w:t xml:space="preserve">Was </w:t>
      </w:r>
      <w:r>
        <w:rPr>
          <w:i/>
          <w:iCs/>
        </w:rPr>
        <w:t>agency</w:t>
      </w:r>
      <w:r w:rsidRPr="001377C0">
        <w:rPr>
          <w:i/>
          <w:iCs/>
        </w:rPr>
        <w:t xml:space="preserve"> capacity increased as evictions and % rent burdened increased.</w:t>
      </w:r>
      <w:r>
        <w:t xml:space="preserve"> [City budget, Personnel Power, Self-Assessment Controllability survey]</w:t>
      </w:r>
    </w:p>
    <w:p w14:paraId="54113235" w14:textId="7E91306D" w:rsidR="005C0008" w:rsidRDefault="005C0008" w:rsidP="005C0008">
      <w:pPr>
        <w:pStyle w:val="ListParagraph"/>
        <w:numPr>
          <w:ilvl w:val="4"/>
          <w:numId w:val="2"/>
        </w:numPr>
        <w:jc w:val="both"/>
      </w:pPr>
      <w:r>
        <w:t>“Due Diligence” verifying rent increases outside guidelines;</w:t>
      </w:r>
    </w:p>
    <w:p w14:paraId="6F09F1C8" w14:textId="77777777" w:rsidR="00D85E1A" w:rsidRPr="001377C0" w:rsidRDefault="00D85E1A" w:rsidP="00D85E1A">
      <w:pPr>
        <w:pStyle w:val="ListParagraph"/>
        <w:numPr>
          <w:ilvl w:val="2"/>
          <w:numId w:val="2"/>
        </w:numPr>
        <w:jc w:val="both"/>
        <w:rPr>
          <w:i/>
          <w:iCs/>
        </w:rPr>
      </w:pPr>
      <w:r w:rsidRPr="00FE5B8C">
        <w:rPr>
          <w:u w:val="single"/>
        </w:rPr>
        <w:t>Performance Review:</w:t>
      </w:r>
      <w:r w:rsidRPr="00E44470">
        <w:t xml:space="preserve"> </w:t>
      </w:r>
      <w:r w:rsidRPr="001377C0">
        <w:rPr>
          <w:i/>
          <w:iCs/>
        </w:rPr>
        <w:t>Did stakeholder agencies acknowledge and respond to developing crisis.</w:t>
      </w:r>
    </w:p>
    <w:p w14:paraId="6B8D809C" w14:textId="7B0C8FFA" w:rsidR="00D85E1A" w:rsidRDefault="00D85E1A" w:rsidP="00D85E1A">
      <w:pPr>
        <w:pStyle w:val="ListParagraph"/>
        <w:numPr>
          <w:ilvl w:val="4"/>
          <w:numId w:val="2"/>
        </w:numPr>
        <w:jc w:val="both"/>
      </w:pPr>
      <w:r w:rsidRPr="00D85E1A">
        <w:rPr>
          <w:i/>
          <w:iCs/>
        </w:rPr>
        <w:t>Awareness of developing crisis</w:t>
      </w:r>
      <w:r>
        <w:t xml:space="preserve"> [Code Violations reporting; Agency Budget requests; Mercatus Center survey]</w:t>
      </w:r>
    </w:p>
    <w:p w14:paraId="2E8BE3B9" w14:textId="2BFC6B86" w:rsidR="00D85E1A" w:rsidRDefault="00D85E1A" w:rsidP="00D85E1A">
      <w:pPr>
        <w:pStyle w:val="ListParagraph"/>
        <w:numPr>
          <w:ilvl w:val="4"/>
          <w:numId w:val="2"/>
        </w:numPr>
        <w:jc w:val="both"/>
      </w:pPr>
      <w:r w:rsidRPr="00D85E1A">
        <w:rPr>
          <w:i/>
          <w:iCs/>
        </w:rPr>
        <w:t>Corrective recommendation</w:t>
      </w:r>
      <w:r>
        <w:rPr>
          <w:i/>
          <w:iCs/>
        </w:rPr>
        <w:t>s implemented</w:t>
      </w:r>
      <w:r>
        <w:t xml:space="preserve"> [Mercatus Center survey; Sample-FA Individual, Agency Recommendation Assessment Form].</w:t>
      </w:r>
    </w:p>
    <w:p w14:paraId="2C441477" w14:textId="401EABAA" w:rsidR="00D85E1A" w:rsidRDefault="00D85E1A" w:rsidP="00D85E1A">
      <w:pPr>
        <w:pStyle w:val="ListParagraph"/>
        <w:numPr>
          <w:ilvl w:val="4"/>
          <w:numId w:val="2"/>
        </w:numPr>
        <w:jc w:val="both"/>
      </w:pPr>
      <w:r w:rsidRPr="00D85E1A">
        <w:rPr>
          <w:i/>
          <w:iCs/>
        </w:rPr>
        <w:t>Citizen constituent “personal experience”</w:t>
      </w:r>
      <w:r>
        <w:t xml:space="preserve"> [Appendix E]</w:t>
      </w:r>
    </w:p>
    <w:p w14:paraId="4AD1F192" w14:textId="73AC6B2D" w:rsidR="00D85E1A" w:rsidRDefault="00D85E1A" w:rsidP="00D85E1A">
      <w:pPr>
        <w:pStyle w:val="ListParagraph"/>
        <w:numPr>
          <w:ilvl w:val="4"/>
          <w:numId w:val="2"/>
        </w:numPr>
        <w:jc w:val="both"/>
      </w:pPr>
      <w:r w:rsidRPr="00D85E1A">
        <w:rPr>
          <w:i/>
          <w:iCs/>
        </w:rPr>
        <w:t>Agency Reputation Analysis</w:t>
      </w:r>
      <w:r>
        <w:t xml:space="preserve"> [customer satisfaction survey]</w:t>
      </w:r>
    </w:p>
    <w:p w14:paraId="732D4DCB" w14:textId="3898960F" w:rsidR="00D85E1A" w:rsidRDefault="00D85E1A" w:rsidP="00D85E1A">
      <w:pPr>
        <w:pStyle w:val="ListParagraph"/>
        <w:numPr>
          <w:ilvl w:val="4"/>
          <w:numId w:val="2"/>
        </w:numPr>
        <w:jc w:val="both"/>
      </w:pPr>
      <w:r w:rsidRPr="00D85E1A">
        <w:rPr>
          <w:i/>
          <w:iCs/>
        </w:rPr>
        <w:t>Elected Official Reputation Analysis</w:t>
      </w:r>
      <w:r>
        <w:t xml:space="preserve"> [customer satisfaction survey]</w:t>
      </w:r>
    </w:p>
    <w:p w14:paraId="2C0E6A32" w14:textId="77777777" w:rsidR="00D85E1A" w:rsidRPr="00BA5FA4" w:rsidRDefault="00D85E1A" w:rsidP="00D85E1A">
      <w:pPr>
        <w:jc w:val="both"/>
        <w:rPr>
          <w:b/>
          <w:bCs/>
          <w:i/>
          <w:iCs/>
        </w:rPr>
      </w:pPr>
      <w:r w:rsidRPr="00BA5FA4">
        <w:rPr>
          <w:b/>
          <w:bCs/>
          <w:i/>
          <w:iCs/>
        </w:rPr>
        <w:t>The Outcomes:</w:t>
      </w:r>
    </w:p>
    <w:p w14:paraId="400CC6F9" w14:textId="77777777" w:rsidR="00D85E1A" w:rsidRPr="007031F3" w:rsidRDefault="00D85E1A" w:rsidP="00D85E1A">
      <w:pPr>
        <w:pStyle w:val="ListParagraph"/>
        <w:numPr>
          <w:ilvl w:val="0"/>
          <w:numId w:val="3"/>
        </w:numPr>
        <w:jc w:val="both"/>
        <w:rPr>
          <w:b/>
          <w:bCs/>
        </w:rPr>
      </w:pPr>
      <w:r w:rsidRPr="007031F3">
        <w:rPr>
          <w:b/>
          <w:bCs/>
        </w:rPr>
        <w:t xml:space="preserve">Quantify </w:t>
      </w:r>
      <w:r>
        <w:rPr>
          <w:b/>
          <w:bCs/>
        </w:rPr>
        <w:t xml:space="preserve">&amp; report on disparate </w:t>
      </w:r>
      <w:r>
        <w:rPr>
          <w:b/>
          <w:bCs/>
          <w:i/>
          <w:iCs/>
        </w:rPr>
        <w:t>Corrupting Impact</w:t>
      </w:r>
      <w:r>
        <w:rPr>
          <w:b/>
          <w:bCs/>
        </w:rPr>
        <w:t xml:space="preserve"> effect</w:t>
      </w:r>
      <w:r w:rsidRPr="007031F3">
        <w:rPr>
          <w:b/>
          <w:bCs/>
        </w:rPr>
        <w:t xml:space="preserve"> on protected groups</w:t>
      </w:r>
      <w:r>
        <w:rPr>
          <w:b/>
          <w:bCs/>
        </w:rPr>
        <w:t>.</w:t>
      </w:r>
    </w:p>
    <w:p w14:paraId="453A0AE2" w14:textId="77777777" w:rsidR="00D85E1A" w:rsidRPr="007031F3" w:rsidRDefault="00D85E1A" w:rsidP="00D85E1A">
      <w:pPr>
        <w:pStyle w:val="ListParagraph"/>
        <w:numPr>
          <w:ilvl w:val="0"/>
          <w:numId w:val="3"/>
        </w:numPr>
        <w:jc w:val="both"/>
        <w:rPr>
          <w:b/>
          <w:bCs/>
        </w:rPr>
      </w:pPr>
      <w:r w:rsidRPr="007031F3">
        <w:rPr>
          <w:b/>
          <w:bCs/>
        </w:rPr>
        <w:t>Work with all stakeholders for restorative justice through</w:t>
      </w:r>
      <w:r>
        <w:rPr>
          <w:b/>
          <w:bCs/>
        </w:rPr>
        <w:t xml:space="preserve"> legislative</w:t>
      </w:r>
      <w:r w:rsidRPr="007031F3">
        <w:rPr>
          <w:b/>
          <w:bCs/>
        </w:rPr>
        <w:t xml:space="preserve"> and judicial measure</w:t>
      </w:r>
      <w:r>
        <w:rPr>
          <w:b/>
          <w:bCs/>
        </w:rPr>
        <w:t>s</w:t>
      </w:r>
      <w:r w:rsidRPr="007031F3">
        <w:rPr>
          <w:b/>
          <w:bCs/>
        </w:rPr>
        <w:t>.</w:t>
      </w:r>
    </w:p>
    <w:p w14:paraId="5EC0646E" w14:textId="77777777" w:rsidR="00D85E1A" w:rsidRPr="007031F3" w:rsidRDefault="00D85E1A" w:rsidP="00D85E1A">
      <w:pPr>
        <w:pStyle w:val="ListParagraph"/>
        <w:numPr>
          <w:ilvl w:val="0"/>
          <w:numId w:val="3"/>
        </w:numPr>
        <w:jc w:val="both"/>
        <w:rPr>
          <w:b/>
          <w:bCs/>
        </w:rPr>
      </w:pPr>
      <w:r w:rsidRPr="007031F3">
        <w:rPr>
          <w:b/>
          <w:bCs/>
        </w:rPr>
        <w:t xml:space="preserve">Ensure housing </w:t>
      </w:r>
      <w:r>
        <w:rPr>
          <w:b/>
          <w:bCs/>
        </w:rPr>
        <w:t>funds are “earmarked”</w:t>
      </w:r>
      <w:r w:rsidRPr="007031F3">
        <w:rPr>
          <w:b/>
          <w:bCs/>
        </w:rPr>
        <w:t xml:space="preserve"> and </w:t>
      </w:r>
      <w:r>
        <w:rPr>
          <w:b/>
          <w:bCs/>
        </w:rPr>
        <w:t xml:space="preserve">administrative agencies are fully funded </w:t>
      </w:r>
      <w:r w:rsidRPr="007031F3">
        <w:rPr>
          <w:b/>
          <w:bCs/>
        </w:rPr>
        <w:t>t</w:t>
      </w:r>
      <w:r>
        <w:rPr>
          <w:b/>
          <w:bCs/>
        </w:rPr>
        <w:t>o</w:t>
      </w:r>
      <w:r w:rsidRPr="007031F3">
        <w:rPr>
          <w:b/>
          <w:bCs/>
        </w:rPr>
        <w:t xml:space="preserve"> capacity requirements.</w:t>
      </w:r>
    </w:p>
    <w:p w14:paraId="15D9B21F" w14:textId="77777777" w:rsidR="00D85E1A" w:rsidRPr="001A7DC1" w:rsidRDefault="00D85E1A" w:rsidP="00D85E1A">
      <w:pPr>
        <w:jc w:val="both"/>
      </w:pPr>
    </w:p>
    <w:p w14:paraId="39CF60D6" w14:textId="77777777" w:rsidR="005B03CB" w:rsidRDefault="005B03CB"/>
    <w:sectPr w:rsidR="005B03CB" w:rsidSect="00BA5FA4">
      <w:headerReference w:type="default" r:id="rId8"/>
      <w:pgSz w:w="12240" w:h="15840"/>
      <w:pgMar w:top="108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FFE9A" w14:textId="77777777" w:rsidR="006C0F79" w:rsidRDefault="006C0F79" w:rsidP="00D85E1A">
      <w:pPr>
        <w:spacing w:after="0" w:line="240" w:lineRule="auto"/>
      </w:pPr>
      <w:r>
        <w:separator/>
      </w:r>
    </w:p>
  </w:endnote>
  <w:endnote w:type="continuationSeparator" w:id="0">
    <w:p w14:paraId="1DE1B6F9" w14:textId="77777777" w:rsidR="006C0F79" w:rsidRDefault="006C0F79" w:rsidP="00D8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977C9" w14:textId="77777777" w:rsidR="006C0F79" w:rsidRDefault="006C0F79" w:rsidP="00D85E1A">
      <w:pPr>
        <w:spacing w:after="0" w:line="240" w:lineRule="auto"/>
      </w:pPr>
      <w:r>
        <w:separator/>
      </w:r>
    </w:p>
  </w:footnote>
  <w:footnote w:type="continuationSeparator" w:id="0">
    <w:p w14:paraId="6DE3BC6B" w14:textId="77777777" w:rsidR="006C0F79" w:rsidRDefault="006C0F79" w:rsidP="00D85E1A">
      <w:pPr>
        <w:spacing w:after="0" w:line="240" w:lineRule="auto"/>
      </w:pPr>
      <w:r>
        <w:continuationSeparator/>
      </w:r>
    </w:p>
  </w:footnote>
  <w:footnote w:id="1">
    <w:p w14:paraId="177D58B1" w14:textId="77777777" w:rsidR="00D85E1A" w:rsidRPr="003A3ED5" w:rsidRDefault="00D85E1A" w:rsidP="00D85E1A">
      <w:pPr>
        <w:pStyle w:val="FootnoteText"/>
        <w:jc w:val="both"/>
        <w:rPr>
          <w:rFonts w:cstheme="minorHAnsi"/>
          <w:sz w:val="18"/>
          <w:szCs w:val="18"/>
        </w:rPr>
      </w:pPr>
      <w:r w:rsidRPr="003A3ED5">
        <w:rPr>
          <w:rStyle w:val="FootnoteReference"/>
          <w:rFonts w:cstheme="minorHAnsi"/>
          <w:sz w:val="18"/>
          <w:szCs w:val="18"/>
        </w:rPr>
        <w:footnoteRef/>
      </w:r>
      <w:r w:rsidRPr="003A3ED5">
        <w:rPr>
          <w:rFonts w:cstheme="minorHAnsi"/>
          <w:b/>
          <w:bCs/>
          <w:sz w:val="18"/>
          <w:szCs w:val="18"/>
          <w:shd w:val="clear" w:color="auto" w:fill="FFFFFF"/>
        </w:rPr>
        <w:t>Interest group</w:t>
      </w:r>
      <w:r w:rsidRPr="003A3ED5">
        <w:rPr>
          <w:rFonts w:cstheme="minorHAnsi"/>
          <w:sz w:val="18"/>
          <w:szCs w:val="18"/>
          <w:shd w:val="clear" w:color="auto" w:fill="FFFFFF"/>
        </w:rPr>
        <w:t> is a group of individuals that share a common interest in a specific subject and work jointly to influence public policy in its favor. Interest groups are also called </w:t>
      </w:r>
      <w:r w:rsidRPr="003A3ED5">
        <w:rPr>
          <w:rFonts w:cstheme="minorHAnsi"/>
          <w:b/>
          <w:bCs/>
          <w:sz w:val="18"/>
          <w:szCs w:val="18"/>
          <w:shd w:val="clear" w:color="auto" w:fill="FFFFFF"/>
        </w:rPr>
        <w:t>pressure groups</w:t>
      </w:r>
      <w:r w:rsidRPr="003A3ED5">
        <w:rPr>
          <w:rFonts w:cstheme="minorHAnsi"/>
          <w:sz w:val="18"/>
          <w:szCs w:val="18"/>
          <w:shd w:val="clear" w:color="auto" w:fill="FFFFFF"/>
        </w:rPr>
        <w:t xml:space="preserve"> because they exert pressure on policy makers to influence public policies. – </w:t>
      </w:r>
      <w:r w:rsidRPr="000E0BF8">
        <w:rPr>
          <w:rFonts w:cstheme="minorHAnsi"/>
          <w:b/>
          <w:bCs/>
          <w:i/>
          <w:iCs/>
          <w:sz w:val="18"/>
          <w:szCs w:val="18"/>
          <w:shd w:val="clear" w:color="auto" w:fill="FFFFFF"/>
        </w:rPr>
        <w:t>Retrieved from:</w:t>
      </w:r>
      <w:r w:rsidRPr="003A3ED5">
        <w:rPr>
          <w:rFonts w:cstheme="minorHAnsi"/>
          <w:sz w:val="18"/>
          <w:szCs w:val="18"/>
          <w:shd w:val="clear" w:color="auto" w:fill="FFFFFF"/>
        </w:rPr>
        <w:t xml:space="preserve"> </w:t>
      </w:r>
      <w:hyperlink r:id="rId1" w:history="1">
        <w:r w:rsidRPr="003A3ED5">
          <w:rPr>
            <w:rStyle w:val="Hyperlink"/>
            <w:rFonts w:cstheme="minorHAnsi"/>
            <w:sz w:val="18"/>
            <w:szCs w:val="18"/>
          </w:rPr>
          <w:t>Interest Group: Definition, Purpose, Theory &amp; Examples - Video &amp; Lesson Transcript | Study.com</w:t>
        </w:r>
      </w:hyperlink>
    </w:p>
  </w:footnote>
  <w:footnote w:id="2">
    <w:p w14:paraId="3EC029E9" w14:textId="77777777" w:rsidR="00D85E1A" w:rsidRPr="003A3ED5" w:rsidRDefault="00D85E1A" w:rsidP="00D85E1A">
      <w:pPr>
        <w:pStyle w:val="FootnoteText"/>
        <w:jc w:val="both"/>
        <w:rPr>
          <w:rFonts w:cstheme="minorHAnsi"/>
          <w:sz w:val="18"/>
          <w:szCs w:val="18"/>
        </w:rPr>
      </w:pPr>
      <w:r w:rsidRPr="00F42370">
        <w:rPr>
          <w:rStyle w:val="FootnoteReference"/>
          <w:rFonts w:cstheme="minorHAnsi"/>
          <w:sz w:val="18"/>
          <w:szCs w:val="18"/>
        </w:rPr>
        <w:footnoteRef/>
      </w:r>
      <w:r w:rsidRPr="00F42370">
        <w:rPr>
          <w:rFonts w:cstheme="minorHAnsi"/>
          <w:b/>
          <w:bCs/>
          <w:sz w:val="18"/>
          <w:szCs w:val="18"/>
          <w:shd w:val="clear" w:color="auto" w:fill="F8F9FA"/>
        </w:rPr>
        <w:t>Tone at the top</w:t>
      </w:r>
      <w:r w:rsidRPr="00F42370">
        <w:rPr>
          <w:rFonts w:cstheme="minorHAnsi"/>
          <w:sz w:val="18"/>
          <w:szCs w:val="18"/>
          <w:shd w:val="clear" w:color="auto" w:fill="F8F9FA"/>
        </w:rPr>
        <w:t xml:space="preserve">, commonly referred to in auditing, is </w:t>
      </w:r>
      <w:r w:rsidRPr="001E797E">
        <w:rPr>
          <w:rFonts w:cstheme="minorHAnsi"/>
          <w:sz w:val="18"/>
          <w:szCs w:val="18"/>
          <w:shd w:val="clear" w:color="auto" w:fill="F8F9FA"/>
        </w:rPr>
        <w:t>used to define</w:t>
      </w:r>
      <w:r w:rsidRPr="00F42370">
        <w:rPr>
          <w:rFonts w:cstheme="minorHAnsi"/>
          <w:sz w:val="18"/>
          <w:szCs w:val="18"/>
          <w:shd w:val="clear" w:color="auto" w:fill="F8F9FA"/>
        </w:rPr>
        <w:t xml:space="preserve"> a company’s management and board of director’s </w:t>
      </w:r>
      <w:hyperlink r:id="rId2" w:history="1">
        <w:r w:rsidRPr="00F42370">
          <w:rPr>
            <w:rStyle w:val="Hyperlink"/>
            <w:rFonts w:cstheme="minorHAnsi"/>
            <w:sz w:val="18"/>
            <w:szCs w:val="18"/>
            <w:shd w:val="clear" w:color="auto" w:fill="F8F9FA"/>
          </w:rPr>
          <w:t>leadership</w:t>
        </w:r>
      </w:hyperlink>
      <w:r w:rsidRPr="00F42370">
        <w:rPr>
          <w:rFonts w:cstheme="minorHAnsi"/>
          <w:sz w:val="18"/>
          <w:szCs w:val="18"/>
          <w:shd w:val="clear" w:color="auto" w:fill="F8F9FA"/>
        </w:rPr>
        <w:t xml:space="preserve"> and their </w:t>
      </w:r>
      <w:r w:rsidRPr="008572FE">
        <w:rPr>
          <w:rFonts w:cstheme="minorHAnsi"/>
          <w:sz w:val="18"/>
          <w:szCs w:val="18"/>
          <w:shd w:val="clear" w:color="auto" w:fill="F8F9FA"/>
        </w:rPr>
        <w:t>commitment</w:t>
      </w:r>
      <w:r w:rsidRPr="00F42370">
        <w:rPr>
          <w:rFonts w:cstheme="minorHAnsi"/>
          <w:sz w:val="18"/>
          <w:szCs w:val="18"/>
          <w:shd w:val="clear" w:color="auto" w:fill="F8F9FA"/>
        </w:rPr>
        <w:t xml:space="preserve"> to being honest and ethical. The tone at the top sets forth a company’s cultural environment and corporate values. – </w:t>
      </w:r>
      <w:r w:rsidRPr="000E0BF8">
        <w:rPr>
          <w:rFonts w:cstheme="minorHAnsi"/>
          <w:b/>
          <w:bCs/>
          <w:i/>
          <w:iCs/>
          <w:sz w:val="18"/>
          <w:szCs w:val="18"/>
          <w:shd w:val="clear" w:color="auto" w:fill="FFFFFF"/>
        </w:rPr>
        <w:t>Retrieved from:</w:t>
      </w:r>
      <w:r w:rsidRPr="00F42370">
        <w:rPr>
          <w:rFonts w:cstheme="minorHAnsi"/>
          <w:b/>
          <w:bCs/>
          <w:sz w:val="18"/>
          <w:szCs w:val="18"/>
          <w:shd w:val="clear" w:color="auto" w:fill="FFFFFF"/>
        </w:rPr>
        <w:t xml:space="preserve"> </w:t>
      </w:r>
      <w:hyperlink r:id="rId3" w:anchor=":~:text=Tone%20at%20the%20top,%20commonly%20referred%20to%20in,forth%20a%20company%E2%80%99s%20cultural%20environment%20and%20corporate%20values." w:history="1">
        <w:r w:rsidRPr="00F42370">
          <w:rPr>
            <w:rStyle w:val="Hyperlink"/>
            <w:sz w:val="18"/>
            <w:szCs w:val="18"/>
          </w:rPr>
          <w:t>Tone at the Top - Definition, How To Improve, Example (corporatefinanceinstitute.com)</w:t>
        </w:r>
      </w:hyperlink>
    </w:p>
  </w:footnote>
  <w:footnote w:id="3">
    <w:p w14:paraId="6D149E8B" w14:textId="77777777" w:rsidR="00D85E1A" w:rsidRPr="003A3ED5" w:rsidRDefault="00D85E1A" w:rsidP="00D85E1A">
      <w:pPr>
        <w:pStyle w:val="FootnoteText"/>
        <w:jc w:val="both"/>
        <w:rPr>
          <w:rFonts w:cstheme="minorHAnsi"/>
          <w:sz w:val="18"/>
          <w:szCs w:val="18"/>
        </w:rPr>
      </w:pPr>
      <w:r w:rsidRPr="003A3ED5">
        <w:rPr>
          <w:rStyle w:val="FootnoteReference"/>
          <w:rFonts w:cstheme="minorHAnsi"/>
          <w:sz w:val="18"/>
          <w:szCs w:val="18"/>
        </w:rPr>
        <w:footnoteRef/>
      </w:r>
      <w:r w:rsidRPr="003A3ED5">
        <w:rPr>
          <w:rFonts w:cstheme="minorHAnsi"/>
          <w:sz w:val="18"/>
          <w:szCs w:val="18"/>
          <w:bdr w:val="none" w:sz="0" w:space="0" w:color="auto" w:frame="1"/>
        </w:rPr>
        <w:t>McConnell v. Federal Election Commission, 540 U.S. 93 (2003</w:t>
      </w:r>
      <w:r w:rsidRPr="003A3ED5">
        <w:rPr>
          <w:rFonts w:cstheme="minorHAnsi"/>
          <w:sz w:val="18"/>
          <w:szCs w:val="18"/>
        </w:rPr>
        <w:t>)</w:t>
      </w:r>
    </w:p>
  </w:footnote>
  <w:footnote w:id="4">
    <w:p w14:paraId="4B131E9A" w14:textId="77777777" w:rsidR="00D85E1A" w:rsidRPr="000D62F5" w:rsidRDefault="00D85E1A" w:rsidP="00D85E1A">
      <w:pPr>
        <w:pStyle w:val="FootnoteText"/>
        <w:jc w:val="both"/>
        <w:rPr>
          <w:rFonts w:cstheme="minorHAnsi"/>
          <w:sz w:val="18"/>
          <w:szCs w:val="18"/>
        </w:rPr>
      </w:pPr>
      <w:r w:rsidRPr="003A3ED5">
        <w:rPr>
          <w:rStyle w:val="FootnoteReference"/>
          <w:rFonts w:cstheme="minorHAnsi"/>
          <w:sz w:val="18"/>
          <w:szCs w:val="18"/>
        </w:rPr>
        <w:footnoteRef/>
      </w:r>
      <w:r w:rsidRPr="003A3ED5">
        <w:rPr>
          <w:rFonts w:cstheme="minorHAnsi"/>
          <w:sz w:val="18"/>
          <w:szCs w:val="18"/>
        </w:rPr>
        <w:t xml:space="preserve">Strauss, D. (1994). Corruption, Equality, and Campaign Finance Reform. Columbia Law Review, 94(4), 1369-1389. </w:t>
      </w:r>
      <w:r w:rsidRPr="000D62F5">
        <w:rPr>
          <w:rFonts w:cstheme="minorHAnsi"/>
          <w:sz w:val="18"/>
          <w:szCs w:val="18"/>
        </w:rPr>
        <w:t>doi:10.2307/1123287 (p.1370, pp.3</w:t>
      </w:r>
      <w:r>
        <w:rPr>
          <w:rFonts w:cstheme="minorHAnsi"/>
          <w:sz w:val="18"/>
          <w:szCs w:val="18"/>
        </w:rPr>
        <w:t>-4</w:t>
      </w:r>
      <w:r w:rsidRPr="000D62F5">
        <w:rPr>
          <w:rFonts w:cstheme="minorHAnsi"/>
          <w:sz w:val="18"/>
          <w:szCs w:val="18"/>
        </w:rPr>
        <w:t>).</w:t>
      </w:r>
    </w:p>
  </w:footnote>
  <w:footnote w:id="5">
    <w:p w14:paraId="3789C732" w14:textId="77777777" w:rsidR="00D85E1A" w:rsidRPr="000D62F5" w:rsidRDefault="00D85E1A" w:rsidP="00D85E1A">
      <w:pPr>
        <w:pStyle w:val="FootnoteText"/>
        <w:tabs>
          <w:tab w:val="left" w:pos="3510"/>
        </w:tabs>
        <w:jc w:val="both"/>
        <w:rPr>
          <w:i/>
          <w:iCs/>
        </w:rPr>
      </w:pPr>
      <w:r w:rsidRPr="000D62F5">
        <w:rPr>
          <w:rStyle w:val="FootnoteReference"/>
          <w:sz w:val="18"/>
          <w:szCs w:val="18"/>
        </w:rPr>
        <w:footnoteRef/>
      </w:r>
      <w:r w:rsidRPr="000D62F5">
        <w:rPr>
          <w:sz w:val="18"/>
          <w:szCs w:val="18"/>
        </w:rPr>
        <w:t xml:space="preserve"> </w:t>
      </w:r>
      <w:r>
        <w:rPr>
          <w:i/>
          <w:iCs/>
          <w:sz w:val="18"/>
          <w:szCs w:val="18"/>
        </w:rPr>
        <w:t>IBID.</w:t>
      </w:r>
    </w:p>
  </w:footnote>
  <w:footnote w:id="6">
    <w:p w14:paraId="3BABAD6B" w14:textId="77777777" w:rsidR="00D85E1A" w:rsidRPr="003A3ED5" w:rsidRDefault="00D85E1A" w:rsidP="00D85E1A">
      <w:pPr>
        <w:pStyle w:val="FootnoteText"/>
        <w:jc w:val="both"/>
        <w:rPr>
          <w:sz w:val="18"/>
          <w:szCs w:val="18"/>
        </w:rPr>
      </w:pPr>
      <w:r w:rsidRPr="003A3ED5">
        <w:rPr>
          <w:rStyle w:val="FootnoteReference"/>
          <w:sz w:val="18"/>
          <w:szCs w:val="18"/>
        </w:rPr>
        <w:footnoteRef/>
      </w:r>
      <w:r w:rsidRPr="003A3ED5">
        <w:rPr>
          <w:b/>
          <w:bCs/>
          <w:sz w:val="18"/>
          <w:szCs w:val="18"/>
        </w:rPr>
        <w:t>Citizen Constituents:</w:t>
      </w:r>
      <w:r w:rsidRPr="003A3ED5">
        <w:rPr>
          <w:sz w:val="18"/>
          <w:szCs w:val="18"/>
        </w:rPr>
        <w:t xml:space="preserve"> The citizen constituent is a group larger than taxpayers and includes all individuals currently residing in any particular jurisdiction, at all levels of jurisdictional definitions.</w:t>
      </w:r>
    </w:p>
  </w:footnote>
  <w:footnote w:id="7">
    <w:p w14:paraId="4428BD0F" w14:textId="77777777" w:rsidR="00D85E1A" w:rsidRPr="003A3ED5" w:rsidRDefault="00D85E1A" w:rsidP="00D85E1A">
      <w:pPr>
        <w:pStyle w:val="FootnoteText"/>
        <w:jc w:val="both"/>
        <w:rPr>
          <w:sz w:val="18"/>
          <w:szCs w:val="18"/>
        </w:rPr>
      </w:pPr>
      <w:r w:rsidRPr="003A3ED5">
        <w:rPr>
          <w:rStyle w:val="FootnoteReference"/>
          <w:sz w:val="18"/>
          <w:szCs w:val="18"/>
        </w:rPr>
        <w:footnoteRef/>
      </w:r>
      <w:r w:rsidRPr="003A3ED5">
        <w:rPr>
          <w:b/>
          <w:bCs/>
          <w:sz w:val="18"/>
          <w:szCs w:val="18"/>
        </w:rPr>
        <w:t>Interest Groups</w:t>
      </w:r>
      <w:r w:rsidRPr="003A3ED5">
        <w:rPr>
          <w:sz w:val="18"/>
          <w:szCs w:val="18"/>
        </w:rPr>
        <w:t>: Real Estate Industry, Real Estate Investment Industry, Corporate Landlords</w:t>
      </w:r>
    </w:p>
  </w:footnote>
  <w:footnote w:id="8">
    <w:p w14:paraId="4822BECE" w14:textId="77777777" w:rsidR="00D85E1A" w:rsidRPr="00B816FE" w:rsidRDefault="00D85E1A" w:rsidP="00D85E1A">
      <w:pPr>
        <w:pStyle w:val="FootnoteText"/>
        <w:jc w:val="both"/>
        <w:rPr>
          <w:sz w:val="18"/>
          <w:szCs w:val="18"/>
        </w:rPr>
      </w:pPr>
      <w:r w:rsidRPr="003A3ED5">
        <w:rPr>
          <w:rStyle w:val="FootnoteReference"/>
          <w:sz w:val="18"/>
          <w:szCs w:val="18"/>
        </w:rPr>
        <w:footnoteRef/>
      </w:r>
      <w:r w:rsidRPr="003A3ED5">
        <w:rPr>
          <w:b/>
          <w:bCs/>
          <w:sz w:val="18"/>
          <w:szCs w:val="18"/>
        </w:rPr>
        <w:t xml:space="preserve">Stakeholder Agencies: </w:t>
      </w:r>
      <w:r w:rsidRPr="003A3ED5">
        <w:rPr>
          <w:sz w:val="18"/>
          <w:szCs w:val="18"/>
        </w:rPr>
        <w:t>Housing Preservation &amp; Development; Housing &amp; Community Renewal; NYC Council; NYS Assembly; City &amp; State Comptroller’s Office; Housing Court; NYC Marshall’s Office; US Census; Mayor’s Office; Governor’s Office; Senator’s Office</w:t>
      </w:r>
    </w:p>
  </w:footnote>
  <w:footnote w:id="9">
    <w:p w14:paraId="022AECEE" w14:textId="77777777" w:rsidR="00D85E1A" w:rsidRPr="0079115C" w:rsidRDefault="00D85E1A" w:rsidP="00D85E1A">
      <w:pPr>
        <w:pStyle w:val="FootnoteText"/>
        <w:jc w:val="both"/>
        <w:rPr>
          <w:rFonts w:cstheme="minorHAnsi"/>
          <w:sz w:val="18"/>
          <w:szCs w:val="18"/>
        </w:rPr>
      </w:pPr>
      <w:r>
        <w:rPr>
          <w:rStyle w:val="FootnoteReference"/>
        </w:rPr>
        <w:footnoteRef/>
      </w:r>
      <w:r>
        <w:rPr>
          <w:rFonts w:cstheme="minorHAnsi"/>
          <w:sz w:val="18"/>
          <w:szCs w:val="18"/>
        </w:rPr>
        <w:t>Light</w:t>
      </w:r>
      <w:r w:rsidRPr="0079115C">
        <w:rPr>
          <w:rFonts w:cstheme="minorHAnsi"/>
          <w:sz w:val="18"/>
          <w:szCs w:val="18"/>
        </w:rPr>
        <w:t>,</w:t>
      </w:r>
      <w:r>
        <w:rPr>
          <w:rFonts w:cstheme="minorHAnsi"/>
          <w:sz w:val="18"/>
          <w:szCs w:val="18"/>
        </w:rPr>
        <w:t xml:space="preserve"> P. C</w:t>
      </w:r>
      <w:r w:rsidRPr="0079115C">
        <w:rPr>
          <w:rFonts w:cstheme="minorHAnsi"/>
          <w:sz w:val="18"/>
          <w:szCs w:val="18"/>
        </w:rPr>
        <w:t>. (199</w:t>
      </w:r>
      <w:r>
        <w:rPr>
          <w:rFonts w:cstheme="minorHAnsi"/>
          <w:sz w:val="18"/>
          <w:szCs w:val="18"/>
        </w:rPr>
        <w:t>3</w:t>
      </w:r>
      <w:r w:rsidRPr="0079115C">
        <w:rPr>
          <w:rFonts w:cstheme="minorHAnsi"/>
          <w:sz w:val="18"/>
          <w:szCs w:val="18"/>
        </w:rPr>
        <w:t xml:space="preserve">). </w:t>
      </w:r>
      <w:r>
        <w:rPr>
          <w:rFonts w:cstheme="minorHAnsi"/>
          <w:sz w:val="18"/>
          <w:szCs w:val="18"/>
        </w:rPr>
        <w:t>Monitoring Government: Inspectors General and the search for Accountability</w:t>
      </w:r>
      <w:r w:rsidRPr="0079115C">
        <w:rPr>
          <w:rFonts w:cstheme="minorHAnsi"/>
          <w:sz w:val="18"/>
          <w:szCs w:val="18"/>
        </w:rPr>
        <w:t xml:space="preserve">. </w:t>
      </w:r>
      <w:r>
        <w:rPr>
          <w:rFonts w:cstheme="minorHAnsi"/>
          <w:sz w:val="18"/>
          <w:szCs w:val="18"/>
        </w:rPr>
        <w:t>Brookings Institution</w:t>
      </w:r>
      <w:r w:rsidRPr="0079115C">
        <w:rPr>
          <w:rFonts w:cstheme="minorHAnsi"/>
          <w:sz w:val="18"/>
          <w:szCs w:val="18"/>
        </w:rPr>
        <w:t>.</w:t>
      </w:r>
    </w:p>
    <w:p w14:paraId="43D018E3" w14:textId="77777777" w:rsidR="00D85E1A" w:rsidRDefault="00D85E1A" w:rsidP="00D85E1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79FAD" w14:textId="6AE76D35" w:rsidR="0077779A" w:rsidRDefault="008A0FE9">
    <w:pPr>
      <w:pStyle w:val="Header"/>
    </w:pPr>
    <w:r>
      <w:t xml:space="preserve">Priti Bali-Kahn – </w:t>
    </w:r>
    <w:r w:rsidR="00D85E1A">
      <w:t>Master’s Thesis Proposal Executive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E85D0A"/>
    <w:multiLevelType w:val="hybridMultilevel"/>
    <w:tmpl w:val="45BA4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94644"/>
    <w:multiLevelType w:val="hybridMultilevel"/>
    <w:tmpl w:val="C3786320"/>
    <w:lvl w:ilvl="0" w:tplc="A20649D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540AA9"/>
    <w:multiLevelType w:val="hybridMultilevel"/>
    <w:tmpl w:val="74D47E4E"/>
    <w:lvl w:ilvl="0" w:tplc="0409000F">
      <w:start w:val="1"/>
      <w:numFmt w:val="decimal"/>
      <w:lvlText w:val="%1."/>
      <w:lvlJc w:val="left"/>
      <w:pPr>
        <w:ind w:left="720" w:hanging="360"/>
      </w:pPr>
      <w:rPr>
        <w:rFonts w:hint="default"/>
      </w:rPr>
    </w:lvl>
    <w:lvl w:ilvl="1" w:tplc="DEE22F92">
      <w:start w:val="1"/>
      <w:numFmt w:val="lowerLetter"/>
      <w:lvlText w:val="%2."/>
      <w:lvlJc w:val="left"/>
      <w:pPr>
        <w:ind w:left="1440" w:hanging="360"/>
      </w:pPr>
      <w:rPr>
        <w:b w:val="0"/>
        <w:bCs w:val="0"/>
      </w:rPr>
    </w:lvl>
    <w:lvl w:ilvl="2" w:tplc="F8660A6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1A"/>
    <w:rsid w:val="002F3330"/>
    <w:rsid w:val="005B03CB"/>
    <w:rsid w:val="005C0008"/>
    <w:rsid w:val="006C0F79"/>
    <w:rsid w:val="007E0FCC"/>
    <w:rsid w:val="007E63E6"/>
    <w:rsid w:val="008A0FE9"/>
    <w:rsid w:val="00D272D9"/>
    <w:rsid w:val="00D50AAA"/>
    <w:rsid w:val="00D85E1A"/>
    <w:rsid w:val="00DA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8CB1"/>
  <w15:chartTrackingRefBased/>
  <w15:docId w15:val="{1AE7A549-3C7B-4360-B980-9E39D7D4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5E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E1A"/>
    <w:rPr>
      <w:sz w:val="20"/>
      <w:szCs w:val="20"/>
    </w:rPr>
  </w:style>
  <w:style w:type="character" w:styleId="FootnoteReference">
    <w:name w:val="footnote reference"/>
    <w:basedOn w:val="DefaultParagraphFont"/>
    <w:uiPriority w:val="99"/>
    <w:semiHidden/>
    <w:unhideWhenUsed/>
    <w:rsid w:val="00D85E1A"/>
    <w:rPr>
      <w:vertAlign w:val="superscript"/>
    </w:rPr>
  </w:style>
  <w:style w:type="character" w:styleId="Hyperlink">
    <w:name w:val="Hyperlink"/>
    <w:basedOn w:val="DefaultParagraphFont"/>
    <w:uiPriority w:val="99"/>
    <w:semiHidden/>
    <w:unhideWhenUsed/>
    <w:rsid w:val="00D85E1A"/>
    <w:rPr>
      <w:color w:val="0000FF"/>
      <w:u w:val="single"/>
    </w:rPr>
  </w:style>
  <w:style w:type="paragraph" w:styleId="ListParagraph">
    <w:name w:val="List Paragraph"/>
    <w:basedOn w:val="Normal"/>
    <w:uiPriority w:val="34"/>
    <w:qFormat/>
    <w:rsid w:val="00D85E1A"/>
    <w:pPr>
      <w:ind w:left="720"/>
      <w:contextualSpacing/>
    </w:pPr>
  </w:style>
  <w:style w:type="character" w:styleId="CommentReference">
    <w:name w:val="annotation reference"/>
    <w:basedOn w:val="DefaultParagraphFont"/>
    <w:uiPriority w:val="99"/>
    <w:semiHidden/>
    <w:unhideWhenUsed/>
    <w:rsid w:val="00D85E1A"/>
    <w:rPr>
      <w:sz w:val="16"/>
      <w:szCs w:val="16"/>
    </w:rPr>
  </w:style>
  <w:style w:type="paragraph" w:styleId="CommentText">
    <w:name w:val="annotation text"/>
    <w:basedOn w:val="Normal"/>
    <w:link w:val="CommentTextChar"/>
    <w:uiPriority w:val="99"/>
    <w:semiHidden/>
    <w:unhideWhenUsed/>
    <w:rsid w:val="00D85E1A"/>
    <w:pPr>
      <w:spacing w:line="240" w:lineRule="auto"/>
    </w:pPr>
    <w:rPr>
      <w:sz w:val="20"/>
      <w:szCs w:val="20"/>
    </w:rPr>
  </w:style>
  <w:style w:type="character" w:customStyle="1" w:styleId="CommentTextChar">
    <w:name w:val="Comment Text Char"/>
    <w:basedOn w:val="DefaultParagraphFont"/>
    <w:link w:val="CommentText"/>
    <w:uiPriority w:val="99"/>
    <w:semiHidden/>
    <w:rsid w:val="00D85E1A"/>
    <w:rPr>
      <w:sz w:val="20"/>
      <w:szCs w:val="20"/>
    </w:rPr>
  </w:style>
  <w:style w:type="paragraph" w:styleId="Header">
    <w:name w:val="header"/>
    <w:basedOn w:val="Normal"/>
    <w:link w:val="HeaderChar"/>
    <w:uiPriority w:val="99"/>
    <w:unhideWhenUsed/>
    <w:rsid w:val="00D85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E1A"/>
  </w:style>
  <w:style w:type="paragraph" w:styleId="Footer">
    <w:name w:val="footer"/>
    <w:basedOn w:val="Normal"/>
    <w:link w:val="FooterChar"/>
    <w:uiPriority w:val="99"/>
    <w:unhideWhenUsed/>
    <w:rsid w:val="00D85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rporatefinanceinstitute.com/resources/knowledge/finance/tone-at-the-top/" TargetMode="External"/><Relationship Id="rId2" Type="http://schemas.openxmlformats.org/officeDocument/2006/relationships/hyperlink" Target="https://corporatefinanceinstitute.com/resources/careers/soft-skills/leadership-traits-list/" TargetMode="External"/><Relationship Id="rId1" Type="http://schemas.openxmlformats.org/officeDocument/2006/relationships/hyperlink" Target="https://study.com/academy/lesson/interest-group-definition-purpose-theory-examp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Kahn</dc:creator>
  <cp:keywords/>
  <dc:description/>
  <cp:lastModifiedBy>Daniel Kahn</cp:lastModifiedBy>
  <cp:revision>6</cp:revision>
  <dcterms:created xsi:type="dcterms:W3CDTF">2021-03-03T12:16:00Z</dcterms:created>
  <dcterms:modified xsi:type="dcterms:W3CDTF">2021-04-02T14:43:00Z</dcterms:modified>
</cp:coreProperties>
</file>