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3E37C" w14:textId="2C3D8CA8" w:rsidR="005C2F15" w:rsidRPr="003F2DBB" w:rsidRDefault="005C2F15" w:rsidP="005C2F15">
      <w:pPr>
        <w:spacing w:after="0" w:line="240" w:lineRule="auto"/>
        <w:rPr>
          <w:rFonts w:ascii="Century Gothic" w:hAnsi="Century Gothic"/>
          <w:b/>
          <w:bCs/>
          <w:i/>
          <w:iCs/>
          <w:sz w:val="20"/>
          <w:szCs w:val="20"/>
        </w:rPr>
      </w:pPr>
      <w:r w:rsidRPr="003F2DBB">
        <w:rPr>
          <w:rFonts w:ascii="Century Gothic" w:hAnsi="Century Gothic"/>
          <w:b/>
          <w:bCs/>
          <w:i/>
          <w:iCs/>
          <w:sz w:val="20"/>
          <w:szCs w:val="20"/>
        </w:rPr>
        <w:t xml:space="preserve">Furniture Today </w:t>
      </w:r>
      <w:proofErr w:type="spellStart"/>
      <w:r w:rsidRPr="003F2DBB">
        <w:rPr>
          <w:rFonts w:ascii="Century Gothic" w:hAnsi="Century Gothic"/>
          <w:b/>
          <w:bCs/>
          <w:i/>
          <w:iCs/>
          <w:sz w:val="20"/>
          <w:szCs w:val="20"/>
        </w:rPr>
        <w:t>SponCon</w:t>
      </w:r>
      <w:proofErr w:type="spellEnd"/>
      <w:r w:rsidRPr="003F2DBB">
        <w:rPr>
          <w:rFonts w:ascii="Century Gothic" w:hAnsi="Century Gothic"/>
          <w:b/>
          <w:bCs/>
          <w:i/>
          <w:iCs/>
          <w:sz w:val="20"/>
          <w:szCs w:val="20"/>
        </w:rPr>
        <w:t xml:space="preserve"> – April 2026</w:t>
      </w:r>
    </w:p>
    <w:p w14:paraId="3A699B06" w14:textId="79459772" w:rsidR="005C2F15" w:rsidRPr="003F2DBB" w:rsidRDefault="005C2F15" w:rsidP="005C2F15">
      <w:pPr>
        <w:pBdr>
          <w:bottom w:val="single" w:sz="6" w:space="1" w:color="auto"/>
        </w:pBdr>
        <w:spacing w:after="0" w:line="240" w:lineRule="auto"/>
        <w:rPr>
          <w:rFonts w:ascii="Century Gothic" w:hAnsi="Century Gothic"/>
          <w:b/>
          <w:bCs/>
          <w:i/>
          <w:iCs/>
          <w:sz w:val="20"/>
          <w:szCs w:val="20"/>
        </w:rPr>
      </w:pPr>
      <w:r w:rsidRPr="003F2DBB">
        <w:rPr>
          <w:rFonts w:ascii="Century Gothic" w:hAnsi="Century Gothic"/>
          <w:b/>
          <w:bCs/>
          <w:i/>
          <w:iCs/>
          <w:sz w:val="20"/>
          <w:szCs w:val="20"/>
        </w:rPr>
        <w:t>Althorp 20</w:t>
      </w:r>
      <w:r w:rsidRPr="003F2DBB">
        <w:rPr>
          <w:rFonts w:ascii="Century Gothic" w:hAnsi="Century Gothic"/>
          <w:b/>
          <w:bCs/>
          <w:i/>
          <w:iCs/>
          <w:sz w:val="20"/>
          <w:szCs w:val="20"/>
          <w:vertAlign w:val="superscript"/>
        </w:rPr>
        <w:t>th</w:t>
      </w:r>
      <w:r w:rsidRPr="003F2DBB">
        <w:rPr>
          <w:rFonts w:ascii="Century Gothic" w:hAnsi="Century Gothic"/>
          <w:b/>
          <w:bCs/>
          <w:i/>
          <w:iCs/>
          <w:sz w:val="20"/>
          <w:szCs w:val="20"/>
        </w:rPr>
        <w:t xml:space="preserve"> Partnership Article</w:t>
      </w:r>
    </w:p>
    <w:p w14:paraId="66680351" w14:textId="77777777" w:rsidR="005C2F15" w:rsidRPr="003F2DBB" w:rsidRDefault="005C2F15" w:rsidP="005C2F15">
      <w:pPr>
        <w:spacing w:after="0" w:line="240" w:lineRule="auto"/>
        <w:rPr>
          <w:rFonts w:ascii="Century Gothic" w:hAnsi="Century Gothic"/>
        </w:rPr>
      </w:pPr>
    </w:p>
    <w:p w14:paraId="0EEC4576" w14:textId="3EC745B8" w:rsidR="000772A3" w:rsidRPr="003F2DBB" w:rsidRDefault="000772A3" w:rsidP="000772A3">
      <w:pPr>
        <w:pStyle w:val="NormalWeb"/>
        <w:rPr>
          <w:rFonts w:ascii="Century Gothic" w:hAnsi="Century Gothic"/>
        </w:rPr>
      </w:pPr>
      <w:r w:rsidRPr="003F2DBB">
        <w:rPr>
          <w:rStyle w:val="Strong"/>
          <w:rFonts w:ascii="Century Gothic" w:eastAsiaTheme="majorEastAsia" w:hAnsi="Century Gothic"/>
        </w:rPr>
        <w:t>Theodore Alexander Marks 20 Years of the Althorp Collection and Creative Collaboration with Lord Charles Spencer</w:t>
      </w:r>
    </w:p>
    <w:p w14:paraId="1931681B" w14:textId="11623B78" w:rsidR="000772A3" w:rsidRPr="003F2DBB" w:rsidRDefault="000772A3" w:rsidP="003D24A5">
      <w:pPr>
        <w:pStyle w:val="NormalWeb"/>
        <w:spacing w:line="276" w:lineRule="auto"/>
        <w:rPr>
          <w:rFonts w:ascii="Century Gothic" w:hAnsi="Century Gothic"/>
          <w:sz w:val="20"/>
          <w:szCs w:val="20"/>
        </w:rPr>
      </w:pPr>
      <w:r w:rsidRPr="003F2DBB">
        <w:rPr>
          <w:rFonts w:ascii="Century Gothic" w:hAnsi="Century Gothic"/>
          <w:sz w:val="20"/>
          <w:szCs w:val="20"/>
        </w:rPr>
        <w:t xml:space="preserve">A milestone in furniture design is rarely measured in decades, yet </w:t>
      </w:r>
      <w:hyperlink r:id="rId4" w:history="1">
        <w:r w:rsidRPr="002B03B5">
          <w:rPr>
            <w:rStyle w:val="Hyperlink"/>
            <w:rFonts w:ascii="Century Gothic" w:hAnsi="Century Gothic"/>
            <w:sz w:val="20"/>
            <w:szCs w:val="20"/>
          </w:rPr>
          <w:t>Theodore Alexander</w:t>
        </w:r>
      </w:hyperlink>
      <w:r w:rsidRPr="003F2DBB">
        <w:rPr>
          <w:rFonts w:ascii="Century Gothic" w:hAnsi="Century Gothic"/>
          <w:sz w:val="20"/>
          <w:szCs w:val="20"/>
        </w:rPr>
        <w:t xml:space="preserve">’s partnership with Lord Charles Spencer has quietly reached that mark. </w:t>
      </w:r>
      <w:r w:rsidR="00D74917" w:rsidRPr="003F2DBB">
        <w:rPr>
          <w:rFonts w:ascii="Century Gothic" w:hAnsi="Century Gothic"/>
          <w:sz w:val="20"/>
          <w:szCs w:val="20"/>
        </w:rPr>
        <w:t xml:space="preserve">At the 20-year mark, the </w:t>
      </w:r>
      <w:hyperlink r:id="rId5" w:history="1">
        <w:r w:rsidR="00D74917" w:rsidRPr="002B03B5">
          <w:rPr>
            <w:rStyle w:val="Hyperlink"/>
            <w:rFonts w:ascii="Century Gothic" w:hAnsi="Century Gothic"/>
            <w:sz w:val="20"/>
            <w:szCs w:val="20"/>
          </w:rPr>
          <w:t>Althorp Collection</w:t>
        </w:r>
      </w:hyperlink>
      <w:r w:rsidR="00D74917" w:rsidRPr="003F2DBB">
        <w:rPr>
          <w:rFonts w:ascii="Century Gothic" w:hAnsi="Century Gothic"/>
          <w:sz w:val="20"/>
          <w:szCs w:val="20"/>
        </w:rPr>
        <w:t xml:space="preserve"> stands as a rare achievement in furniture design, reflecting a sustained dialogue between past and present shaped by a shared commitment to history, craftsmanship, and enduring design.</w:t>
      </w:r>
    </w:p>
    <w:p w14:paraId="17739C0B" w14:textId="77777777" w:rsidR="000772A3" w:rsidRPr="003F2DBB" w:rsidRDefault="000772A3" w:rsidP="003D24A5">
      <w:pPr>
        <w:pStyle w:val="NormalWeb"/>
        <w:spacing w:line="276" w:lineRule="auto"/>
        <w:rPr>
          <w:rFonts w:ascii="Century Gothic" w:hAnsi="Century Gothic"/>
          <w:sz w:val="20"/>
          <w:szCs w:val="20"/>
        </w:rPr>
      </w:pPr>
      <w:r w:rsidRPr="003F2DBB">
        <w:rPr>
          <w:rFonts w:ascii="Century Gothic" w:hAnsi="Century Gothic"/>
          <w:sz w:val="20"/>
          <w:szCs w:val="20"/>
        </w:rPr>
        <w:t>The collection’s origins are rooted in Althorp itself, the Spencer family’s ancestral estate in Northamptonshire, England. With a history spanning more than five centuries, the house is known not only for its architecture and grounds, but for its remarkable interiors, which hold an extensive collection of period furnishings gathered over generations. It was within these rooms that Theodore Alexander founder Paul Maitland-Smith first began to envision a partnership that would bring the spirit of Althorp into a broader design context.</w:t>
      </w:r>
    </w:p>
    <w:p w14:paraId="4936095E" w14:textId="3846BDE2" w:rsidR="000772A3" w:rsidRPr="003F2DBB" w:rsidRDefault="000772A3" w:rsidP="003D24A5">
      <w:pPr>
        <w:pStyle w:val="NormalWeb"/>
        <w:spacing w:line="276" w:lineRule="auto"/>
        <w:rPr>
          <w:rFonts w:ascii="Century Gothic" w:hAnsi="Century Gothic"/>
          <w:sz w:val="20"/>
          <w:szCs w:val="20"/>
        </w:rPr>
      </w:pPr>
      <w:r w:rsidRPr="003F2DBB">
        <w:rPr>
          <w:rFonts w:ascii="Century Gothic" w:hAnsi="Century Gothic"/>
          <w:sz w:val="20"/>
          <w:szCs w:val="20"/>
        </w:rPr>
        <w:t>During his initial visit</w:t>
      </w:r>
      <w:r w:rsidR="00CE25F8" w:rsidRPr="003F2DBB">
        <w:rPr>
          <w:rFonts w:ascii="Century Gothic" w:hAnsi="Century Gothic"/>
          <w:sz w:val="20"/>
          <w:szCs w:val="20"/>
        </w:rPr>
        <w:t xml:space="preserve"> to Althorp in the early 2000’s</w:t>
      </w:r>
      <w:r w:rsidRPr="003F2DBB">
        <w:rPr>
          <w:rFonts w:ascii="Century Gothic" w:hAnsi="Century Gothic"/>
          <w:sz w:val="20"/>
          <w:szCs w:val="20"/>
        </w:rPr>
        <w:t xml:space="preserve">, </w:t>
      </w:r>
      <w:r w:rsidR="00CE25F8" w:rsidRPr="003F2DBB">
        <w:rPr>
          <w:rFonts w:ascii="Century Gothic" w:hAnsi="Century Gothic"/>
          <w:sz w:val="20"/>
          <w:szCs w:val="20"/>
        </w:rPr>
        <w:t xml:space="preserve">Paul </w:t>
      </w:r>
      <w:r w:rsidRPr="003F2DBB">
        <w:rPr>
          <w:rFonts w:ascii="Century Gothic" w:hAnsi="Century Gothic"/>
          <w:sz w:val="20"/>
          <w:szCs w:val="20"/>
        </w:rPr>
        <w:t xml:space="preserve">Maitland-Smith undertook a comprehensive study of the estate’s contents, cataloging nearly 3,000 individual pieces. That archive became the foundation for the </w:t>
      </w:r>
      <w:hyperlink r:id="rId6" w:history="1">
        <w:r w:rsidRPr="002B03B5">
          <w:rPr>
            <w:rStyle w:val="Hyperlink"/>
            <w:rFonts w:ascii="Century Gothic" w:hAnsi="Century Gothic"/>
            <w:sz w:val="20"/>
            <w:szCs w:val="20"/>
          </w:rPr>
          <w:t>Althorp Collection</w:t>
        </w:r>
      </w:hyperlink>
      <w:r w:rsidRPr="003F2DBB">
        <w:rPr>
          <w:rFonts w:ascii="Century Gothic" w:hAnsi="Century Gothic"/>
          <w:sz w:val="20"/>
          <w:szCs w:val="20"/>
        </w:rPr>
        <w:t>, which debuted in 2006. Rather than serving as direct reproductions, the designs were conceived as interpretations, translating the proportion, detailing, and character of historic originals into forms suited for modern living.</w:t>
      </w:r>
    </w:p>
    <w:p w14:paraId="39123DE8" w14:textId="439D09F3" w:rsidR="000772A3" w:rsidRPr="003F2DBB" w:rsidRDefault="000772A3" w:rsidP="003D24A5">
      <w:pPr>
        <w:pStyle w:val="NormalWeb"/>
        <w:spacing w:line="276" w:lineRule="auto"/>
        <w:rPr>
          <w:rFonts w:ascii="Century Gothic" w:hAnsi="Century Gothic"/>
          <w:sz w:val="20"/>
          <w:szCs w:val="20"/>
        </w:rPr>
      </w:pPr>
      <w:r w:rsidRPr="003F2DBB">
        <w:rPr>
          <w:rFonts w:ascii="Century Gothic" w:hAnsi="Century Gothic"/>
          <w:sz w:val="20"/>
          <w:szCs w:val="20"/>
        </w:rPr>
        <w:t>From the</w:t>
      </w:r>
      <w:r w:rsidR="005503F9" w:rsidRPr="003F2DBB">
        <w:rPr>
          <w:rFonts w:ascii="Century Gothic" w:hAnsi="Century Gothic"/>
          <w:sz w:val="20"/>
          <w:szCs w:val="20"/>
        </w:rPr>
        <w:t xml:space="preserve"> very</w:t>
      </w:r>
      <w:r w:rsidRPr="003F2DBB">
        <w:rPr>
          <w:rFonts w:ascii="Century Gothic" w:hAnsi="Century Gothic"/>
          <w:sz w:val="20"/>
          <w:szCs w:val="20"/>
        </w:rPr>
        <w:t xml:space="preserve"> beginning, the collaboration has been defined by close involvement from Lord</w:t>
      </w:r>
      <w:r w:rsidR="005503F9" w:rsidRPr="003F2DBB">
        <w:rPr>
          <w:rFonts w:ascii="Century Gothic" w:hAnsi="Century Gothic"/>
          <w:sz w:val="20"/>
          <w:szCs w:val="20"/>
        </w:rPr>
        <w:t xml:space="preserve"> </w:t>
      </w:r>
      <w:r w:rsidRPr="003F2DBB">
        <w:rPr>
          <w:rFonts w:ascii="Century Gothic" w:hAnsi="Century Gothic"/>
          <w:sz w:val="20"/>
          <w:szCs w:val="20"/>
        </w:rPr>
        <w:t xml:space="preserve">Spencer, whose role extends </w:t>
      </w:r>
      <w:r w:rsidR="005503F9" w:rsidRPr="003F2DBB">
        <w:rPr>
          <w:rFonts w:ascii="Century Gothic" w:hAnsi="Century Gothic"/>
          <w:sz w:val="20"/>
          <w:szCs w:val="20"/>
        </w:rPr>
        <w:t xml:space="preserve">far </w:t>
      </w:r>
      <w:r w:rsidRPr="003F2DBB">
        <w:rPr>
          <w:rFonts w:ascii="Century Gothic" w:hAnsi="Century Gothic"/>
          <w:sz w:val="20"/>
          <w:szCs w:val="20"/>
        </w:rPr>
        <w:t>beyond that of a namesake. As steward of the estate, Spencer has remained actively engaged in guiding the collection’s direction, ensuring that each piece reflects the integrity and narrative of Althorp. This ongoing partnership has contributed to a level of authenticity that distinguishes the collection within the broader furniture landscape.</w:t>
      </w:r>
    </w:p>
    <w:p w14:paraId="0BDDB032" w14:textId="63D7C23B" w:rsidR="000772A3" w:rsidRPr="003F2DBB" w:rsidRDefault="000772A3" w:rsidP="003D24A5">
      <w:pPr>
        <w:pStyle w:val="NormalWeb"/>
        <w:spacing w:line="276" w:lineRule="auto"/>
        <w:rPr>
          <w:rFonts w:ascii="Century Gothic" w:hAnsi="Century Gothic"/>
          <w:sz w:val="20"/>
          <w:szCs w:val="20"/>
        </w:rPr>
      </w:pPr>
      <w:r w:rsidRPr="003F2DBB">
        <w:rPr>
          <w:rFonts w:ascii="Century Gothic" w:hAnsi="Century Gothic"/>
          <w:sz w:val="20"/>
          <w:szCs w:val="20"/>
        </w:rPr>
        <w:t xml:space="preserve">Over the past two decades, the </w:t>
      </w:r>
      <w:hyperlink r:id="rId7" w:history="1">
        <w:r w:rsidRPr="002B03B5">
          <w:rPr>
            <w:rStyle w:val="Hyperlink"/>
            <w:rFonts w:ascii="Century Gothic" w:hAnsi="Century Gothic"/>
            <w:sz w:val="20"/>
            <w:szCs w:val="20"/>
          </w:rPr>
          <w:t>Althorp Collection</w:t>
        </w:r>
      </w:hyperlink>
      <w:r w:rsidRPr="003F2DBB">
        <w:rPr>
          <w:rFonts w:ascii="Century Gothic" w:hAnsi="Century Gothic"/>
          <w:sz w:val="20"/>
          <w:szCs w:val="20"/>
        </w:rPr>
        <w:t xml:space="preserve"> has maintained a consistent identity while allowing for thoughtful evolution. Its design language, grounded in classical English furniture traditions, has proven adaptable, appealing to both traditional and transitional interiors. That balance between historical reference and contemporary relevance has been central to its longevity.</w:t>
      </w:r>
    </w:p>
    <w:p w14:paraId="52BD2982" w14:textId="71DEEDD5" w:rsidR="000772A3" w:rsidRPr="003F2DBB" w:rsidRDefault="000772A3" w:rsidP="003D24A5">
      <w:pPr>
        <w:pStyle w:val="NormalWeb"/>
        <w:spacing w:line="276" w:lineRule="auto"/>
        <w:rPr>
          <w:rFonts w:ascii="Century Gothic" w:hAnsi="Century Gothic"/>
          <w:sz w:val="20"/>
          <w:szCs w:val="20"/>
        </w:rPr>
      </w:pPr>
      <w:r w:rsidRPr="003F2DBB">
        <w:rPr>
          <w:rFonts w:ascii="Century Gothic" w:hAnsi="Century Gothic"/>
          <w:sz w:val="20"/>
          <w:szCs w:val="20"/>
        </w:rPr>
        <w:t xml:space="preserve">The sustained success of the Althorp Collection also laid the groundwork for what would follow. Its </w:t>
      </w:r>
      <w:r w:rsidR="005503F9" w:rsidRPr="003F2DBB">
        <w:rPr>
          <w:rFonts w:ascii="Century Gothic" w:hAnsi="Century Gothic"/>
          <w:sz w:val="20"/>
          <w:szCs w:val="20"/>
        </w:rPr>
        <w:t xml:space="preserve">overwhelmingly positive </w:t>
      </w:r>
      <w:r w:rsidRPr="003F2DBB">
        <w:rPr>
          <w:rFonts w:ascii="Century Gothic" w:hAnsi="Century Gothic"/>
          <w:sz w:val="20"/>
          <w:szCs w:val="20"/>
        </w:rPr>
        <w:t xml:space="preserve">reception helped inspire the development of the </w:t>
      </w:r>
      <w:hyperlink r:id="rId8" w:history="1">
        <w:r w:rsidRPr="002B03B5">
          <w:rPr>
            <w:rStyle w:val="Hyperlink"/>
            <w:rFonts w:ascii="Century Gothic" w:hAnsi="Century Gothic"/>
            <w:sz w:val="20"/>
            <w:szCs w:val="20"/>
          </w:rPr>
          <w:t>Spencer Collection</w:t>
        </w:r>
      </w:hyperlink>
      <w:r w:rsidRPr="003F2DBB">
        <w:rPr>
          <w:rFonts w:ascii="Century Gothic" w:hAnsi="Century Gothic"/>
          <w:sz w:val="20"/>
          <w:szCs w:val="20"/>
        </w:rPr>
        <w:t xml:space="preserve">, a complementary line that shifts the lens from historical archive to present-day living. Together, the two collections form a broader narrative, one reflecting the heritage of the Spencer family across generations, and the other offering a perspective on how that legacy continues to evolve within a </w:t>
      </w:r>
      <w:hyperlink r:id="rId9" w:history="1">
        <w:r w:rsidRPr="002B03B5">
          <w:rPr>
            <w:rStyle w:val="Hyperlink"/>
            <w:rFonts w:ascii="Century Gothic" w:hAnsi="Century Gothic"/>
            <w:sz w:val="20"/>
            <w:szCs w:val="20"/>
          </w:rPr>
          <w:t>contemporary home</w:t>
        </w:r>
      </w:hyperlink>
      <w:r w:rsidRPr="003F2DBB">
        <w:rPr>
          <w:rFonts w:ascii="Century Gothic" w:hAnsi="Century Gothic"/>
          <w:sz w:val="20"/>
          <w:szCs w:val="20"/>
        </w:rPr>
        <w:t>.</w:t>
      </w:r>
    </w:p>
    <w:p w14:paraId="3DEE34AC" w14:textId="77777777" w:rsidR="000772A3" w:rsidRPr="003F2DBB" w:rsidRDefault="000772A3" w:rsidP="003D24A5">
      <w:pPr>
        <w:pStyle w:val="NormalWeb"/>
        <w:spacing w:line="276" w:lineRule="auto"/>
        <w:rPr>
          <w:rFonts w:ascii="Century Gothic" w:hAnsi="Century Gothic"/>
          <w:sz w:val="20"/>
          <w:szCs w:val="20"/>
        </w:rPr>
      </w:pPr>
      <w:r w:rsidRPr="003F2DBB">
        <w:rPr>
          <w:rFonts w:ascii="Century Gothic" w:hAnsi="Century Gothic"/>
          <w:sz w:val="20"/>
          <w:szCs w:val="20"/>
        </w:rPr>
        <w:lastRenderedPageBreak/>
        <w:t>Even as Theodore Alexander has moved through changes in leadership following Maitland-Smith’s retirement and passing, the Althorp Collection has remained a cornerstone of the brand. The continuity of the partnership with Lord Spencer has ensured that its original vision continues to guide its development, reinforcing the collection’s position as a long-term expression of the company’s craftsmanship.</w:t>
      </w:r>
    </w:p>
    <w:p w14:paraId="76677928" w14:textId="77777777" w:rsidR="000772A3" w:rsidRPr="003F2DBB" w:rsidRDefault="000772A3" w:rsidP="003D24A5">
      <w:pPr>
        <w:pStyle w:val="NormalWeb"/>
        <w:spacing w:line="276" w:lineRule="auto"/>
        <w:rPr>
          <w:rFonts w:ascii="Century Gothic" w:hAnsi="Century Gothic"/>
          <w:sz w:val="20"/>
          <w:szCs w:val="20"/>
        </w:rPr>
      </w:pPr>
      <w:r w:rsidRPr="003F2DBB">
        <w:rPr>
          <w:rFonts w:ascii="Century Gothic" w:hAnsi="Century Gothic"/>
          <w:sz w:val="20"/>
          <w:szCs w:val="20"/>
        </w:rPr>
        <w:t>In marking the 20th anniversary, Theodore Alexander is revisiting the collection’s origins while introducing a new layer of interpretation. A curated retrospective of 20 past designs highlights the enduring appeal of pieces that have remained relevant over time, offering a reflection on the collection’s evolution and the consistency of its design principles.</w:t>
      </w:r>
    </w:p>
    <w:p w14:paraId="7A9FE917" w14:textId="222E4922" w:rsidR="000772A3" w:rsidRPr="003F2DBB" w:rsidRDefault="000772A3" w:rsidP="003D24A5">
      <w:pPr>
        <w:pStyle w:val="NormalWeb"/>
        <w:spacing w:line="276" w:lineRule="auto"/>
        <w:rPr>
          <w:rFonts w:ascii="Century Gothic" w:hAnsi="Century Gothic"/>
          <w:sz w:val="20"/>
          <w:szCs w:val="20"/>
        </w:rPr>
      </w:pPr>
      <w:r w:rsidRPr="003F2DBB">
        <w:rPr>
          <w:rFonts w:ascii="Century Gothic" w:hAnsi="Century Gothic"/>
          <w:sz w:val="20"/>
          <w:szCs w:val="20"/>
        </w:rPr>
        <w:t xml:space="preserve">Alongside this retrospective, the introduction of </w:t>
      </w:r>
      <w:r w:rsidR="00C73317" w:rsidRPr="003F2DBB">
        <w:rPr>
          <w:rFonts w:ascii="Century Gothic" w:hAnsi="Century Gothic"/>
          <w:sz w:val="20"/>
          <w:szCs w:val="20"/>
        </w:rPr>
        <w:t xml:space="preserve">the </w:t>
      </w:r>
      <w:r w:rsidRPr="003F2DBB">
        <w:rPr>
          <w:rFonts w:ascii="Century Gothic" w:hAnsi="Century Gothic"/>
          <w:sz w:val="20"/>
          <w:szCs w:val="20"/>
        </w:rPr>
        <w:t>Sunderland Brown</w:t>
      </w:r>
      <w:r w:rsidR="00C73317" w:rsidRPr="003F2DBB">
        <w:rPr>
          <w:rFonts w:ascii="Century Gothic" w:hAnsi="Century Gothic"/>
          <w:sz w:val="20"/>
          <w:szCs w:val="20"/>
        </w:rPr>
        <w:t xml:space="preserve"> subcollection</w:t>
      </w:r>
      <w:r w:rsidRPr="003F2DBB">
        <w:rPr>
          <w:rFonts w:ascii="Century Gothic" w:hAnsi="Century Gothic"/>
          <w:sz w:val="20"/>
          <w:szCs w:val="20"/>
        </w:rPr>
        <w:t xml:space="preserve"> signals a new chapter within </w:t>
      </w:r>
      <w:hyperlink r:id="rId10" w:history="1">
        <w:r w:rsidRPr="002B03B5">
          <w:rPr>
            <w:rStyle w:val="Hyperlink"/>
            <w:rFonts w:ascii="Century Gothic" w:hAnsi="Century Gothic"/>
            <w:sz w:val="20"/>
            <w:szCs w:val="20"/>
          </w:rPr>
          <w:t>Althorp Living Histor</w:t>
        </w:r>
        <w:r w:rsidR="00C73317" w:rsidRPr="002B03B5">
          <w:rPr>
            <w:rStyle w:val="Hyperlink"/>
            <w:rFonts w:ascii="Century Gothic" w:hAnsi="Century Gothic"/>
            <w:sz w:val="20"/>
            <w:szCs w:val="20"/>
          </w:rPr>
          <w:t>y</w:t>
        </w:r>
      </w:hyperlink>
      <w:r w:rsidRPr="003F2DBB">
        <w:rPr>
          <w:rFonts w:ascii="Century Gothic" w:hAnsi="Century Gothic"/>
          <w:sz w:val="20"/>
          <w:szCs w:val="20"/>
        </w:rPr>
        <w:t xml:space="preserve">. Defined by richly figured </w:t>
      </w:r>
      <w:proofErr w:type="spellStart"/>
      <w:r w:rsidRPr="003F2DBB">
        <w:rPr>
          <w:rFonts w:ascii="Century Gothic" w:hAnsi="Century Gothic"/>
          <w:sz w:val="20"/>
          <w:szCs w:val="20"/>
        </w:rPr>
        <w:t>okoume</w:t>
      </w:r>
      <w:proofErr w:type="spellEnd"/>
      <w:r w:rsidRPr="003F2DBB">
        <w:rPr>
          <w:rFonts w:ascii="Century Gothic" w:hAnsi="Century Gothic"/>
          <w:sz w:val="20"/>
          <w:szCs w:val="20"/>
        </w:rPr>
        <w:t xml:space="preserve"> crotch veneers and intricate parquetry, the </w:t>
      </w:r>
      <w:r w:rsidR="00C73317" w:rsidRPr="003F2DBB">
        <w:rPr>
          <w:rFonts w:ascii="Century Gothic" w:hAnsi="Century Gothic"/>
          <w:sz w:val="20"/>
          <w:szCs w:val="20"/>
        </w:rPr>
        <w:t>group</w:t>
      </w:r>
      <w:r w:rsidRPr="003F2DBB">
        <w:rPr>
          <w:rFonts w:ascii="Century Gothic" w:hAnsi="Century Gothic"/>
          <w:sz w:val="20"/>
          <w:szCs w:val="20"/>
        </w:rPr>
        <w:t xml:space="preserve"> is presented in a deep heirloom brown finish that conveys warmth and a sense of age. Subtle brass accents provide contrast, echoing details found throughout the historic interiors of Althorp.</w:t>
      </w:r>
    </w:p>
    <w:p w14:paraId="63BE1768" w14:textId="77777777" w:rsidR="000772A3" w:rsidRPr="003F2DBB" w:rsidRDefault="000772A3" w:rsidP="003D24A5">
      <w:pPr>
        <w:pStyle w:val="NormalWeb"/>
        <w:spacing w:line="276" w:lineRule="auto"/>
        <w:rPr>
          <w:rFonts w:ascii="Century Gothic" w:hAnsi="Century Gothic"/>
          <w:sz w:val="20"/>
          <w:szCs w:val="20"/>
        </w:rPr>
      </w:pPr>
      <w:r w:rsidRPr="003F2DBB">
        <w:rPr>
          <w:rFonts w:ascii="Century Gothic" w:hAnsi="Century Gothic"/>
          <w:sz w:val="20"/>
          <w:szCs w:val="20"/>
        </w:rPr>
        <w:t>More broadly, the Althorp Collection reflects an approach to design that values continuity over reinvention. By working from a living archive, rather than a fixed moment in time, Theodore Alexander and Lord Spencer have created a collection that evolves gradually, retaining its character while adapting to changing contexts.</w:t>
      </w:r>
    </w:p>
    <w:p w14:paraId="1C20B242" w14:textId="103928FE" w:rsidR="005C2F15" w:rsidRPr="003F2DBB" w:rsidRDefault="000772A3" w:rsidP="003D24A5">
      <w:pPr>
        <w:pStyle w:val="NormalWeb"/>
        <w:spacing w:line="276" w:lineRule="auto"/>
        <w:rPr>
          <w:rFonts w:ascii="Century Gothic" w:hAnsi="Century Gothic"/>
          <w:sz w:val="20"/>
          <w:szCs w:val="20"/>
        </w:rPr>
      </w:pPr>
      <w:r w:rsidRPr="003F2DBB">
        <w:rPr>
          <w:rFonts w:ascii="Century Gothic" w:hAnsi="Century Gothic"/>
          <w:sz w:val="20"/>
          <w:szCs w:val="20"/>
        </w:rPr>
        <w:t>As it enters its third decade, the Althorp Collection stands as a rare example of</w:t>
      </w:r>
      <w:r w:rsidR="0025388A" w:rsidRPr="003F2DBB">
        <w:rPr>
          <w:rFonts w:ascii="Century Gothic" w:hAnsi="Century Gothic"/>
          <w:sz w:val="20"/>
          <w:szCs w:val="20"/>
        </w:rPr>
        <w:t xml:space="preserve"> long-term</w:t>
      </w:r>
      <w:r w:rsidRPr="003F2DBB">
        <w:rPr>
          <w:rFonts w:ascii="Century Gothic" w:hAnsi="Century Gothic"/>
          <w:sz w:val="20"/>
          <w:szCs w:val="20"/>
        </w:rPr>
        <w:t xml:space="preserve"> sustained collaboration in the furniture industry. Its continued relevance speaks not only to the depth of its </w:t>
      </w:r>
      <w:r w:rsidR="0025388A" w:rsidRPr="003F2DBB">
        <w:rPr>
          <w:rFonts w:ascii="Century Gothic" w:hAnsi="Century Gothic"/>
          <w:sz w:val="20"/>
          <w:szCs w:val="20"/>
        </w:rPr>
        <w:t>source and inspiration</w:t>
      </w:r>
      <w:r w:rsidRPr="003F2DBB">
        <w:rPr>
          <w:rFonts w:ascii="Century Gothic" w:hAnsi="Century Gothic"/>
          <w:sz w:val="20"/>
          <w:szCs w:val="20"/>
        </w:rPr>
        <w:t>, but to the strength of the partnership behind it, one that continues to translate the legacy of Althorp into designs meant to be lived with and passed down</w:t>
      </w:r>
      <w:r w:rsidR="0025388A" w:rsidRPr="003F2DBB">
        <w:rPr>
          <w:rFonts w:ascii="Century Gothic" w:hAnsi="Century Gothic"/>
          <w:sz w:val="20"/>
          <w:szCs w:val="20"/>
        </w:rPr>
        <w:t xml:space="preserve"> for generations</w:t>
      </w:r>
      <w:r w:rsidRPr="003F2DBB">
        <w:rPr>
          <w:rFonts w:ascii="Century Gothic" w:hAnsi="Century Gothic"/>
          <w:sz w:val="20"/>
          <w:szCs w:val="20"/>
        </w:rPr>
        <w:t>.</w:t>
      </w:r>
    </w:p>
    <w:p w14:paraId="069FCF61" w14:textId="3A5B1324" w:rsidR="00CE6A5F" w:rsidRPr="003D24A5" w:rsidRDefault="00CE6A5F" w:rsidP="003D24A5">
      <w:pPr>
        <w:pStyle w:val="NormalWeb"/>
        <w:spacing w:line="276" w:lineRule="auto"/>
        <w:rPr>
          <w:rFonts w:ascii="Century Gothic" w:hAnsi="Century Gothic"/>
          <w:sz w:val="20"/>
          <w:szCs w:val="20"/>
        </w:rPr>
      </w:pPr>
      <w:r w:rsidRPr="003F2DBB">
        <w:rPr>
          <w:rFonts w:ascii="Century Gothic" w:hAnsi="Century Gothic"/>
          <w:sz w:val="20"/>
          <w:szCs w:val="20"/>
        </w:rPr>
        <w:t>To mark the occasion, Theodore Alexander will host a 20th Anniversary Celebration at its High Point showroom on Friday, April 24 from 5:00 to 7:00 PM. The evening will welcome Lord Charles Spencer for a meet and greet and book signing, alongside a lively atmosphere with music, cocktails, and British-inspired fare</w:t>
      </w:r>
      <w:r w:rsidR="00D102FF" w:rsidRPr="003F2DBB">
        <w:rPr>
          <w:rFonts w:ascii="Century Gothic" w:hAnsi="Century Gothic"/>
          <w:sz w:val="20"/>
          <w:szCs w:val="20"/>
        </w:rPr>
        <w:t>, like a fish and chips food truck</w:t>
      </w:r>
      <w:r w:rsidRPr="003F2DBB">
        <w:rPr>
          <w:rFonts w:ascii="Century Gothic" w:hAnsi="Century Gothic"/>
          <w:sz w:val="20"/>
          <w:szCs w:val="20"/>
        </w:rPr>
        <w:t xml:space="preserve">. Guests will also </w:t>
      </w:r>
      <w:proofErr w:type="gramStart"/>
      <w:r w:rsidRPr="003F2DBB">
        <w:rPr>
          <w:rFonts w:ascii="Century Gothic" w:hAnsi="Century Gothic"/>
          <w:sz w:val="20"/>
          <w:szCs w:val="20"/>
        </w:rPr>
        <w:t>have the opportunity to</w:t>
      </w:r>
      <w:proofErr w:type="gramEnd"/>
      <w:r w:rsidRPr="003F2DBB">
        <w:rPr>
          <w:rFonts w:ascii="Century Gothic" w:hAnsi="Century Gothic"/>
          <w:sz w:val="20"/>
          <w:szCs w:val="20"/>
        </w:rPr>
        <w:t xml:space="preserve"> enter a drawing for a once-in-a-lifetime journey for two, featuring airfare, five-star accommodations in London, and a beautifully curated visit to the Althorp estate, offering an unforgettable glimpse into its storied grounds and interiors.</w:t>
      </w:r>
      <w:r w:rsidR="00D102FF" w:rsidRPr="003F2DBB">
        <w:rPr>
          <w:rFonts w:ascii="Century Gothic" w:hAnsi="Century Gothic"/>
          <w:sz w:val="20"/>
          <w:szCs w:val="20"/>
        </w:rPr>
        <w:t xml:space="preserve"> </w:t>
      </w:r>
      <w:r w:rsidR="00D102FF" w:rsidRPr="003F2DBB">
        <w:rPr>
          <w:rFonts w:ascii="Century Gothic" w:hAnsi="Century Gothic"/>
          <w:i/>
          <w:iCs/>
          <w:sz w:val="20"/>
          <w:szCs w:val="20"/>
        </w:rPr>
        <w:t>(Winner must be present to claim prize!)</w:t>
      </w:r>
    </w:p>
    <w:sectPr w:rsidR="00CE6A5F" w:rsidRPr="003D24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F15"/>
    <w:rsid w:val="000772A3"/>
    <w:rsid w:val="00090A3A"/>
    <w:rsid w:val="00090EE8"/>
    <w:rsid w:val="000D4CE9"/>
    <w:rsid w:val="0025388A"/>
    <w:rsid w:val="002B03B5"/>
    <w:rsid w:val="003A3642"/>
    <w:rsid w:val="003D24A5"/>
    <w:rsid w:val="003F2DBB"/>
    <w:rsid w:val="005503F9"/>
    <w:rsid w:val="005C2F15"/>
    <w:rsid w:val="00B711FD"/>
    <w:rsid w:val="00BD48FC"/>
    <w:rsid w:val="00C4625C"/>
    <w:rsid w:val="00C73317"/>
    <w:rsid w:val="00CE25F8"/>
    <w:rsid w:val="00CE6A5F"/>
    <w:rsid w:val="00D102FF"/>
    <w:rsid w:val="00D74917"/>
    <w:rsid w:val="00EA1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1114FD"/>
  <w15:chartTrackingRefBased/>
  <w15:docId w15:val="{1726483C-D8D1-F042-9851-504F18541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2F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2F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2F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2F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2F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2F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2F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2F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2F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2F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2F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2F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2F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2F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2F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2F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2F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2F15"/>
    <w:rPr>
      <w:rFonts w:eastAsiaTheme="majorEastAsia" w:cstheme="majorBidi"/>
      <w:color w:val="272727" w:themeColor="text1" w:themeTint="D8"/>
    </w:rPr>
  </w:style>
  <w:style w:type="paragraph" w:styleId="Title">
    <w:name w:val="Title"/>
    <w:basedOn w:val="Normal"/>
    <w:next w:val="Normal"/>
    <w:link w:val="TitleChar"/>
    <w:uiPriority w:val="10"/>
    <w:qFormat/>
    <w:rsid w:val="005C2F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2F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2F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2F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2F15"/>
    <w:pPr>
      <w:spacing w:before="160"/>
      <w:jc w:val="center"/>
    </w:pPr>
    <w:rPr>
      <w:i/>
      <w:iCs/>
      <w:color w:val="404040" w:themeColor="text1" w:themeTint="BF"/>
    </w:rPr>
  </w:style>
  <w:style w:type="character" w:customStyle="1" w:styleId="QuoteChar">
    <w:name w:val="Quote Char"/>
    <w:basedOn w:val="DefaultParagraphFont"/>
    <w:link w:val="Quote"/>
    <w:uiPriority w:val="29"/>
    <w:rsid w:val="005C2F15"/>
    <w:rPr>
      <w:i/>
      <w:iCs/>
      <w:color w:val="404040" w:themeColor="text1" w:themeTint="BF"/>
    </w:rPr>
  </w:style>
  <w:style w:type="paragraph" w:styleId="ListParagraph">
    <w:name w:val="List Paragraph"/>
    <w:basedOn w:val="Normal"/>
    <w:uiPriority w:val="34"/>
    <w:qFormat/>
    <w:rsid w:val="005C2F15"/>
    <w:pPr>
      <w:ind w:left="720"/>
      <w:contextualSpacing/>
    </w:pPr>
  </w:style>
  <w:style w:type="character" w:styleId="IntenseEmphasis">
    <w:name w:val="Intense Emphasis"/>
    <w:basedOn w:val="DefaultParagraphFont"/>
    <w:uiPriority w:val="21"/>
    <w:qFormat/>
    <w:rsid w:val="005C2F15"/>
    <w:rPr>
      <w:i/>
      <w:iCs/>
      <w:color w:val="0F4761" w:themeColor="accent1" w:themeShade="BF"/>
    </w:rPr>
  </w:style>
  <w:style w:type="paragraph" w:styleId="IntenseQuote">
    <w:name w:val="Intense Quote"/>
    <w:basedOn w:val="Normal"/>
    <w:next w:val="Normal"/>
    <w:link w:val="IntenseQuoteChar"/>
    <w:uiPriority w:val="30"/>
    <w:qFormat/>
    <w:rsid w:val="005C2F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2F15"/>
    <w:rPr>
      <w:i/>
      <w:iCs/>
      <w:color w:val="0F4761" w:themeColor="accent1" w:themeShade="BF"/>
    </w:rPr>
  </w:style>
  <w:style w:type="character" w:styleId="IntenseReference">
    <w:name w:val="Intense Reference"/>
    <w:basedOn w:val="DefaultParagraphFont"/>
    <w:uiPriority w:val="32"/>
    <w:qFormat/>
    <w:rsid w:val="005C2F15"/>
    <w:rPr>
      <w:b/>
      <w:bCs/>
      <w:smallCaps/>
      <w:color w:val="0F4761" w:themeColor="accent1" w:themeShade="BF"/>
      <w:spacing w:val="5"/>
    </w:rPr>
  </w:style>
  <w:style w:type="paragraph" w:styleId="NormalWeb">
    <w:name w:val="Normal (Web)"/>
    <w:basedOn w:val="Normal"/>
    <w:uiPriority w:val="99"/>
    <w:unhideWhenUsed/>
    <w:rsid w:val="005C2F1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C2F15"/>
    <w:rPr>
      <w:b/>
      <w:bCs/>
    </w:rPr>
  </w:style>
  <w:style w:type="character" w:styleId="Hyperlink">
    <w:name w:val="Hyperlink"/>
    <w:basedOn w:val="DefaultParagraphFont"/>
    <w:uiPriority w:val="99"/>
    <w:unhideWhenUsed/>
    <w:rsid w:val="002B03B5"/>
    <w:rPr>
      <w:color w:val="467886" w:themeColor="hyperlink"/>
      <w:u w:val="single"/>
    </w:rPr>
  </w:style>
  <w:style w:type="character" w:styleId="UnresolvedMention">
    <w:name w:val="Unresolved Mention"/>
    <w:basedOn w:val="DefaultParagraphFont"/>
    <w:uiPriority w:val="99"/>
    <w:semiHidden/>
    <w:unhideWhenUsed/>
    <w:rsid w:val="002B03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odorealexander.com/item/category/collection/value/spencer-london" TargetMode="External"/><Relationship Id="rId3" Type="http://schemas.openxmlformats.org/officeDocument/2006/relationships/webSettings" Target="webSettings.xml"/><Relationship Id="rId7" Type="http://schemas.openxmlformats.org/officeDocument/2006/relationships/hyperlink" Target="https://theodorealexander.com/item/category/collection/value/althorp--victory-oa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odorealexander.com/item/category/collection/value/althorp-living-history" TargetMode="External"/><Relationship Id="rId11" Type="http://schemas.openxmlformats.org/officeDocument/2006/relationships/fontTable" Target="fontTable.xml"/><Relationship Id="rId5" Type="http://schemas.openxmlformats.org/officeDocument/2006/relationships/hyperlink" Target="https://theodorealexander.com/item/category/collection/value/althorp-living-history" TargetMode="External"/><Relationship Id="rId10" Type="http://schemas.openxmlformats.org/officeDocument/2006/relationships/hyperlink" Target="https://theodorealexander.com/item/category/collection/value/althorp-living-history" TargetMode="External"/><Relationship Id="rId4" Type="http://schemas.openxmlformats.org/officeDocument/2006/relationships/hyperlink" Target="https://theodorealexander.com/" TargetMode="External"/><Relationship Id="rId9" Type="http://schemas.openxmlformats.org/officeDocument/2006/relationships/hyperlink" Target="https://theodorealexander.com/item/category/collection/value/spencer-st-ja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902</Words>
  <Characters>5241</Characters>
  <Application>Microsoft Office Word</Application>
  <DocSecurity>0</DocSecurity>
  <Lines>75</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Darryl Mangum</dc:creator>
  <cp:keywords/>
  <dc:description/>
  <cp:lastModifiedBy>Darryl Mangum</cp:lastModifiedBy>
  <cp:revision>14</cp:revision>
  <dcterms:created xsi:type="dcterms:W3CDTF">2026-03-30T16:16:00Z</dcterms:created>
  <dcterms:modified xsi:type="dcterms:W3CDTF">2026-03-30T17:09:00Z</dcterms:modified>
</cp:coreProperties>
</file>