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BF756C" w14:textId="486B21CA" w:rsidR="00C52477" w:rsidRDefault="007B1727">
      <w:pPr>
        <w:pStyle w:val="Body"/>
        <w:rPr>
          <w:rFonts w:ascii="Helvetica" w:eastAsia="Helvetica" w:hAnsi="Helvetica" w:cs="Helvetica"/>
        </w:rPr>
      </w:pPr>
      <w:r>
        <w:rPr>
          <w:noProof/>
        </w:rPr>
        <w:drawing>
          <wp:anchor distT="0" distB="0" distL="0" distR="0" simplePos="0" relativeHeight="251659264" behindDoc="0" locked="0" layoutInCell="1" hidden="0" allowOverlap="1" wp14:anchorId="50FC0B4A" wp14:editId="7049E59B">
            <wp:simplePos x="0" y="0"/>
            <wp:positionH relativeFrom="margin">
              <wp:posOffset>0</wp:posOffset>
            </wp:positionH>
            <wp:positionV relativeFrom="paragraph">
              <wp:posOffset>168910</wp:posOffset>
            </wp:positionV>
            <wp:extent cx="2924471" cy="1281113"/>
            <wp:effectExtent l="9525" t="9525" r="9525" b="9525"/>
            <wp:wrapSquare wrapText="bothSides" distT="0" distB="0" distL="0" distR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24471" cy="1281113"/>
                    </a:xfrm>
                    <a:prstGeom prst="rect">
                      <a:avLst/>
                    </a:prstGeom>
                    <a:ln w="9525">
                      <a:solidFill>
                        <a:srgbClr val="7E786C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14:paraId="27394AD0" w14:textId="77777777" w:rsidR="007B1727" w:rsidRDefault="007B1727">
      <w:pPr>
        <w:pStyle w:val="Body"/>
        <w:jc w:val="center"/>
        <w:rPr>
          <w:rFonts w:ascii="Helvetica" w:hAnsi="Helvetica"/>
          <w:sz w:val="28"/>
          <w:szCs w:val="28"/>
        </w:rPr>
      </w:pPr>
    </w:p>
    <w:p w14:paraId="4B9E43D4" w14:textId="77777777" w:rsidR="007B1727" w:rsidRDefault="007B1727">
      <w:pPr>
        <w:pStyle w:val="Body"/>
        <w:jc w:val="center"/>
        <w:rPr>
          <w:rFonts w:ascii="Helvetica" w:hAnsi="Helvetica"/>
          <w:sz w:val="28"/>
          <w:szCs w:val="28"/>
        </w:rPr>
      </w:pPr>
    </w:p>
    <w:p w14:paraId="4F373138" w14:textId="77777777" w:rsidR="007B1727" w:rsidRDefault="007B1727">
      <w:pPr>
        <w:pStyle w:val="Body"/>
        <w:jc w:val="center"/>
        <w:rPr>
          <w:rFonts w:ascii="Helvetica" w:hAnsi="Helvetica"/>
          <w:sz w:val="28"/>
          <w:szCs w:val="28"/>
        </w:rPr>
      </w:pPr>
    </w:p>
    <w:p w14:paraId="450884D4" w14:textId="136812C1" w:rsidR="00C52477" w:rsidRDefault="00882BEE">
      <w:pPr>
        <w:pStyle w:val="Body"/>
        <w:jc w:val="center"/>
        <w:rPr>
          <w:rFonts w:ascii="Helvetica" w:hAnsi="Helvetica"/>
          <w:sz w:val="28"/>
          <w:szCs w:val="28"/>
        </w:rPr>
      </w:pPr>
      <w:r>
        <w:rPr>
          <w:rFonts w:ascii="Helvetica" w:hAnsi="Helvetica"/>
          <w:sz w:val="28"/>
          <w:szCs w:val="28"/>
        </w:rPr>
        <w:t>Lone Working Policy</w:t>
      </w:r>
    </w:p>
    <w:p w14:paraId="1AA42EB0" w14:textId="279FCEBC" w:rsidR="007B1727" w:rsidRDefault="007B1727">
      <w:pPr>
        <w:pStyle w:val="Body"/>
        <w:jc w:val="center"/>
        <w:rPr>
          <w:rFonts w:ascii="Helvetica" w:hAnsi="Helvetica"/>
          <w:sz w:val="28"/>
          <w:szCs w:val="28"/>
        </w:rPr>
      </w:pPr>
    </w:p>
    <w:p w14:paraId="38CAD000" w14:textId="579A5156" w:rsidR="007B1727" w:rsidRDefault="007B1727">
      <w:pPr>
        <w:pStyle w:val="Body"/>
        <w:jc w:val="center"/>
        <w:rPr>
          <w:rFonts w:ascii="Helvetica" w:hAnsi="Helvetica"/>
          <w:sz w:val="28"/>
          <w:szCs w:val="28"/>
        </w:rPr>
      </w:pPr>
    </w:p>
    <w:p w14:paraId="562F3911" w14:textId="77777777" w:rsidR="007B1727" w:rsidRDefault="007B1727">
      <w:pPr>
        <w:pStyle w:val="Body"/>
        <w:jc w:val="center"/>
        <w:rPr>
          <w:rFonts w:ascii="Helvetica" w:eastAsia="Helvetica" w:hAnsi="Helvetica" w:cs="Helvetica"/>
          <w:sz w:val="28"/>
          <w:szCs w:val="28"/>
        </w:rPr>
      </w:pPr>
    </w:p>
    <w:p w14:paraId="72DC95A0" w14:textId="77777777" w:rsidR="00C52477" w:rsidRDefault="00C52477">
      <w:pPr>
        <w:pStyle w:val="Body"/>
        <w:rPr>
          <w:rFonts w:ascii="Helvetica" w:eastAsia="Helvetica" w:hAnsi="Helvetica" w:cs="Helvetica"/>
        </w:rPr>
      </w:pPr>
    </w:p>
    <w:p w14:paraId="13650873" w14:textId="77777777" w:rsidR="00C52477" w:rsidRDefault="00882BEE">
      <w:pPr>
        <w:pStyle w:val="Body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fr-FR"/>
        </w:rPr>
        <w:t>Introduction</w:t>
      </w:r>
    </w:p>
    <w:p w14:paraId="2601D7DB" w14:textId="77777777" w:rsidR="00C52477" w:rsidRDefault="00882BEE">
      <w:pPr>
        <w:pStyle w:val="Body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Wroxham Parish Council </w:t>
      </w:r>
      <w:proofErr w:type="spellStart"/>
      <w:r>
        <w:rPr>
          <w:rFonts w:ascii="Helvetica" w:hAnsi="Helvetica"/>
        </w:rPr>
        <w:t>recognises</w:t>
      </w:r>
      <w:proofErr w:type="spellEnd"/>
      <w:r>
        <w:rPr>
          <w:rFonts w:ascii="Helvetica" w:hAnsi="Helvetica"/>
        </w:rPr>
        <w:t xml:space="preserve"> that both the C</w:t>
      </w:r>
      <w:r>
        <w:rPr>
          <w:rFonts w:ascii="Helvetica" w:hAnsi="Helvetica"/>
        </w:rPr>
        <w:t xml:space="preserve">lerk </w:t>
      </w:r>
      <w:r>
        <w:rPr>
          <w:rFonts w:ascii="Helvetica" w:hAnsi="Helvetica"/>
        </w:rPr>
        <w:t>and Parish Ranger are required to work by themselves</w:t>
      </w:r>
      <w:r>
        <w:rPr>
          <w:rFonts w:ascii="Helvetica" w:hAnsi="Helvetica"/>
        </w:rPr>
        <w:t xml:space="preserve"> in the community without close or direct supervision, sometimes in isolated work areas or out of office hours.</w:t>
      </w:r>
    </w:p>
    <w:p w14:paraId="2FC2A940" w14:textId="77777777" w:rsidR="00C52477" w:rsidRDefault="00C52477">
      <w:pPr>
        <w:pStyle w:val="Body"/>
        <w:rPr>
          <w:rFonts w:ascii="Helvetica" w:eastAsia="Helvetica" w:hAnsi="Helvetica" w:cs="Helvetica"/>
        </w:rPr>
      </w:pPr>
    </w:p>
    <w:p w14:paraId="59E3DB08" w14:textId="77777777" w:rsidR="00C52477" w:rsidRDefault="00882BEE">
      <w:pPr>
        <w:pStyle w:val="Body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 xml:space="preserve">The Parish Council also </w:t>
      </w:r>
      <w:proofErr w:type="spellStart"/>
      <w:r>
        <w:rPr>
          <w:rFonts w:ascii="Helvetica" w:hAnsi="Helvetica"/>
        </w:rPr>
        <w:t>recognises</w:t>
      </w:r>
      <w:proofErr w:type="spellEnd"/>
      <w:r>
        <w:rPr>
          <w:rFonts w:ascii="Helvetica" w:hAnsi="Helvetica"/>
        </w:rPr>
        <w:t xml:space="preserve"> it has an obligation to comply with its legal duties under the Health and Safety at Work etc. Act 1974 and t</w:t>
      </w:r>
      <w:r>
        <w:rPr>
          <w:rFonts w:ascii="Helvetica" w:hAnsi="Helvetica"/>
        </w:rPr>
        <w:t>he Management of Health and Safety at Work Regulations 1999 for the health, safety and welfare at work of its employees.</w:t>
      </w:r>
    </w:p>
    <w:p w14:paraId="1556B97F" w14:textId="77777777" w:rsidR="00C52477" w:rsidRDefault="00C52477">
      <w:pPr>
        <w:pStyle w:val="Body"/>
        <w:rPr>
          <w:rFonts w:ascii="Helvetica" w:eastAsia="Helvetica" w:hAnsi="Helvetica" w:cs="Helvetica"/>
        </w:rPr>
      </w:pPr>
    </w:p>
    <w:p w14:paraId="3B16ECB8" w14:textId="77777777" w:rsidR="00C52477" w:rsidRDefault="00882BEE">
      <w:pPr>
        <w:pStyle w:val="Body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it-IT"/>
        </w:rPr>
        <w:t>Scope</w:t>
      </w:r>
    </w:p>
    <w:p w14:paraId="79840F6E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This policy applies to all situations involving lone working of the Parish Council Clerk and the Parish Ranger as employees. It </w:t>
      </w:r>
      <w:r>
        <w:rPr>
          <w:rFonts w:ascii="Helvetica" w:hAnsi="Helvetica"/>
        </w:rPr>
        <w:t>also applies to Parish Councillors, Volunteers and Contractors involved in lone working arising in connection with the duties and activities of the Parish Council.</w:t>
      </w:r>
    </w:p>
    <w:p w14:paraId="5A50DED4" w14:textId="77777777" w:rsidR="00C52477" w:rsidRDefault="00C52477">
      <w:pPr>
        <w:pStyle w:val="Body"/>
        <w:rPr>
          <w:rFonts w:ascii="Helvetica" w:eastAsia="Helvetica" w:hAnsi="Helvetica" w:cs="Helvetica"/>
        </w:rPr>
      </w:pPr>
    </w:p>
    <w:p w14:paraId="6B814C32" w14:textId="77777777" w:rsidR="00C52477" w:rsidRDefault="00882BEE">
      <w:pPr>
        <w:pStyle w:val="Body"/>
        <w:rPr>
          <w:rFonts w:ascii="Helvetica" w:eastAsia="Helvetica" w:hAnsi="Helvetica" w:cs="Helvetica"/>
          <w:b/>
          <w:bCs/>
        </w:rPr>
      </w:pPr>
      <w:proofErr w:type="spellStart"/>
      <w:r>
        <w:rPr>
          <w:rFonts w:ascii="Helvetica" w:hAnsi="Helvetica"/>
          <w:b/>
          <w:bCs/>
          <w:lang w:val="fr-FR"/>
        </w:rPr>
        <w:t>Definition</w:t>
      </w:r>
      <w:proofErr w:type="spellEnd"/>
    </w:p>
    <w:p w14:paraId="5A550A8E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The Health and Safety Executive defines lone workers as </w:t>
      </w:r>
      <w:r>
        <w:rPr>
          <w:rFonts w:ascii="Helvetica" w:hAnsi="Helvetica"/>
        </w:rPr>
        <w:t>“</w:t>
      </w:r>
      <w:r>
        <w:rPr>
          <w:rFonts w:ascii="Helvetica" w:hAnsi="Helvetica"/>
        </w:rPr>
        <w:t>those who work by thems</w:t>
      </w:r>
      <w:r>
        <w:rPr>
          <w:rFonts w:ascii="Helvetica" w:hAnsi="Helvetica"/>
        </w:rPr>
        <w:t>elves without close or direct supervision</w:t>
      </w:r>
      <w:r>
        <w:rPr>
          <w:rFonts w:ascii="Helvetica" w:hAnsi="Helvetica"/>
        </w:rPr>
        <w:t>”</w:t>
      </w:r>
      <w:r>
        <w:rPr>
          <w:rFonts w:ascii="Helvetica" w:hAnsi="Helvetica"/>
        </w:rPr>
        <w:t>.</w:t>
      </w:r>
      <w:r>
        <w:rPr>
          <w:rFonts w:ascii="Helvetica" w:hAnsi="Helvetica"/>
        </w:rPr>
        <w:t xml:space="preserve"> This includes but is not confined to:</w:t>
      </w:r>
    </w:p>
    <w:p w14:paraId="0B82D51D" w14:textId="77777777" w:rsidR="00C52477" w:rsidRDefault="00882BEE">
      <w:pPr>
        <w:pStyle w:val="Body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One worker working from their own home</w:t>
      </w:r>
    </w:p>
    <w:p w14:paraId="35365FC0" w14:textId="77777777" w:rsidR="00C52477" w:rsidRDefault="00882BEE">
      <w:pPr>
        <w:pStyle w:val="Body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Working alone in a workshop or open space</w:t>
      </w:r>
    </w:p>
    <w:p w14:paraId="020414A8" w14:textId="77777777" w:rsidR="00C52477" w:rsidRDefault="00882BEE">
      <w:pPr>
        <w:pStyle w:val="Body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Travelling alone to attend another agency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 xml:space="preserve">s premises or a meeting venue or on other business </w:t>
      </w:r>
      <w:r>
        <w:rPr>
          <w:rFonts w:ascii="Helvetica" w:hAnsi="Helvetica"/>
        </w:rPr>
        <w:t>of the Parish Council</w:t>
      </w:r>
    </w:p>
    <w:p w14:paraId="71992494" w14:textId="77777777" w:rsidR="00C52477" w:rsidRDefault="00882BEE">
      <w:pPr>
        <w:pStyle w:val="Body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Meeting with or making a home visit to an individual</w:t>
      </w:r>
    </w:p>
    <w:p w14:paraId="1B1D40C6" w14:textId="77777777" w:rsidR="00C52477" w:rsidRDefault="00C52477">
      <w:pPr>
        <w:pStyle w:val="Body"/>
        <w:rPr>
          <w:rFonts w:ascii="Helvetica" w:eastAsia="Helvetica" w:hAnsi="Helvetica" w:cs="Helvetica"/>
        </w:rPr>
      </w:pPr>
    </w:p>
    <w:p w14:paraId="4C4AB1D6" w14:textId="77777777" w:rsidR="00C52477" w:rsidRDefault="00882BEE">
      <w:pPr>
        <w:pStyle w:val="Body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Responsibilities</w:t>
      </w:r>
    </w:p>
    <w:p w14:paraId="68954AA3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The Parish Council will, as far as is reasonably practicable, ensure that the clerk, parish ranger, </w:t>
      </w:r>
      <w:proofErr w:type="spellStart"/>
      <w:r>
        <w:rPr>
          <w:rFonts w:ascii="Helvetica" w:hAnsi="Helvetica"/>
        </w:rPr>
        <w:t>councillors</w:t>
      </w:r>
      <w:proofErr w:type="spellEnd"/>
      <w:r>
        <w:rPr>
          <w:rFonts w:ascii="Helvetica" w:hAnsi="Helvetica"/>
        </w:rPr>
        <w:t>, volunteers or contractors who work alone or unsupervised for significant periods of time are protected from risks. The policy should also be co</w:t>
      </w:r>
      <w:r>
        <w:rPr>
          <w:rFonts w:ascii="Helvetica" w:hAnsi="Helvetica"/>
        </w:rPr>
        <w:t>nsidered in conjunction with the Wroxham Parish Council Risk Management Schedule (Operational Risks).</w:t>
      </w:r>
    </w:p>
    <w:p w14:paraId="425D3EA2" w14:textId="77777777" w:rsidR="00C52477" w:rsidRDefault="00C52477">
      <w:pPr>
        <w:pStyle w:val="Body"/>
        <w:rPr>
          <w:rFonts w:ascii="Helvetica" w:eastAsia="Helvetica" w:hAnsi="Helvetica" w:cs="Helvetica"/>
        </w:rPr>
      </w:pPr>
    </w:p>
    <w:p w14:paraId="0E38AA84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When working alone the clerk, parish ranger, </w:t>
      </w:r>
      <w:proofErr w:type="spellStart"/>
      <w:r>
        <w:rPr>
          <w:rFonts w:ascii="Helvetica" w:hAnsi="Helvetica"/>
        </w:rPr>
        <w:t>councillor</w:t>
      </w:r>
      <w:proofErr w:type="spellEnd"/>
      <w:r>
        <w:rPr>
          <w:rFonts w:ascii="Helvetica" w:hAnsi="Helvetica"/>
        </w:rPr>
        <w:t>, volunteer or contractor:</w:t>
      </w:r>
    </w:p>
    <w:p w14:paraId="2EF23F61" w14:textId="77777777" w:rsidR="00C52477" w:rsidRDefault="00882BEE">
      <w:pPr>
        <w:pStyle w:val="Body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Has a duty of care for his / her own safety and that of any other perso</w:t>
      </w:r>
      <w:r>
        <w:rPr>
          <w:rFonts w:ascii="Helvetica" w:hAnsi="Helvetica"/>
        </w:rPr>
        <w:t>n affected by the Parish Council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>s activities</w:t>
      </w:r>
    </w:p>
    <w:p w14:paraId="1E763346" w14:textId="77777777" w:rsidR="00C52477" w:rsidRDefault="00882BEE">
      <w:pPr>
        <w:pStyle w:val="Body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Has a responsibility to follow safe working practices</w:t>
      </w:r>
    </w:p>
    <w:p w14:paraId="3799BF66" w14:textId="77777777" w:rsidR="00C52477" w:rsidRDefault="00882BEE">
      <w:pPr>
        <w:pStyle w:val="Body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Needs to remain alert for their own safety</w:t>
      </w:r>
    </w:p>
    <w:p w14:paraId="20508406" w14:textId="77777777" w:rsidR="00C52477" w:rsidRDefault="00882BEE">
      <w:pPr>
        <w:pStyle w:val="Body"/>
        <w:numPr>
          <w:ilvl w:val="0"/>
          <w:numId w:val="2"/>
        </w:numPr>
        <w:rPr>
          <w:rFonts w:ascii="Helvetica" w:hAnsi="Helvetica"/>
        </w:rPr>
      </w:pPr>
      <w:r>
        <w:rPr>
          <w:rFonts w:ascii="Helvetica" w:hAnsi="Helvetica"/>
        </w:rPr>
        <w:t>Needs to ensure that they do not take any unnecessary risks</w:t>
      </w:r>
    </w:p>
    <w:p w14:paraId="4BE59719" w14:textId="77777777" w:rsidR="00C52477" w:rsidRDefault="00C52477">
      <w:pPr>
        <w:pStyle w:val="Body"/>
        <w:rPr>
          <w:rFonts w:ascii="Helvetica" w:eastAsia="Helvetica" w:hAnsi="Helvetica" w:cs="Helvetica"/>
        </w:rPr>
      </w:pPr>
    </w:p>
    <w:p w14:paraId="41E26769" w14:textId="77777777" w:rsidR="00C52477" w:rsidRDefault="00882BEE">
      <w:pPr>
        <w:pStyle w:val="Body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  <w:lang w:val="fr-FR"/>
        </w:rPr>
        <w:t>Guidance</w:t>
      </w:r>
    </w:p>
    <w:p w14:paraId="25A5EC01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</w:rPr>
        <w:t>The Health and Safety Executive</w:t>
      </w:r>
      <w:r>
        <w:rPr>
          <w:rFonts w:ascii="Helvetica" w:hAnsi="Helvetica"/>
        </w:rPr>
        <w:t>’</w:t>
      </w:r>
      <w:r>
        <w:rPr>
          <w:rFonts w:ascii="Helvetica" w:hAnsi="Helvetica"/>
        </w:rPr>
        <w:t xml:space="preserve">s guidance on the risks of lone working can be accessed at </w:t>
      </w:r>
      <w:hyperlink r:id="rId8" w:history="1">
        <w:r>
          <w:rPr>
            <w:rStyle w:val="Hyperlink0"/>
            <w:rFonts w:ascii="Helvetica" w:hAnsi="Helvetica"/>
          </w:rPr>
          <w:t>http://www.hse.gov.uk/pubns/indg73.htm</w:t>
        </w:r>
      </w:hyperlink>
    </w:p>
    <w:p w14:paraId="695BB96E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   </w:t>
      </w:r>
    </w:p>
    <w:p w14:paraId="7EE58D58" w14:textId="77777777" w:rsidR="00C52477" w:rsidRDefault="00882BEE">
      <w:pPr>
        <w:pStyle w:val="Body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General</w:t>
      </w:r>
    </w:p>
    <w:p w14:paraId="476C67BF" w14:textId="77777777" w:rsidR="00C52477" w:rsidRDefault="00882BEE">
      <w:pPr>
        <w:pStyle w:val="Body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>When working alone always carry a mobile phone and ensure it is fully charged.</w:t>
      </w:r>
    </w:p>
    <w:p w14:paraId="24D4F11E" w14:textId="77777777" w:rsidR="00C52477" w:rsidRDefault="00882BEE">
      <w:pPr>
        <w:pStyle w:val="Body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 xml:space="preserve">Wear Wroxham </w:t>
      </w:r>
      <w:r>
        <w:rPr>
          <w:rFonts w:ascii="Helvetica" w:hAnsi="Helvetica"/>
        </w:rPr>
        <w:t>Parish Council ID badge at all times, whilst on Council business.</w:t>
      </w:r>
    </w:p>
    <w:p w14:paraId="1832C080" w14:textId="77777777" w:rsidR="00C52477" w:rsidRDefault="00882BEE">
      <w:pPr>
        <w:pStyle w:val="Body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 xml:space="preserve">Inform someone, for example a family member, of arrangements and of any changes to these   </w:t>
      </w:r>
      <w:r>
        <w:rPr>
          <w:rFonts w:ascii="Helvetica" w:hAnsi="Helvetica"/>
          <w:lang w:val="fr-FR"/>
        </w:rPr>
        <w:t>arrangements</w:t>
      </w:r>
      <w:r>
        <w:rPr>
          <w:rFonts w:ascii="Helvetica" w:hAnsi="Helvetica"/>
        </w:rPr>
        <w:t>.</w:t>
      </w:r>
    </w:p>
    <w:p w14:paraId="6E0FB59B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</w:rPr>
        <w:lastRenderedPageBreak/>
        <w:t xml:space="preserve">• </w:t>
      </w:r>
      <w:r>
        <w:rPr>
          <w:rFonts w:ascii="Helvetica" w:hAnsi="Helvetica"/>
        </w:rPr>
        <w:t>Leave details of venue and contact details if possible.</w:t>
      </w:r>
    </w:p>
    <w:p w14:paraId="6BB6E39B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• </w:t>
      </w:r>
      <w:r>
        <w:rPr>
          <w:rFonts w:ascii="Helvetica" w:hAnsi="Helvetica"/>
        </w:rPr>
        <w:t>Carrying a torch if trave</w:t>
      </w:r>
      <w:r>
        <w:rPr>
          <w:rFonts w:ascii="Helvetica" w:hAnsi="Helvetica"/>
        </w:rPr>
        <w:t>lling on foot in the dark.</w:t>
      </w:r>
    </w:p>
    <w:p w14:paraId="6246AB84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• </w:t>
      </w:r>
      <w:r>
        <w:rPr>
          <w:rFonts w:ascii="Helvetica" w:hAnsi="Helvetica"/>
        </w:rPr>
        <w:t>Carry a personal alarm if visiting isolated locations.</w:t>
      </w:r>
    </w:p>
    <w:p w14:paraId="4C2ECAAF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• </w:t>
      </w:r>
      <w:r>
        <w:rPr>
          <w:rFonts w:ascii="Helvetica" w:hAnsi="Helvetica"/>
        </w:rPr>
        <w:t xml:space="preserve">If travelling on foot, plan your route to avoid poorly lit and isolated areas if </w:t>
      </w:r>
      <w:r>
        <w:rPr>
          <w:rFonts w:ascii="Helvetica" w:hAnsi="Helvetica"/>
          <w:lang w:val="fr-FR"/>
        </w:rPr>
        <w:t>possible</w:t>
      </w:r>
      <w:r>
        <w:rPr>
          <w:rFonts w:ascii="Helvetica" w:hAnsi="Helvetica"/>
        </w:rPr>
        <w:t>.</w:t>
      </w:r>
    </w:p>
    <w:p w14:paraId="3A226C59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• </w:t>
      </w:r>
      <w:r>
        <w:rPr>
          <w:rFonts w:ascii="Helvetica" w:hAnsi="Helvetica"/>
        </w:rPr>
        <w:t>Take account of adverse weather conditions.</w:t>
      </w:r>
    </w:p>
    <w:p w14:paraId="55A364D4" w14:textId="77777777" w:rsidR="00C52477" w:rsidRDefault="00C52477">
      <w:pPr>
        <w:pStyle w:val="Body"/>
        <w:rPr>
          <w:rFonts w:ascii="Helvetica" w:eastAsia="Helvetica" w:hAnsi="Helvetica" w:cs="Helvetica"/>
          <w:b/>
          <w:bCs/>
        </w:rPr>
      </w:pPr>
    </w:p>
    <w:p w14:paraId="785FF254" w14:textId="77777777" w:rsidR="00C52477" w:rsidRDefault="00C52477">
      <w:pPr>
        <w:pStyle w:val="Body"/>
        <w:rPr>
          <w:rFonts w:ascii="Helvetica" w:eastAsia="Helvetica" w:hAnsi="Helvetica" w:cs="Helvetica"/>
          <w:b/>
          <w:bCs/>
        </w:rPr>
      </w:pPr>
    </w:p>
    <w:p w14:paraId="13E06E24" w14:textId="77777777" w:rsidR="00C52477" w:rsidRDefault="00882BEE">
      <w:pPr>
        <w:pStyle w:val="Body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 xml:space="preserve">Meeting with or making a </w:t>
      </w:r>
      <w:r>
        <w:rPr>
          <w:rFonts w:ascii="Helvetica" w:hAnsi="Helvetica"/>
          <w:b/>
          <w:bCs/>
        </w:rPr>
        <w:t>home visit to an individual</w:t>
      </w:r>
    </w:p>
    <w:p w14:paraId="23EE04AA" w14:textId="77777777" w:rsidR="00C52477" w:rsidRDefault="00882BEE">
      <w:pPr>
        <w:pStyle w:val="Body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>If required to meet with a member of the public, assess the situation and always consider your personal safety.</w:t>
      </w:r>
    </w:p>
    <w:p w14:paraId="7D35C053" w14:textId="77777777" w:rsidR="00C52477" w:rsidRDefault="00882BEE">
      <w:pPr>
        <w:pStyle w:val="Body"/>
        <w:numPr>
          <w:ilvl w:val="0"/>
          <w:numId w:val="4"/>
        </w:numPr>
        <w:rPr>
          <w:rFonts w:ascii="Helvetica" w:hAnsi="Helvetica"/>
        </w:rPr>
      </w:pPr>
      <w:r>
        <w:rPr>
          <w:rFonts w:ascii="Helvetica" w:hAnsi="Helvetica"/>
        </w:rPr>
        <w:t>Consider whether you may need to:</w:t>
      </w:r>
    </w:p>
    <w:p w14:paraId="122036CD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*</w:t>
      </w:r>
      <w:r>
        <w:rPr>
          <w:rFonts w:ascii="Helvetica" w:hAnsi="Helvetica"/>
        </w:rPr>
        <w:t>Avoid meeting in isolated places</w:t>
      </w:r>
    </w:p>
    <w:p w14:paraId="78E319AE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*</w:t>
      </w:r>
      <w:r>
        <w:rPr>
          <w:rFonts w:ascii="Helvetica" w:hAnsi="Helvetica"/>
        </w:rPr>
        <w:t>If they are to visit your home ensure that th</w:t>
      </w:r>
      <w:r>
        <w:rPr>
          <w:rFonts w:ascii="Helvetica" w:hAnsi="Helvetica"/>
        </w:rPr>
        <w:t xml:space="preserve">ere is someone else in the house at the same </w:t>
      </w:r>
      <w:r>
        <w:rPr>
          <w:rFonts w:ascii="Helvetica" w:eastAsia="Helvetica" w:hAnsi="Helvetica" w:cs="Helvetica"/>
        </w:rPr>
        <w:tab/>
      </w:r>
      <w:proofErr w:type="gramStart"/>
      <w:r>
        <w:rPr>
          <w:rFonts w:ascii="Helvetica" w:eastAsia="Helvetica" w:hAnsi="Helvetica" w:cs="Helvetica"/>
        </w:rPr>
        <w:tab/>
        <w:t xml:space="preserve">  </w:t>
      </w:r>
      <w:r>
        <w:rPr>
          <w:rFonts w:ascii="Helvetica" w:hAnsi="Helvetica"/>
        </w:rPr>
        <w:t>time</w:t>
      </w:r>
      <w:proofErr w:type="gramEnd"/>
    </w:p>
    <w:p w14:paraId="3B5D25CB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*</w:t>
      </w:r>
      <w:r>
        <w:rPr>
          <w:rFonts w:ascii="Helvetica" w:hAnsi="Helvetica"/>
        </w:rPr>
        <w:t>Meet in a public place or get someone to accompany you</w:t>
      </w:r>
    </w:p>
    <w:p w14:paraId="7F7FA0B4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eastAsia="Helvetica" w:hAnsi="Helvetica" w:cs="Helvetica"/>
        </w:rPr>
        <w:tab/>
        <w:t>*</w:t>
      </w:r>
      <w:r>
        <w:rPr>
          <w:rFonts w:ascii="Helvetica" w:hAnsi="Helvetica"/>
        </w:rPr>
        <w:t>Get someone to accompany you if a house visit is necessary</w:t>
      </w:r>
    </w:p>
    <w:p w14:paraId="5E450FED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• </w:t>
      </w:r>
      <w:r>
        <w:rPr>
          <w:rFonts w:ascii="Helvetica" w:hAnsi="Helvetica"/>
        </w:rPr>
        <w:t>If faced with aggression / or conflict from a member of public seek to extricate y</w:t>
      </w:r>
      <w:r>
        <w:rPr>
          <w:rFonts w:ascii="Helvetica" w:hAnsi="Helvetica"/>
        </w:rPr>
        <w:t>ourself from the situation with the minimum of risk and get to a place of safety. Avoid getting into any kind of argument with anyone who is being aggressive or threatening, as this will only serve to inflame the situation.</w:t>
      </w:r>
    </w:p>
    <w:p w14:paraId="1A80DEBA" w14:textId="77777777" w:rsidR="00C52477" w:rsidRDefault="00C52477">
      <w:pPr>
        <w:pStyle w:val="Body"/>
        <w:rPr>
          <w:rFonts w:ascii="Helvetica" w:eastAsia="Helvetica" w:hAnsi="Helvetica" w:cs="Helvetica"/>
        </w:rPr>
      </w:pPr>
    </w:p>
    <w:p w14:paraId="5CED4110" w14:textId="77777777" w:rsidR="00C52477" w:rsidRDefault="00882BEE">
      <w:pPr>
        <w:pStyle w:val="Body"/>
        <w:rPr>
          <w:rFonts w:ascii="Helvetica" w:eastAsia="Helvetica" w:hAnsi="Helvetica" w:cs="Helvetica"/>
          <w:b/>
          <w:bCs/>
        </w:rPr>
      </w:pPr>
      <w:r>
        <w:rPr>
          <w:rFonts w:ascii="Helvetica" w:hAnsi="Helvetica"/>
          <w:b/>
          <w:bCs/>
        </w:rPr>
        <w:t>Incident reporting</w:t>
      </w:r>
    </w:p>
    <w:p w14:paraId="14E5E532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An incident </w:t>
      </w:r>
      <w:r>
        <w:rPr>
          <w:rFonts w:ascii="Helvetica" w:hAnsi="Helvetica"/>
        </w:rPr>
        <w:t>can be defined as an unplanned or uncontrolled event or sequence of events that has the potential to cause injury, ill-health or damage.</w:t>
      </w:r>
    </w:p>
    <w:p w14:paraId="52967599" w14:textId="77777777" w:rsidR="00C52477" w:rsidRDefault="00C52477">
      <w:pPr>
        <w:pStyle w:val="Body"/>
        <w:rPr>
          <w:rFonts w:ascii="Helvetica" w:eastAsia="Helvetica" w:hAnsi="Helvetica" w:cs="Helvetica"/>
        </w:rPr>
      </w:pPr>
    </w:p>
    <w:p w14:paraId="712A3E87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</w:rPr>
        <w:t>All incidents must be reported to the Parish Clerk or Chair.</w:t>
      </w:r>
    </w:p>
    <w:p w14:paraId="7CADB9F9" w14:textId="77777777" w:rsidR="00C52477" w:rsidRDefault="00882BEE">
      <w:pPr>
        <w:pStyle w:val="Body"/>
        <w:rPr>
          <w:rFonts w:ascii="Helvetica" w:eastAsia="Helvetica" w:hAnsi="Helvetica" w:cs="Helvetica"/>
        </w:rPr>
      </w:pPr>
      <w:r>
        <w:rPr>
          <w:rFonts w:ascii="Helvetica" w:hAnsi="Helvetica"/>
        </w:rPr>
        <w:t xml:space="preserve"> </w:t>
      </w:r>
    </w:p>
    <w:p w14:paraId="2FC48C41" w14:textId="77777777" w:rsidR="00C52477" w:rsidRDefault="00C52477">
      <w:pPr>
        <w:pStyle w:val="Body"/>
        <w:rPr>
          <w:rFonts w:ascii="Helvetica" w:eastAsia="Helvetica" w:hAnsi="Helvetica" w:cs="Helvetica"/>
        </w:rPr>
      </w:pPr>
    </w:p>
    <w:p w14:paraId="22456AC3" w14:textId="77777777" w:rsidR="00C52477" w:rsidRDefault="00882BEE">
      <w:pPr>
        <w:pStyle w:val="Body"/>
        <w:rPr>
          <w:b/>
          <w:bCs/>
        </w:rPr>
      </w:pPr>
      <w:r>
        <w:rPr>
          <w:b/>
          <w:bCs/>
        </w:rPr>
        <w:t>Review</w:t>
      </w:r>
    </w:p>
    <w:p w14:paraId="5C1D89D0" w14:textId="77777777" w:rsidR="00C52477" w:rsidRDefault="00882BEE">
      <w:pPr>
        <w:pStyle w:val="Body"/>
      </w:pPr>
      <w:r>
        <w:t>This document has been produced as a</w:t>
      </w:r>
      <w:r>
        <w:t xml:space="preserve"> Lone Working Policy for the Council and will be reviewed annually.</w:t>
      </w:r>
    </w:p>
    <w:p w14:paraId="743CDBA2" w14:textId="77777777" w:rsidR="00C52477" w:rsidRDefault="00C52477">
      <w:pPr>
        <w:pStyle w:val="Body"/>
      </w:pPr>
    </w:p>
    <w:p w14:paraId="5DC2C558" w14:textId="77777777" w:rsidR="00C52477" w:rsidRPr="002D5C18" w:rsidRDefault="00C52477">
      <w:pPr>
        <w:pStyle w:val="Body"/>
        <w:rPr>
          <w:b/>
        </w:rPr>
      </w:pPr>
    </w:p>
    <w:p w14:paraId="1419A59A" w14:textId="1F37EB4C" w:rsidR="00C52477" w:rsidRPr="002D5C18" w:rsidRDefault="00882BEE">
      <w:pPr>
        <w:pStyle w:val="Body"/>
        <w:rPr>
          <w:b/>
        </w:rPr>
      </w:pPr>
      <w:r w:rsidRPr="002D5C18">
        <w:rPr>
          <w:b/>
        </w:rPr>
        <w:t xml:space="preserve">This policy was approved and adopted by Wroxham Parish Council at its meeting held on </w:t>
      </w:r>
      <w:r w:rsidR="007B1727" w:rsidRPr="002D5C18">
        <w:rPr>
          <w:b/>
        </w:rPr>
        <w:t>4</w:t>
      </w:r>
      <w:r w:rsidR="007B1727" w:rsidRPr="002D5C18">
        <w:rPr>
          <w:b/>
          <w:vertAlign w:val="superscript"/>
        </w:rPr>
        <w:t>th</w:t>
      </w:r>
      <w:r w:rsidR="007B1727" w:rsidRPr="002D5C18">
        <w:rPr>
          <w:b/>
        </w:rPr>
        <w:t xml:space="preserve"> April 2019.</w:t>
      </w:r>
      <w:bookmarkStart w:id="0" w:name="_GoBack"/>
      <w:bookmarkEnd w:id="0"/>
    </w:p>
    <w:p w14:paraId="36F2B640" w14:textId="77777777" w:rsidR="00C52477" w:rsidRDefault="00C52477">
      <w:pPr>
        <w:pStyle w:val="Body"/>
      </w:pPr>
    </w:p>
    <w:p w14:paraId="3751D836" w14:textId="77777777" w:rsidR="00C52477" w:rsidRDefault="00C52477">
      <w:pPr>
        <w:pStyle w:val="Body"/>
      </w:pPr>
    </w:p>
    <w:sectPr w:rsidR="00C52477">
      <w:headerReference w:type="default" r:id="rId9"/>
      <w:footerReference w:type="default" r:id="rId10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3E100F" w14:textId="77777777" w:rsidR="00882BEE" w:rsidRDefault="00882BEE">
      <w:r>
        <w:separator/>
      </w:r>
    </w:p>
  </w:endnote>
  <w:endnote w:type="continuationSeparator" w:id="0">
    <w:p w14:paraId="730E367A" w14:textId="77777777" w:rsidR="00882BEE" w:rsidRDefault="00882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0809B1" w14:textId="77777777" w:rsidR="00C52477" w:rsidRDefault="00C524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ADF02" w14:textId="77777777" w:rsidR="00882BEE" w:rsidRDefault="00882BEE">
      <w:r>
        <w:separator/>
      </w:r>
    </w:p>
  </w:footnote>
  <w:footnote w:type="continuationSeparator" w:id="0">
    <w:p w14:paraId="7205DAEE" w14:textId="77777777" w:rsidR="00882BEE" w:rsidRDefault="00882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9A36B" w14:textId="77777777" w:rsidR="00C52477" w:rsidRDefault="00C524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21EBC"/>
    <w:multiLevelType w:val="hybridMultilevel"/>
    <w:tmpl w:val="106E8A36"/>
    <w:numStyleLink w:val="BulletBig"/>
  </w:abstractNum>
  <w:abstractNum w:abstractNumId="1" w15:restartNumberingAfterBreak="0">
    <w:nsid w:val="0EAB6B6E"/>
    <w:multiLevelType w:val="hybridMultilevel"/>
    <w:tmpl w:val="6150C188"/>
    <w:numStyleLink w:val="Bullet"/>
  </w:abstractNum>
  <w:abstractNum w:abstractNumId="2" w15:restartNumberingAfterBreak="0">
    <w:nsid w:val="447B698A"/>
    <w:multiLevelType w:val="hybridMultilevel"/>
    <w:tmpl w:val="6150C188"/>
    <w:styleLink w:val="Bullet"/>
    <w:lvl w:ilvl="0" w:tplc="F92CA8E2">
      <w:start w:val="1"/>
      <w:numFmt w:val="bullet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1" w:tplc="4FFCF7C4">
      <w:start w:val="1"/>
      <w:numFmt w:val="bullet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 w:tplc="D88C1A58">
      <w:start w:val="1"/>
      <w:numFmt w:val="bullet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 w:tplc="1F6E25FE">
      <w:start w:val="1"/>
      <w:numFmt w:val="bullet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 w:tplc="F2820E52">
      <w:start w:val="1"/>
      <w:numFmt w:val="bullet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 w:tplc="A692C03C">
      <w:start w:val="1"/>
      <w:numFmt w:val="bullet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 w:tplc="6BDAE196">
      <w:start w:val="1"/>
      <w:numFmt w:val="bullet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 w:tplc="EE9C8902">
      <w:start w:val="1"/>
      <w:numFmt w:val="bullet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 w:tplc="A652045A">
      <w:start w:val="1"/>
      <w:numFmt w:val="bullet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 w15:restartNumberingAfterBreak="0">
    <w:nsid w:val="45ED455F"/>
    <w:multiLevelType w:val="hybridMultilevel"/>
    <w:tmpl w:val="106E8A36"/>
    <w:styleLink w:val="BulletBig"/>
    <w:lvl w:ilvl="0" w:tplc="9B048BEC">
      <w:start w:val="1"/>
      <w:numFmt w:val="bullet"/>
      <w:lvlText w:val="•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7772CAE0">
      <w:start w:val="1"/>
      <w:numFmt w:val="bullet"/>
      <w:lvlText w:val="•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7C82F99E">
      <w:start w:val="1"/>
      <w:numFmt w:val="bullet"/>
      <w:lvlText w:val="•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CBD2F49E">
      <w:start w:val="1"/>
      <w:numFmt w:val="bullet"/>
      <w:lvlText w:val="•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D66EE998">
      <w:start w:val="1"/>
      <w:numFmt w:val="bullet"/>
      <w:lvlText w:val="•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2A66E51E">
      <w:start w:val="1"/>
      <w:numFmt w:val="bullet"/>
      <w:lvlText w:val="•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52C25860">
      <w:start w:val="1"/>
      <w:numFmt w:val="bullet"/>
      <w:lvlText w:val="•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BE0A332C">
      <w:start w:val="1"/>
      <w:numFmt w:val="bullet"/>
      <w:lvlText w:val="•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A2901F6E">
      <w:start w:val="1"/>
      <w:numFmt w:val="bullet"/>
      <w:lvlText w:val="•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2477"/>
    <w:rsid w:val="002D5C18"/>
    <w:rsid w:val="007B1727"/>
    <w:rsid w:val="00882BEE"/>
    <w:rsid w:val="00C5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8D9487"/>
  <w15:docId w15:val="{99788520-19C9-489C-A465-F4052DD14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  <w:lang w:val="en-US"/>
    </w:rPr>
  </w:style>
  <w:style w:type="numbering" w:customStyle="1" w:styleId="BulletBig">
    <w:name w:val="Bullet Big"/>
    <w:pPr>
      <w:numPr>
        <w:numId w:val="1"/>
      </w:numPr>
    </w:pPr>
  </w:style>
  <w:style w:type="character" w:customStyle="1" w:styleId="Hyperlink0">
    <w:name w:val="Hyperlink.0"/>
    <w:basedOn w:val="Hyperlink"/>
    <w:rPr>
      <w:u w:val="single"/>
    </w:rPr>
  </w:style>
  <w:style w:type="numbering" w:customStyle="1" w:styleId="Bullet">
    <w:name w:val="Bullet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se.gov.uk/pubns/indg73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592</Words>
  <Characters>3379</Characters>
  <Application>Microsoft Office Word</Application>
  <DocSecurity>0</DocSecurity>
  <Lines>28</Lines>
  <Paragraphs>7</Paragraphs>
  <ScaleCrop>false</ScaleCrop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Clare Male</cp:lastModifiedBy>
  <cp:revision>3</cp:revision>
  <dcterms:created xsi:type="dcterms:W3CDTF">2019-04-16T13:36:00Z</dcterms:created>
  <dcterms:modified xsi:type="dcterms:W3CDTF">2019-04-16T13:40:00Z</dcterms:modified>
</cp:coreProperties>
</file>