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30" w:rsidRPr="00592F7B" w:rsidRDefault="00223730" w:rsidP="00223730">
      <w:pPr>
        <w:rPr>
          <w:b/>
          <w:bCs/>
          <w:sz w:val="28"/>
          <w:szCs w:val="28"/>
        </w:rPr>
      </w:pPr>
      <w:proofErr w:type="spellStart"/>
      <w:r w:rsidRPr="00592F7B">
        <w:rPr>
          <w:b/>
          <w:bCs/>
          <w:sz w:val="28"/>
          <w:szCs w:val="28"/>
        </w:rPr>
        <w:t>WOODLANE</w:t>
      </w:r>
      <w:proofErr w:type="spellEnd"/>
      <w:r w:rsidRPr="00592F7B">
        <w:rPr>
          <w:b/>
          <w:bCs/>
          <w:sz w:val="28"/>
          <w:szCs w:val="28"/>
        </w:rPr>
        <w:t xml:space="preserve"> FOREST CIVIC ASSOCIATION, INC.</w:t>
      </w:r>
    </w:p>
    <w:p w:rsidR="00223730" w:rsidRPr="00592F7B" w:rsidRDefault="00223730" w:rsidP="00223730">
      <w:pPr>
        <w:rPr>
          <w:b/>
          <w:bCs/>
          <w:sz w:val="28"/>
          <w:szCs w:val="28"/>
        </w:rPr>
      </w:pPr>
      <w:r w:rsidRPr="00592F7B">
        <w:rPr>
          <w:b/>
          <w:bCs/>
          <w:sz w:val="28"/>
          <w:szCs w:val="28"/>
        </w:rPr>
        <w:t>COLLECTION POLICY  2/7/2019</w:t>
      </w:r>
    </w:p>
    <w:p w:rsidR="00223730" w:rsidRPr="00592F7B" w:rsidRDefault="00223730" w:rsidP="00223730">
      <w:pPr>
        <w:rPr>
          <w:b/>
          <w:bCs/>
          <w:sz w:val="28"/>
          <w:szCs w:val="28"/>
        </w:rPr>
      </w:pPr>
    </w:p>
    <w:p w:rsidR="00223730" w:rsidRPr="00592F7B" w:rsidRDefault="00223730" w:rsidP="00223730">
      <w:pPr>
        <w:rPr>
          <w:sz w:val="28"/>
          <w:szCs w:val="28"/>
        </w:rPr>
      </w:pPr>
      <w:r w:rsidRPr="00592F7B">
        <w:rPr>
          <w:sz w:val="28"/>
          <w:szCs w:val="28"/>
        </w:rPr>
        <w:t xml:space="preserve">          WHEREAS, the </w:t>
      </w:r>
      <w:proofErr w:type="spellStart"/>
      <w:r w:rsidRPr="00592F7B">
        <w:rPr>
          <w:sz w:val="28"/>
          <w:szCs w:val="28"/>
        </w:rPr>
        <w:t>Woodlane</w:t>
      </w:r>
      <w:proofErr w:type="spellEnd"/>
      <w:r w:rsidRPr="00592F7B">
        <w:rPr>
          <w:sz w:val="28"/>
          <w:szCs w:val="28"/>
        </w:rPr>
        <w:t xml:space="preserve"> Forest Civic Association, Inc., a Texas non-profit corporation; (the “Association”), which is governed by its Board of Directors (the “Board”), is the governing entity of the </w:t>
      </w:r>
      <w:proofErr w:type="spellStart"/>
      <w:r w:rsidRPr="00592F7B">
        <w:rPr>
          <w:sz w:val="28"/>
          <w:szCs w:val="28"/>
        </w:rPr>
        <w:t>Woodlane</w:t>
      </w:r>
      <w:proofErr w:type="spellEnd"/>
      <w:r w:rsidRPr="00592F7B">
        <w:rPr>
          <w:sz w:val="28"/>
          <w:szCs w:val="28"/>
        </w:rPr>
        <w:t xml:space="preserve"> Forest C.A. (WFCA) and authorized to enact this Policy; and</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            WHEREAS, this Collection Policy applies to the operation and utilization of property commonly known as </w:t>
      </w:r>
      <w:proofErr w:type="spellStart"/>
      <w:r w:rsidRPr="00592F7B">
        <w:rPr>
          <w:sz w:val="28"/>
          <w:szCs w:val="28"/>
        </w:rPr>
        <w:t>Woodlane</w:t>
      </w:r>
      <w:proofErr w:type="spellEnd"/>
      <w:r w:rsidRPr="00592F7B">
        <w:rPr>
          <w:sz w:val="28"/>
          <w:szCs w:val="28"/>
        </w:rPr>
        <w:t xml:space="preserve"> Forest; and</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            WHEREAS the Board of Directors of the Association desires to establish guidelines to administer collection procedures for delinquent amounts owed to the Association in compliance with Chapter 209 of the Texas Property code; and</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            NOW THEREFORE, the Board of Directors of the Association hereby adopts the following Collection Policy pursuant to Chapter 209 of the Texas Property Code:</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This collection policy was approved by the Board of Directors for </w:t>
      </w:r>
      <w:proofErr w:type="spellStart"/>
      <w:r w:rsidRPr="00592F7B">
        <w:rPr>
          <w:sz w:val="28"/>
          <w:szCs w:val="28"/>
        </w:rPr>
        <w:t>Woodlane</w:t>
      </w:r>
      <w:proofErr w:type="spellEnd"/>
      <w:r w:rsidRPr="00592F7B">
        <w:rPr>
          <w:sz w:val="28"/>
          <w:szCs w:val="28"/>
        </w:rPr>
        <w:t xml:space="preserve"> Forest C.A.  Inc. on the 7 day of _February, 2019, to be effective April 1, 2019.</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1)      Yearly maintenance fee statements will be mailed out by the first week of November  prior to the upcoming January due date.</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2)      Yearly maintenance fees are due on January 1st of each calendar year.  They become delinquent on March 1st of each calendar year.</w:t>
      </w:r>
    </w:p>
    <w:p w:rsidR="00223730" w:rsidRPr="00592F7B" w:rsidRDefault="00223730" w:rsidP="00223730">
      <w:pPr>
        <w:rPr>
          <w:sz w:val="28"/>
          <w:szCs w:val="28"/>
        </w:rPr>
      </w:pPr>
      <w:r w:rsidRPr="00592F7B">
        <w:rPr>
          <w:sz w:val="28"/>
          <w:szCs w:val="28"/>
        </w:rPr>
        <w:t>3.      Interest will begin accruing on March 1st of each calendar year on any delinquent accounts.</w:t>
      </w:r>
    </w:p>
    <w:p w:rsidR="00223730" w:rsidRPr="00592F7B" w:rsidRDefault="00223730" w:rsidP="00223730">
      <w:pPr>
        <w:rPr>
          <w:sz w:val="28"/>
          <w:szCs w:val="28"/>
        </w:rPr>
      </w:pPr>
      <w:r w:rsidRPr="00592F7B">
        <w:rPr>
          <w:sz w:val="28"/>
          <w:szCs w:val="28"/>
        </w:rPr>
        <w:t>3)      Late statements will be sent to all delinquent accounts during the first week in February, March, April, and May each calendar year.</w:t>
      </w:r>
    </w:p>
    <w:p w:rsidR="00223730" w:rsidRPr="00592F7B" w:rsidRDefault="00223730" w:rsidP="00223730">
      <w:pPr>
        <w:rPr>
          <w:sz w:val="28"/>
          <w:szCs w:val="28"/>
        </w:rPr>
      </w:pPr>
      <w:r w:rsidRPr="00592F7B">
        <w:rPr>
          <w:sz w:val="28"/>
          <w:szCs w:val="28"/>
        </w:rPr>
        <w:lastRenderedPageBreak/>
        <w:t>4)      209 collection letters will be mailed out via certified and regular mail to all delinquent accounts during the first week in June of each calendar year.</w:t>
      </w:r>
    </w:p>
    <w:p w:rsidR="00223730" w:rsidRPr="00592F7B" w:rsidRDefault="00223730" w:rsidP="00223730">
      <w:pPr>
        <w:rPr>
          <w:sz w:val="28"/>
          <w:szCs w:val="28"/>
        </w:rPr>
      </w:pPr>
      <w:r w:rsidRPr="00592F7B">
        <w:rPr>
          <w:sz w:val="28"/>
          <w:szCs w:val="28"/>
        </w:rPr>
        <w:t>5)      Accounts that are 9 months delinquent will be contacted by phone or in person by a Board member.</w:t>
      </w:r>
    </w:p>
    <w:p w:rsidR="00223730" w:rsidRPr="00592F7B" w:rsidRDefault="00223730" w:rsidP="00223730">
      <w:pPr>
        <w:rPr>
          <w:sz w:val="28"/>
          <w:szCs w:val="28"/>
        </w:rPr>
      </w:pPr>
      <w:r w:rsidRPr="00592F7B">
        <w:rPr>
          <w:sz w:val="28"/>
          <w:szCs w:val="28"/>
        </w:rPr>
        <w:t>6)      Accounts that are 12 months delinquent will be addressed by a Lawsuit Feasibility Committee in accordance with the by laws of WFCA.</w:t>
      </w:r>
    </w:p>
    <w:p w:rsidR="00223730" w:rsidRPr="00592F7B" w:rsidRDefault="00223730" w:rsidP="00223730">
      <w:pPr>
        <w:rPr>
          <w:sz w:val="28"/>
          <w:szCs w:val="28"/>
        </w:rPr>
      </w:pPr>
      <w:r w:rsidRPr="00592F7B">
        <w:rPr>
          <w:sz w:val="28"/>
          <w:szCs w:val="28"/>
        </w:rPr>
        <w:t>7)      Per the recommendation of the Lawsuit Feasibility Committee, as reported at the next General Meeting of the WFCA, a motion will be made to pursue the issue in court. The matter will be voted on at the next General Membership Meeting. Once passed the Board will vote on turning the account over to an attorney for collection or pursuing the collection in small claims court by (a) Board member(s).</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Payment Plan Policy for </w:t>
      </w:r>
      <w:proofErr w:type="spellStart"/>
      <w:r w:rsidRPr="00592F7B">
        <w:rPr>
          <w:sz w:val="28"/>
          <w:szCs w:val="28"/>
        </w:rPr>
        <w:t>Woodlane</w:t>
      </w:r>
      <w:proofErr w:type="spellEnd"/>
      <w:r w:rsidRPr="00592F7B">
        <w:rPr>
          <w:sz w:val="28"/>
          <w:szCs w:val="28"/>
        </w:rPr>
        <w:t xml:space="preserve"> Forest Civic Association (WFCA)</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Approved February 7, 2019</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1.      Owners are </w:t>
      </w:r>
      <w:r w:rsidR="006650A5" w:rsidRPr="00592F7B">
        <w:rPr>
          <w:sz w:val="28"/>
          <w:szCs w:val="28"/>
        </w:rPr>
        <w:t>entitled</w:t>
      </w:r>
      <w:r w:rsidRPr="00592F7B">
        <w:rPr>
          <w:sz w:val="28"/>
          <w:szCs w:val="28"/>
        </w:rPr>
        <w:t xml:space="preserve"> to one approved payment plan to pay assessments.</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2.      The payment plan can be entered into by the Treasurer and one additional Board member.</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3.      All payment plans require a down payment of 20% of the total amount due at the time of the approval of the plan.</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4.      The balance can be paid off in no more than 9 equal payments.</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5.      If an owner defaults on the payment plan by missing one monthly payment, the payment plan is automatically terminated and the Association can pursue legal action.</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lastRenderedPageBreak/>
        <w:t>6.      Alternative payment plans proposals must be submitted to and approved by the Board of WFCA. The Association is not obligated to approve alternative payment plans. No payment plan may be longer than 18 consecutive months.</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7.      The Association will not charge late fees through out the course of the payment plan but can charge interest at the rate it is </w:t>
      </w:r>
      <w:r w:rsidR="007F7E5B" w:rsidRPr="00592F7B">
        <w:rPr>
          <w:sz w:val="28"/>
          <w:szCs w:val="28"/>
        </w:rPr>
        <w:t>entitled</w:t>
      </w:r>
      <w:r w:rsidRPr="00592F7B">
        <w:rPr>
          <w:sz w:val="28"/>
          <w:szCs w:val="28"/>
        </w:rPr>
        <w:t xml:space="preserve"> to under its governing documents, in the event of default.</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8.      The property owner party to the payment plan agrees to pay any and all legal fees and reasonable costs of administering the plan in the event of default.</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CERTIFICATION</w:t>
      </w: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“I, the undersigned, being the President of the </w:t>
      </w:r>
      <w:proofErr w:type="spellStart"/>
      <w:r w:rsidRPr="00592F7B">
        <w:rPr>
          <w:sz w:val="28"/>
          <w:szCs w:val="28"/>
        </w:rPr>
        <w:t>Woodlane</w:t>
      </w:r>
      <w:proofErr w:type="spellEnd"/>
      <w:r w:rsidRPr="00592F7B">
        <w:rPr>
          <w:sz w:val="28"/>
          <w:szCs w:val="28"/>
        </w:rPr>
        <w:t xml:space="preserve"> Forest Community Association, Inc., hereby certify that the foregoing Resolution was adopted by at least a majority of the Association Board of Directors.”</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By: __________________________________, President</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Print Name:________________________________</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ACKNOWLEDGEMENT</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STATE OF TEXAS                                              €</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COUNTY OF MONTGOMERY                           €</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            BEFORE ME, the undersigned authority, on this day personally appeared</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lastRenderedPageBreak/>
        <w:t xml:space="preserve">__________________________________, President of the </w:t>
      </w:r>
      <w:proofErr w:type="spellStart"/>
      <w:r w:rsidRPr="00592F7B">
        <w:rPr>
          <w:sz w:val="28"/>
          <w:szCs w:val="28"/>
        </w:rPr>
        <w:t>Woodlane</w:t>
      </w:r>
      <w:proofErr w:type="spellEnd"/>
      <w:r w:rsidRPr="00592F7B">
        <w:rPr>
          <w:sz w:val="28"/>
          <w:szCs w:val="28"/>
        </w:rPr>
        <w:t xml:space="preserve"> Forest C.A., Inc., and known by me to be the person whose name is subscribed to the foregoing document and, being by me first duly sworn, declared that he is the person who signed the foregoing document in his representative capacity and that the statements contained therein are true and correct.</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            Given under my hand and seal of office this the </w:t>
      </w:r>
      <w:proofErr w:type="spellStart"/>
      <w:r w:rsidRPr="00592F7B">
        <w:rPr>
          <w:sz w:val="28"/>
          <w:szCs w:val="28"/>
        </w:rPr>
        <w:t>_____day</w:t>
      </w:r>
      <w:proofErr w:type="spellEnd"/>
      <w:r w:rsidRPr="00592F7B">
        <w:rPr>
          <w:sz w:val="28"/>
          <w:szCs w:val="28"/>
        </w:rPr>
        <w:t xml:space="preserve"> of _____________, 2019</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 </w:t>
      </w:r>
    </w:p>
    <w:p w:rsidR="00223730" w:rsidRPr="00592F7B" w:rsidRDefault="00223730" w:rsidP="00223730">
      <w:pPr>
        <w:rPr>
          <w:sz w:val="28"/>
          <w:szCs w:val="28"/>
        </w:rPr>
      </w:pPr>
      <w:r w:rsidRPr="00592F7B">
        <w:rPr>
          <w:sz w:val="28"/>
          <w:szCs w:val="28"/>
        </w:rPr>
        <w:t xml:space="preserve">                                                                                    ____________________________________</w:t>
      </w:r>
    </w:p>
    <w:p w:rsidR="00223730" w:rsidRPr="00592F7B" w:rsidRDefault="00223730" w:rsidP="00223730">
      <w:pPr>
        <w:rPr>
          <w:sz w:val="28"/>
          <w:szCs w:val="28"/>
        </w:rPr>
      </w:pPr>
    </w:p>
    <w:p w:rsidR="00223730" w:rsidRPr="00592F7B" w:rsidRDefault="00223730" w:rsidP="00223730">
      <w:pPr>
        <w:rPr>
          <w:sz w:val="28"/>
          <w:szCs w:val="28"/>
        </w:rPr>
      </w:pPr>
      <w:r w:rsidRPr="00592F7B">
        <w:rPr>
          <w:sz w:val="28"/>
          <w:szCs w:val="28"/>
        </w:rPr>
        <w:t xml:space="preserve">                                                                                    Notary Public, State of Texas</w:t>
      </w:r>
    </w:p>
    <w:p w:rsidR="00223730" w:rsidRPr="00592F7B" w:rsidRDefault="00223730" w:rsidP="00223730">
      <w:pPr>
        <w:rPr>
          <w:sz w:val="28"/>
          <w:szCs w:val="28"/>
        </w:rPr>
      </w:pPr>
    </w:p>
    <w:p w:rsidR="00223730" w:rsidRPr="00592F7B" w:rsidRDefault="00223730">
      <w:pPr>
        <w:rPr>
          <w:sz w:val="28"/>
          <w:szCs w:val="28"/>
        </w:rPr>
      </w:pPr>
    </w:p>
    <w:sectPr w:rsidR="00223730" w:rsidRPr="0059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0"/>
    <w:rsid w:val="00125FB4"/>
    <w:rsid w:val="00223730"/>
    <w:rsid w:val="00592F7B"/>
    <w:rsid w:val="006650A5"/>
    <w:rsid w:val="006968A9"/>
    <w:rsid w:val="007F7E5B"/>
    <w:rsid w:val="008F1026"/>
    <w:rsid w:val="00C74456"/>
    <w:rsid w:val="00E1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F30DE4-8C6D-B246-AB36-3F06A71A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Darin Freshour</cp:lastModifiedBy>
  <cp:revision>9</cp:revision>
  <dcterms:created xsi:type="dcterms:W3CDTF">2020-04-11T18:43:00Z</dcterms:created>
  <dcterms:modified xsi:type="dcterms:W3CDTF">2020-04-11T18:51:00Z</dcterms:modified>
</cp:coreProperties>
</file>