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pPr>
      <w:r>
        <w:t xml:space="preserve"/>
      </w:r>
    </w:p>
    <w:p>
      <w:pPr>
        <w:shd w:fill="1F3864" w:color="1F3864" w:val="solid"/>
        <w:spacing w:after="20" w:before="120"/>
        <w:jc w:val="center"/>
      </w:pPr>
      <w:r>
        <w:rPr>
          <w:rFonts w:ascii="Calibri" w:cs="Calibri" w:eastAsia="Calibri" w:hAnsi="Calibri"/>
          <w:caps/>
          <w:color w:val="FFFFFF"/>
          <w:sz w:val="18"/>
          <w:szCs w:val="18"/>
        </w:rPr>
        <w:t xml:space="preserve">Legislature of the United States Virgin Islands</w:t>
      </w:r>
    </w:p>
    <w:p>
      <w:pPr>
        <w:shd w:fill="1F3864" w:color="1F3864" w:val="solid"/>
        <w:spacing w:after="120" w:before="20"/>
        <w:jc w:val="center"/>
      </w:pPr>
      <w:r>
        <w:rPr>
          <w:rFonts w:ascii="Calibri" w:cs="Calibri" w:eastAsia="Calibri" w:hAnsi="Calibri"/>
          <w:caps/>
          <w:color w:val="FFFFFF"/>
          <w:sz w:val="18"/>
          <w:szCs w:val="18"/>
        </w:rPr>
        <w:t xml:space="preserve">Thirty-Sixth Session · Bill No. ___-_____</w:t>
      </w:r>
    </w:p>
    <w:p>
      <w:pPr>
        <w:spacing w:after="200" w:before="0"/>
        <w:jc w:val="center"/>
      </w:pPr>
      <w:r>
        <w:rPr>
          <w:rFonts w:ascii="Calibri" w:cs="Calibri" w:eastAsia="Calibri" w:hAnsi="Calibri"/>
          <w:b/>
          <w:bCs/>
          <w:i w:val="false"/>
          <w:iCs w:val="false"/>
          <w:color w:val="1F3864"/>
          <w:sz w:val="40"/>
          <w:szCs w:val="40"/>
        </w:rPr>
        <w:t xml:space="preserve">AN ACT</w:t>
      </w:r>
    </w:p>
    <w:p>
      <w:pPr>
        <w:spacing w:after="280" w:before="0"/>
        <w:jc w:val="both"/>
      </w:pPr>
      <w:r>
        <w:rPr>
          <w:rFonts w:ascii="Calibri" w:cs="Calibri" w:eastAsia="Calibri" w:hAnsi="Calibri"/>
          <w:i/>
          <w:iCs/>
          <w:color w:val="1A1A1A"/>
          <w:sz w:val="20"/>
          <w:szCs w:val="20"/>
        </w:rPr>
        <w:t xml:space="preserve">To establish the Territorial Energy Authority of the United States Virgin Islands; to restructure the electrical generation and distribution functions of the Virgin Islands Water and Power Authority; to authorize the formation and operation of Community Rural Electric Cooperatives (CRECs); to establish a framework for the transfer of distribution assets, electric customer accounts, and water customer meter reading, billing, and customer service functions; to provide that WAPA Genco shall sell electric power competitively to CRECs and shall produce and sell water wholesale through CRECs while maintaining physical production plants and distribution systems; to authorize CRECs to deploy broadband infrastructure and access submarine fiber capacity through indefeasible right of use agreements and open access middle-mile infrastructure; to provide for customer debt resolution through cooperative acquisition and grant funding; to require independent review of legacy capital investments; to provide transition financing authority; to protect the rights of employees during transition; and for other purposes.</w:t>
      </w:r>
    </w:p>
    <w:p>
      <w:pPr>
        <w:pBdr>
          <w:bottom w:val="single" w:color="C9A84C" w:sz="8" w:space="2"/>
        </w:pBdr>
        <w:spacing w:after="0" w:before="160"/>
      </w:pPr>
      <w:r>
        <w:rPr>
          <w:rFonts w:ascii="Calibri" w:cs="Calibri" w:eastAsia="Calibri" w:hAnsi="Calibri"/>
          <w:sz w:val="4"/>
          <w:szCs w:val="4"/>
        </w:rPr>
        <w:t xml:space="preserve"/>
      </w:r>
    </w:p>
    <w:p>
      <w:pPr>
        <w:spacing w:after="60" w:before="60"/>
        <w:jc w:val="center"/>
      </w:pPr>
      <w:r>
        <w:rPr>
          <w:rFonts w:ascii="Calibri" w:cs="Calibri" w:eastAsia="Calibri" w:hAnsi="Calibri"/>
          <w:i/>
          <w:iCs/>
          <w:color w:val="1A1A1A"/>
          <w:sz w:val="20"/>
          <w:szCs w:val="20"/>
        </w:rPr>
        <w:t xml:space="preserve">Be it enacted by the Legislature of the United States Virgin Islands:</w:t>
      </w:r>
    </w:p>
    <w:p>
      <w:pPr>
        <w:pBdr>
          <w:bottom w:val="single" w:color="C9A84C" w:sz="8" w:space="2"/>
        </w:pBdr>
        <w:spacing w:after="320" w:before="0"/>
      </w:pPr>
      <w:r>
        <w:rPr>
          <w:rFonts w:ascii="Calibri" w:cs="Calibri" w:eastAsia="Calibri" w:hAnsi="Calibri"/>
          <w:sz w:val="4"/>
          <w:szCs w:val="4"/>
        </w:rPr>
        <w:t xml:space="preserve"/>
      </w:r>
    </w:p>
    <w:p>
      <w:pPr>
        <w:spacing w:after="120" w:before="0"/>
        <w:jc w:val="center"/>
      </w:pPr>
      <w:r>
        <w:rPr>
          <w:rFonts w:ascii="Calibri" w:cs="Calibri" w:eastAsia="Calibri" w:hAnsi="Calibri"/>
          <w:b/>
          <w:bCs/>
          <w:i w:val="false"/>
          <w:iCs w:val="false"/>
          <w:color w:val="1F4E79"/>
          <w:sz w:val="24"/>
          <w:szCs w:val="24"/>
        </w:rPr>
        <w:t xml:space="preserve">TABLE OF CONTENTS</w:t>
      </w:r>
    </w:p>
    <w:p>
      <w:pPr>
        <w:pBdr>
          <w:bottom w:val="single" w:color="AAAAAA" w:sz="4" w:space="2"/>
        </w:pBdr>
        <w:spacing w:after="160" w:before="0"/>
      </w:pPr>
      <w:r>
        <w:rPr>
          <w:rFonts w:ascii="Calibri" w:cs="Calibri" w:eastAsia="Calibri" w:hAnsi="Calibri"/>
          <w:sz w:val="4"/>
          <w:szCs w:val="4"/>
        </w:rPr>
        <w:t xml:space="preserve"/>
      </w:r>
    </w:p>
    <w:p>
      <w:pPr>
        <w:spacing w:after="20" w:before="60"/>
      </w:pPr>
      <w:r>
        <w:rPr>
          <w:rFonts w:ascii="Calibri" w:cs="Calibri" w:eastAsia="Calibri" w:hAnsi="Calibri"/>
          <w:b/>
          <w:bCs/>
          <w:color w:val="1F4E79"/>
          <w:sz w:val="20"/>
          <w:szCs w:val="20"/>
        </w:rPr>
        <w:t xml:space="preserve">Article I — General Provisions</w:t>
      </w:r>
    </w:p>
    <w:p>
      <w:pPr>
        <w:spacing w:after="10" w:before="0"/>
        <w:ind w:left="560"/>
      </w:pPr>
      <w:r>
        <w:rPr>
          <w:rFonts w:ascii="Calibri" w:cs="Calibri" w:eastAsia="Calibri" w:hAnsi="Calibri"/>
          <w:color w:val="1A1A1A"/>
          <w:sz w:val="20"/>
          <w:szCs w:val="20"/>
        </w:rPr>
        <w:t xml:space="preserve">§ 1  Short Title</w:t>
      </w:r>
    </w:p>
    <w:p>
      <w:pPr>
        <w:spacing w:after="10" w:before="0"/>
        <w:ind w:left="560"/>
      </w:pPr>
      <w:r>
        <w:rPr>
          <w:rFonts w:ascii="Calibri" w:cs="Calibri" w:eastAsia="Calibri" w:hAnsi="Calibri"/>
          <w:color w:val="1A1A1A"/>
          <w:sz w:val="20"/>
          <w:szCs w:val="20"/>
        </w:rPr>
        <w:t xml:space="preserve">§ 2  Legislative Findings and Purpose</w:t>
      </w:r>
    </w:p>
    <w:p>
      <w:pPr>
        <w:spacing w:after="10" w:before="0"/>
        <w:ind w:left="560"/>
      </w:pPr>
      <w:r>
        <w:rPr>
          <w:rFonts w:ascii="Calibri" w:cs="Calibri" w:eastAsia="Calibri" w:hAnsi="Calibri"/>
          <w:color w:val="1A1A1A"/>
          <w:sz w:val="20"/>
          <w:szCs w:val="20"/>
        </w:rPr>
        <w:t xml:space="preserve">§ 3  Definitions</w:t>
      </w:r>
    </w:p>
    <w:p>
      <w:pPr>
        <w:spacing w:after="20" w:before="60"/>
      </w:pPr>
      <w:r>
        <w:rPr>
          <w:rFonts w:ascii="Calibri" w:cs="Calibri" w:eastAsia="Calibri" w:hAnsi="Calibri"/>
          <w:b/>
          <w:bCs/>
          <w:color w:val="1F4E79"/>
          <w:sz w:val="20"/>
          <w:szCs w:val="20"/>
        </w:rPr>
        <w:t xml:space="preserve">Article II — Territorial Energy Authority</w:t>
      </w:r>
    </w:p>
    <w:p>
      <w:pPr>
        <w:spacing w:after="10" w:before="0"/>
        <w:ind w:left="560"/>
      </w:pPr>
      <w:r>
        <w:rPr>
          <w:rFonts w:ascii="Calibri" w:cs="Calibri" w:eastAsia="Calibri" w:hAnsi="Calibri"/>
          <w:color w:val="1A1A1A"/>
          <w:sz w:val="20"/>
          <w:szCs w:val="20"/>
        </w:rPr>
        <w:t xml:space="preserve">§ 4  Establishment</w:t>
      </w:r>
    </w:p>
    <w:p>
      <w:pPr>
        <w:spacing w:after="10" w:before="0"/>
        <w:ind w:left="560"/>
      </w:pPr>
      <w:r>
        <w:rPr>
          <w:rFonts w:ascii="Calibri" w:cs="Calibri" w:eastAsia="Calibri" w:hAnsi="Calibri"/>
          <w:color w:val="1A1A1A"/>
          <w:sz w:val="20"/>
          <w:szCs w:val="20"/>
        </w:rPr>
        <w:t xml:space="preserve">§ 5  Board of Directors</w:t>
      </w:r>
    </w:p>
    <w:p>
      <w:pPr>
        <w:spacing w:after="10" w:before="0"/>
        <w:ind w:left="560"/>
      </w:pPr>
      <w:r>
        <w:rPr>
          <w:rFonts w:ascii="Calibri" w:cs="Calibri" w:eastAsia="Calibri" w:hAnsi="Calibri"/>
          <w:color w:val="1A1A1A"/>
          <w:sz w:val="20"/>
          <w:szCs w:val="20"/>
        </w:rPr>
        <w:t xml:space="preserve">§ 6  Powers and Duties of the Authority</w:t>
      </w:r>
    </w:p>
    <w:p>
      <w:pPr>
        <w:spacing w:after="10" w:before="0"/>
        <w:ind w:left="560"/>
      </w:pPr>
      <w:r>
        <w:rPr>
          <w:rFonts w:ascii="Calibri" w:cs="Calibri" w:eastAsia="Calibri" w:hAnsi="Calibri"/>
          <w:color w:val="1A1A1A"/>
          <w:sz w:val="20"/>
          <w:szCs w:val="20"/>
        </w:rPr>
        <w:t xml:space="preserve">§ 7  Funding</w:t>
      </w:r>
    </w:p>
    <w:p>
      <w:pPr>
        <w:spacing w:after="20" w:before="60"/>
      </w:pPr>
      <w:r>
        <w:rPr>
          <w:rFonts w:ascii="Calibri" w:cs="Calibri" w:eastAsia="Calibri" w:hAnsi="Calibri"/>
          <w:b/>
          <w:bCs/>
          <w:color w:val="1F4E79"/>
          <w:sz w:val="20"/>
          <w:szCs w:val="20"/>
        </w:rPr>
        <w:t xml:space="preserve">Article III — WAPA Genco: Generation, Water Production, and Transmission</w:t>
      </w:r>
    </w:p>
    <w:p>
      <w:pPr>
        <w:spacing w:after="10" w:before="0"/>
        <w:ind w:left="560"/>
      </w:pPr>
      <w:r>
        <w:rPr>
          <w:rFonts w:ascii="Calibri" w:cs="Calibri" w:eastAsia="Calibri" w:hAnsi="Calibri"/>
          <w:color w:val="1A1A1A"/>
          <w:sz w:val="20"/>
          <w:szCs w:val="20"/>
        </w:rPr>
        <w:t xml:space="preserve">§ 8  Establishment of WAPA Genco</w:t>
      </w:r>
    </w:p>
    <w:p>
      <w:pPr>
        <w:spacing w:after="10" w:before="0"/>
        <w:ind w:left="560"/>
      </w:pPr>
      <w:r>
        <w:rPr>
          <w:rFonts w:ascii="Calibri" w:cs="Calibri" w:eastAsia="Calibri" w:hAnsi="Calibri"/>
          <w:color w:val="1A1A1A"/>
          <w:sz w:val="20"/>
          <w:szCs w:val="20"/>
        </w:rPr>
        <w:t xml:space="preserve">§ 9  WAPA Genco Wholesale Rate Structure</w:t>
      </w:r>
    </w:p>
    <w:p>
      <w:pPr>
        <w:spacing w:after="10" w:before="0"/>
        <w:ind w:left="560"/>
      </w:pPr>
      <w:r>
        <w:rPr>
          <w:rFonts w:ascii="Calibri" w:cs="Calibri" w:eastAsia="Calibri" w:hAnsi="Calibri"/>
          <w:color w:val="1A1A1A"/>
          <w:sz w:val="20"/>
          <w:szCs w:val="20"/>
        </w:rPr>
        <w:t xml:space="preserve">§ 10  Propane Conversion Prudence Review</w:t>
      </w:r>
    </w:p>
    <w:p>
      <w:pPr>
        <w:spacing w:after="10" w:before="0"/>
        <w:ind w:left="560"/>
      </w:pPr>
      <w:r>
        <w:rPr>
          <w:rFonts w:ascii="Calibri" w:cs="Calibri" w:eastAsia="Calibri" w:hAnsi="Calibri"/>
          <w:color w:val="1A1A1A"/>
          <w:sz w:val="20"/>
          <w:szCs w:val="20"/>
        </w:rPr>
        <w:t xml:space="preserve">§ 11  Open Access Transmission and Pole Attachments</w:t>
      </w:r>
    </w:p>
    <w:p>
      <w:pPr>
        <w:spacing w:after="20" w:before="60"/>
      </w:pPr>
      <w:r>
        <w:rPr>
          <w:rFonts w:ascii="Calibri" w:cs="Calibri" w:eastAsia="Calibri" w:hAnsi="Calibri"/>
          <w:b/>
          <w:bCs/>
          <w:color w:val="1F4E79"/>
          <w:sz w:val="20"/>
          <w:szCs w:val="20"/>
        </w:rPr>
        <w:t xml:space="preserve">Article IV — Disco: Distribution Transition</w:t>
      </w:r>
    </w:p>
    <w:p>
      <w:pPr>
        <w:spacing w:after="10" w:before="0"/>
        <w:ind w:left="560"/>
      </w:pPr>
      <w:r>
        <w:rPr>
          <w:rFonts w:ascii="Calibri" w:cs="Calibri" w:eastAsia="Calibri" w:hAnsi="Calibri"/>
          <w:color w:val="1A1A1A"/>
          <w:sz w:val="20"/>
          <w:szCs w:val="20"/>
        </w:rPr>
        <w:t xml:space="preserve">§ 12  Asset Inventory and Holding Company</w:t>
      </w:r>
    </w:p>
    <w:p>
      <w:pPr>
        <w:spacing w:after="10" w:before="0"/>
        <w:ind w:left="560"/>
      </w:pPr>
      <w:r>
        <w:rPr>
          <w:rFonts w:ascii="Calibri" w:cs="Calibri" w:eastAsia="Calibri" w:hAnsi="Calibri"/>
          <w:color w:val="1A1A1A"/>
          <w:sz w:val="20"/>
          <w:szCs w:val="20"/>
        </w:rPr>
        <w:t xml:space="preserve">§ 12A  Water Customer Services Devolution Through Disco</w:t>
      </w:r>
    </w:p>
    <w:p>
      <w:pPr>
        <w:spacing w:after="10" w:before="0"/>
        <w:ind w:left="560"/>
      </w:pPr>
      <w:r>
        <w:rPr>
          <w:rFonts w:ascii="Calibri" w:cs="Calibri" w:eastAsia="Calibri" w:hAnsi="Calibri"/>
          <w:color w:val="1A1A1A"/>
          <w:sz w:val="20"/>
          <w:szCs w:val="20"/>
        </w:rPr>
        <w:t xml:space="preserve">§ 13  Legacy Debt</w:t>
      </w:r>
    </w:p>
    <w:p>
      <w:pPr>
        <w:spacing w:after="20" w:before="60"/>
      </w:pPr>
      <w:r>
        <w:rPr>
          <w:rFonts w:ascii="Calibri" w:cs="Calibri" w:eastAsia="Calibri" w:hAnsi="Calibri"/>
          <w:b/>
          <w:bCs/>
          <w:color w:val="1F4E79"/>
          <w:sz w:val="20"/>
          <w:szCs w:val="20"/>
        </w:rPr>
        <w:t xml:space="preserve">Article V — Community Rural Electric Cooperatives (CRECs)</w:t>
      </w:r>
    </w:p>
    <w:p>
      <w:pPr>
        <w:spacing w:after="10" w:before="0"/>
        <w:ind w:left="560"/>
      </w:pPr>
      <w:r>
        <w:rPr>
          <w:rFonts w:ascii="Calibri" w:cs="Calibri" w:eastAsia="Calibri" w:hAnsi="Calibri"/>
          <w:color w:val="1A1A1A"/>
          <w:sz w:val="20"/>
          <w:szCs w:val="20"/>
        </w:rPr>
        <w:t xml:space="preserve">§ 14  Authorization and Formation</w:t>
      </w:r>
    </w:p>
    <w:p>
      <w:pPr>
        <w:spacing w:after="10" w:before="0"/>
        <w:ind w:left="560"/>
      </w:pPr>
      <w:r>
        <w:rPr>
          <w:rFonts w:ascii="Calibri" w:cs="Calibri" w:eastAsia="Calibri" w:hAnsi="Calibri"/>
          <w:color w:val="1A1A1A"/>
          <w:sz w:val="20"/>
          <w:szCs w:val="20"/>
        </w:rPr>
        <w:t xml:space="preserve">§ 15  CREC Governance</w:t>
      </w:r>
    </w:p>
    <w:p>
      <w:pPr>
        <w:spacing w:after="10" w:before="0"/>
        <w:ind w:left="560"/>
      </w:pPr>
      <w:r>
        <w:rPr>
          <w:rFonts w:ascii="Calibri" w:cs="Calibri" w:eastAsia="Calibri" w:hAnsi="Calibri"/>
          <w:color w:val="1A1A1A"/>
          <w:sz w:val="20"/>
          <w:szCs w:val="20"/>
        </w:rPr>
        <w:t xml:space="preserve">§ 16  CREC Powers</w:t>
      </w:r>
    </w:p>
    <w:p>
      <w:pPr>
        <w:spacing w:after="10" w:before="0"/>
        <w:ind w:left="560"/>
      </w:pPr>
      <w:r>
        <w:rPr>
          <w:rFonts w:ascii="Calibri" w:cs="Calibri" w:eastAsia="Calibri" w:hAnsi="Calibri"/>
          <w:color w:val="1A1A1A"/>
          <w:sz w:val="20"/>
          <w:szCs w:val="20"/>
        </w:rPr>
        <w:t xml:space="preserve">§ 17  Membership and Member Rights</w:t>
      </w:r>
    </w:p>
    <w:p>
      <w:pPr>
        <w:spacing w:after="20" w:before="60"/>
      </w:pPr>
      <w:r>
        <w:rPr>
          <w:rFonts w:ascii="Calibri" w:cs="Calibri" w:eastAsia="Calibri" w:hAnsi="Calibri"/>
          <w:b/>
          <w:bCs/>
          <w:color w:val="1F4E79"/>
          <w:sz w:val="20"/>
          <w:szCs w:val="20"/>
        </w:rPr>
        <w:t xml:space="preserve">Article V-A — Submarine Fiber Access and Broadband Infrastructure</w:t>
      </w:r>
    </w:p>
    <w:p>
      <w:pPr>
        <w:spacing w:after="10" w:before="0"/>
        <w:ind w:left="560"/>
      </w:pPr>
      <w:r>
        <w:rPr>
          <w:rFonts w:ascii="Calibri" w:cs="Calibri" w:eastAsia="Calibri" w:hAnsi="Calibri"/>
          <w:color w:val="1A1A1A"/>
          <w:sz w:val="20"/>
          <w:szCs w:val="20"/>
        </w:rPr>
        <w:t xml:space="preserve">§ 17A  Submarine Cable Access and IRU Agreements</w:t>
      </w:r>
    </w:p>
    <w:p>
      <w:pPr>
        <w:spacing w:after="10" w:before="0"/>
        <w:ind w:left="560"/>
      </w:pPr>
      <w:r>
        <w:rPr>
          <w:rFonts w:ascii="Calibri" w:cs="Calibri" w:eastAsia="Calibri" w:hAnsi="Calibri"/>
          <w:color w:val="1A1A1A"/>
          <w:sz w:val="20"/>
          <w:szCs w:val="20"/>
        </w:rPr>
        <w:t xml:space="preserve">§ 17B  Middle-Mile Infrastructure</w:t>
      </w:r>
    </w:p>
    <w:p>
      <w:pPr>
        <w:spacing w:after="10" w:before="0"/>
        <w:ind w:left="560"/>
      </w:pPr>
      <w:r>
        <w:rPr>
          <w:rFonts w:ascii="Calibri" w:cs="Calibri" w:eastAsia="Calibri" w:hAnsi="Calibri"/>
          <w:color w:val="1A1A1A"/>
          <w:sz w:val="20"/>
          <w:szCs w:val="20"/>
        </w:rPr>
        <w:t xml:space="preserve">§ 17C  Last-Mile Broadband Deployment</w:t>
      </w:r>
    </w:p>
    <w:p>
      <w:pPr>
        <w:spacing w:after="20" w:before="60"/>
      </w:pPr>
      <w:r>
        <w:rPr>
          <w:rFonts w:ascii="Calibri" w:cs="Calibri" w:eastAsia="Calibri" w:hAnsi="Calibri"/>
          <w:b/>
          <w:bCs/>
          <w:color w:val="1F4E79"/>
          <w:sz w:val="20"/>
          <w:szCs w:val="20"/>
        </w:rPr>
        <w:t xml:space="preserve">Article VI — Customer Debt Resolution</w:t>
      </w:r>
    </w:p>
    <w:p>
      <w:pPr>
        <w:spacing w:after="10" w:before="0"/>
        <w:ind w:left="560"/>
      </w:pPr>
      <w:r>
        <w:rPr>
          <w:rFonts w:ascii="Calibri" w:cs="Calibri" w:eastAsia="Calibri" w:hAnsi="Calibri"/>
          <w:color w:val="1A1A1A"/>
          <w:sz w:val="20"/>
          <w:szCs w:val="20"/>
        </w:rPr>
        <w:t xml:space="preserve">§ 18  Account Purchase Authority</w:t>
      </w:r>
    </w:p>
    <w:p>
      <w:pPr>
        <w:spacing w:after="10" w:before="0"/>
        <w:ind w:left="560"/>
      </w:pPr>
      <w:r>
        <w:rPr>
          <w:rFonts w:ascii="Calibri" w:cs="Calibri" w:eastAsia="Calibri" w:hAnsi="Calibri"/>
          <w:color w:val="1A1A1A"/>
          <w:sz w:val="20"/>
          <w:szCs w:val="20"/>
        </w:rPr>
        <w:t xml:space="preserve">§ 19  Customer Debt Amnesty</w:t>
      </w:r>
    </w:p>
    <w:p>
      <w:pPr>
        <w:spacing w:after="20" w:before="60"/>
      </w:pPr>
      <w:r>
        <w:rPr>
          <w:rFonts w:ascii="Calibri" w:cs="Calibri" w:eastAsia="Calibri" w:hAnsi="Calibri"/>
          <w:b/>
          <w:bCs/>
          <w:color w:val="1F4E79"/>
          <w:sz w:val="20"/>
          <w:szCs w:val="20"/>
        </w:rPr>
        <w:t xml:space="preserve">Article VII — Transition Financing</w:t>
      </w:r>
    </w:p>
    <w:p>
      <w:pPr>
        <w:spacing w:after="10" w:before="0"/>
        <w:ind w:left="560"/>
      </w:pPr>
      <w:r>
        <w:rPr>
          <w:rFonts w:ascii="Calibri" w:cs="Calibri" w:eastAsia="Calibri" w:hAnsi="Calibri"/>
          <w:color w:val="1A1A1A"/>
          <w:sz w:val="20"/>
          <w:szCs w:val="20"/>
        </w:rPr>
        <w:t xml:space="preserve">§ 20  GVI Financing Authority</w:t>
      </w:r>
    </w:p>
    <w:p>
      <w:pPr>
        <w:spacing w:after="10" w:before="0"/>
        <w:ind w:left="560"/>
      </w:pPr>
      <w:r>
        <w:rPr>
          <w:rFonts w:ascii="Calibri" w:cs="Calibri" w:eastAsia="Calibri" w:hAnsi="Calibri"/>
          <w:color w:val="1A1A1A"/>
          <w:sz w:val="20"/>
          <w:szCs w:val="20"/>
        </w:rPr>
        <w:t xml:space="preserve">§ 21  Federal Financing</w:t>
      </w:r>
    </w:p>
    <w:p>
      <w:pPr>
        <w:spacing w:after="10" w:before="0"/>
        <w:ind w:left="560"/>
      </w:pPr>
      <w:r>
        <w:rPr>
          <w:rFonts w:ascii="Calibri" w:cs="Calibri" w:eastAsia="Calibri" w:hAnsi="Calibri"/>
          <w:color w:val="1A1A1A"/>
          <w:sz w:val="20"/>
          <w:szCs w:val="20"/>
        </w:rPr>
        <w:t xml:space="preserve">§ 22  CREC Financing</w:t>
      </w:r>
    </w:p>
    <w:p>
      <w:pPr>
        <w:spacing w:after="20" w:before="60"/>
      </w:pPr>
      <w:r>
        <w:rPr>
          <w:rFonts w:ascii="Calibri" w:cs="Calibri" w:eastAsia="Calibri" w:hAnsi="Calibri"/>
          <w:b/>
          <w:bCs/>
          <w:color w:val="1F4E79"/>
          <w:sz w:val="20"/>
          <w:szCs w:val="20"/>
        </w:rPr>
        <w:t xml:space="preserve">Article VIII — Employee Transition Protections</w:t>
      </w:r>
    </w:p>
    <w:p>
      <w:pPr>
        <w:spacing w:after="10" w:before="0"/>
        <w:ind w:left="560"/>
      </w:pPr>
      <w:r>
        <w:rPr>
          <w:rFonts w:ascii="Calibri" w:cs="Calibri" w:eastAsia="Calibri" w:hAnsi="Calibri"/>
          <w:color w:val="1A1A1A"/>
          <w:sz w:val="20"/>
          <w:szCs w:val="20"/>
        </w:rPr>
        <w:t xml:space="preserve">§ 23  Employee Rights</w:t>
      </w:r>
    </w:p>
    <w:p>
      <w:pPr>
        <w:spacing w:after="20" w:before="60"/>
      </w:pPr>
      <w:r>
        <w:rPr>
          <w:rFonts w:ascii="Calibri" w:cs="Calibri" w:eastAsia="Calibri" w:hAnsi="Calibri"/>
          <w:b/>
          <w:bCs/>
          <w:color w:val="1F4E79"/>
          <w:sz w:val="20"/>
          <w:szCs w:val="20"/>
        </w:rPr>
        <w:t xml:space="preserve">Article IX — Miscellaneous Provisions</w:t>
      </w:r>
    </w:p>
    <w:p>
      <w:pPr>
        <w:spacing w:after="10" w:before="0"/>
        <w:ind w:left="560"/>
      </w:pPr>
      <w:r>
        <w:rPr>
          <w:rFonts w:ascii="Calibri" w:cs="Calibri" w:eastAsia="Calibri" w:hAnsi="Calibri"/>
          <w:color w:val="1A1A1A"/>
          <w:sz w:val="20"/>
          <w:szCs w:val="20"/>
        </w:rPr>
        <w:t xml:space="preserve">§ 24  Transition Timeline</w:t>
      </w:r>
    </w:p>
    <w:p>
      <w:pPr>
        <w:spacing w:after="10" w:before="0"/>
        <w:ind w:left="560"/>
      </w:pPr>
      <w:r>
        <w:rPr>
          <w:rFonts w:ascii="Calibri" w:cs="Calibri" w:eastAsia="Calibri" w:hAnsi="Calibri"/>
          <w:color w:val="1A1A1A"/>
          <w:sz w:val="20"/>
          <w:szCs w:val="20"/>
        </w:rPr>
        <w:t xml:space="preserve">§ 25  Reporting</w:t>
      </w:r>
    </w:p>
    <w:p>
      <w:pPr>
        <w:spacing w:after="10" w:before="0"/>
        <w:ind w:left="560"/>
      </w:pPr>
      <w:r>
        <w:rPr>
          <w:rFonts w:ascii="Calibri" w:cs="Calibri" w:eastAsia="Calibri" w:hAnsi="Calibri"/>
          <w:color w:val="1A1A1A"/>
          <w:sz w:val="20"/>
          <w:szCs w:val="20"/>
        </w:rPr>
        <w:t xml:space="preserve">§ 26  Severability</w:t>
      </w:r>
    </w:p>
    <w:p>
      <w:pPr>
        <w:spacing w:after="10" w:before="0"/>
        <w:ind w:left="560"/>
      </w:pPr>
      <w:r>
        <w:rPr>
          <w:rFonts w:ascii="Calibri" w:cs="Calibri" w:eastAsia="Calibri" w:hAnsi="Calibri"/>
          <w:color w:val="1A1A1A"/>
          <w:sz w:val="20"/>
          <w:szCs w:val="20"/>
        </w:rPr>
        <w:t xml:space="preserve">§ 27  Supersession</w:t>
      </w:r>
    </w:p>
    <w:p>
      <w:pPr>
        <w:spacing w:after="10" w:before="0"/>
        <w:ind w:left="560"/>
      </w:pPr>
      <w:r>
        <w:rPr>
          <w:rFonts w:ascii="Calibri" w:cs="Calibri" w:eastAsia="Calibri" w:hAnsi="Calibri"/>
          <w:color w:val="1A1A1A"/>
          <w:sz w:val="20"/>
          <w:szCs w:val="20"/>
        </w:rPr>
        <w:t xml:space="preserve">§ 28  Effective Date</w:t>
      </w:r>
    </w:p>
    <w:p>
      <w:pPr>
        <w:spacing w:after="160" w:before="0"/>
      </w:pPr>
      <w:r>
        <w:t xml:space="preserve"/>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I</w:t>
      </w:r>
    </w:p>
    <w:p>
      <w:pPr>
        <w:spacing w:after="160" w:before="0"/>
        <w:jc w:val="center"/>
      </w:pPr>
      <w:r>
        <w:rPr>
          <w:rFonts w:ascii="Calibri" w:cs="Calibri" w:eastAsia="Calibri" w:hAnsi="Calibri"/>
          <w:b/>
          <w:bCs/>
          <w:caps/>
          <w:color w:val="1F3864"/>
          <w:sz w:val="26"/>
          <w:szCs w:val="26"/>
        </w:rPr>
        <w:t xml:space="preserve">GENERAL PROVISIONS</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1. Short Title.</w:t>
      </w:r>
    </w:p>
    <w:p>
      <w:pPr>
        <w:spacing w:after="160" w:before="0"/>
        <w:jc w:val="both"/>
      </w:pPr>
      <w:r>
        <w:rPr>
          <w:rFonts w:ascii="Calibri" w:cs="Calibri" w:eastAsia="Calibri" w:hAnsi="Calibri"/>
          <w:color w:val="1A1A1A"/>
          <w:sz w:val="20"/>
          <w:szCs w:val="20"/>
        </w:rPr>
        <w:t xml:space="preserve">This Act shall be known and may be cited as the "Territorial Energy Authority Act of the United States Virgin Islands" or the "TEA Act."</w:t>
      </w:r>
    </w:p>
    <w:p>
      <w:pPr>
        <w:pBdr>
          <w:bottom w:val="single" w:color="C9A84C" w:sz="6" w:space="4"/>
        </w:pBdr>
        <w:spacing w:after="40" w:before="320"/>
      </w:pPr>
      <w:r>
        <w:rPr>
          <w:rFonts w:ascii="Calibri" w:cs="Calibri" w:eastAsia="Calibri" w:hAnsi="Calibri"/>
          <w:b/>
          <w:bCs/>
          <w:color w:val="1F4E79"/>
          <w:sz w:val="20"/>
          <w:szCs w:val="20"/>
        </w:rPr>
        <w:t xml:space="preserve">§ 2. Legislative Findings and Purpose.</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The Legislature finds that:</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The Virgin Islands Water and Power Authority (WAPA) has chronically failed to deliver reliable, affordable electric service and water service to residents and businesses of the Territory;</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The structural concentration of generation, transmission, distribution, water production, and water distribution functions within a single government-owned entity has prevented competitive discipline, obscured costs, and enabled inefficiency that would not survive scrutiny in a competitive market;</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WAPA's recent propane conversion investment, made without competitive procurement requirements or independent review, exemplifies the consequences of unaccountable monopoly decision-making;</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The Territory is served by and in proximity to multiple major submarine fiber optic cable systems representing substantial latent broadband capacity that is not effectively accessible to most residents and businesses due to the absence of adequate last-mile terrestrial distribution infrastructure;</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WAPA's existing pole infrastructure, right-of-way access, and easements constitute a pre-built last-mile deployment corridor that, if inherited by Community Rural Electric Cooperatives, would enable fiber broadband deployment at a fraction of the cost of new construction;</w:t>
      </w:r>
    </w:p>
    <w:p>
      <w:pPr>
        <w:spacing w:after="160" w:before="0"/>
        <w:ind w:left="1200" w:hanging="480"/>
        <w:jc w:val="both"/>
      </w:pPr>
      <w:r>
        <w:rPr>
          <w:rFonts w:ascii="Calibri" w:cs="Calibri" w:eastAsia="Calibri" w:hAnsi="Calibri"/>
          <w:color w:val="1A1A1A"/>
          <w:sz w:val="20"/>
          <w:szCs w:val="20"/>
        </w:rPr>
        <w:t xml:space="preserve">(6) </w:t>
      </w:r>
      <w:r>
        <w:rPr>
          <w:rFonts w:ascii="Calibri" w:cs="Calibri" w:eastAsia="Calibri" w:hAnsi="Calibri"/>
          <w:color w:val="1A1A1A"/>
          <w:sz w:val="20"/>
          <w:szCs w:val="20"/>
        </w:rPr>
        <w:t xml:space="preserve">Community Rural Electric Cooperatives have demonstrated nationally that member-owned, locally governed utilities deliver superior electricity and utility service, and have emerged as the most effective vehicle for broadband deployment in underserved communities;</w:t>
      </w:r>
    </w:p>
    <w:p>
      <w:pPr>
        <w:spacing w:after="160" w:before="0"/>
        <w:ind w:left="1200" w:hanging="480"/>
        <w:jc w:val="both"/>
      </w:pPr>
      <w:r>
        <w:rPr>
          <w:rFonts w:ascii="Calibri" w:cs="Calibri" w:eastAsia="Calibri" w:hAnsi="Calibri"/>
          <w:color w:val="1A1A1A"/>
          <w:sz w:val="20"/>
          <w:szCs w:val="20"/>
        </w:rPr>
        <w:t xml:space="preserve">(7) </w:t>
      </w:r>
      <w:r>
        <w:rPr>
          <w:rFonts w:ascii="Calibri" w:cs="Calibri" w:eastAsia="Calibri" w:hAnsi="Calibri"/>
          <w:color w:val="1A1A1A"/>
          <w:sz w:val="20"/>
          <w:szCs w:val="20"/>
        </w:rPr>
        <w:t xml:space="preserve">Significant federal financing, grant, and tax credit resources are available for both the energy transition and broadband deployment, and are most effectively accessed through cooperative entities with the legal standing and organizational capacity to apply;</w:t>
      </w:r>
    </w:p>
    <w:p>
      <w:pPr>
        <w:spacing w:after="160" w:before="0"/>
        <w:ind w:left="1200" w:hanging="480"/>
        <w:jc w:val="both"/>
      </w:pPr>
      <w:r>
        <w:rPr>
          <w:rFonts w:ascii="Calibri" w:cs="Calibri" w:eastAsia="Calibri" w:hAnsi="Calibri"/>
          <w:color w:val="1A1A1A"/>
          <w:sz w:val="20"/>
          <w:szCs w:val="20"/>
        </w:rPr>
        <w:t xml:space="preserve">(8) </w:t>
      </w:r>
      <w:r>
        <w:rPr>
          <w:rFonts w:ascii="Calibri" w:cs="Calibri" w:eastAsia="Calibri" w:hAnsi="Calibri"/>
          <w:color w:val="1A1A1A"/>
          <w:sz w:val="20"/>
          <w:szCs w:val="20"/>
        </w:rPr>
        <w:t xml:space="preserve">Centralizing water customer meter reading, billing, and customer service within WAPA has produced chronic billing errors, unresolved customer disputes, and a lack of local accountability that a community-based cooperative structure can correct; and</w:t>
      </w:r>
    </w:p>
    <w:p>
      <w:pPr>
        <w:spacing w:after="160" w:before="0"/>
        <w:ind w:left="1200" w:hanging="480"/>
        <w:jc w:val="both"/>
      </w:pPr>
      <w:r>
        <w:rPr>
          <w:rFonts w:ascii="Calibri" w:cs="Calibri" w:eastAsia="Calibri" w:hAnsi="Calibri"/>
          <w:color w:val="1A1A1A"/>
          <w:sz w:val="20"/>
          <w:szCs w:val="20"/>
        </w:rPr>
        <w:t xml:space="preserve">(9) </w:t>
      </w:r>
      <w:r>
        <w:rPr>
          <w:rFonts w:ascii="Calibri" w:cs="Calibri" w:eastAsia="Calibri" w:hAnsi="Calibri"/>
          <w:color w:val="1A1A1A"/>
          <w:sz w:val="20"/>
          <w:szCs w:val="20"/>
        </w:rPr>
        <w:t xml:space="preserve">A structural solution — rather than a managerial one — is necessary to deliver durable reform of the energy, water, and broadband infrastructure of the Territory.</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purpose of this Act is to restructure the electrical utility functions of the Territory; to provide that WAPA Genco shall sell electric power competitively to Community Rural Electric Cooperatives (CRECs) and shall produce and sell potable water wholesale through CRECs while maintaining ownership and operation of all physical generation plants, production facilities, and distribution systems; to devolve electric and water customer meter reading, billing, and customer service to CRECs through Disco; to authorize the formation of member-governed CRECs with full broadband deployment authority; to establish open access to pole infrastructure and submarine cable capacity; and to provide a framework for a fair and orderly transition that protects ratepayers, employees, and the financial integrity of the Territory.</w:t>
      </w:r>
    </w:p>
    <w:p>
      <w:pPr>
        <w:pBdr>
          <w:bottom w:val="single" w:color="C9A84C" w:sz="6" w:space="4"/>
        </w:pBdr>
        <w:spacing w:after="40" w:before="320"/>
      </w:pPr>
      <w:r>
        <w:rPr>
          <w:rFonts w:ascii="Calibri" w:cs="Calibri" w:eastAsia="Calibri" w:hAnsi="Calibri"/>
          <w:b/>
          <w:bCs/>
          <w:color w:val="1F4E79"/>
          <w:sz w:val="20"/>
          <w:szCs w:val="20"/>
        </w:rPr>
        <w:t xml:space="preserve">§ 3. Definitions.</w:t>
      </w:r>
    </w:p>
    <w:p>
      <w:pPr>
        <w:spacing w:after="160" w:before="0"/>
        <w:jc w:val="both"/>
      </w:pPr>
      <w:r>
        <w:rPr>
          <w:rFonts w:ascii="Calibri" w:cs="Calibri" w:eastAsia="Calibri" w:hAnsi="Calibri"/>
          <w:color w:val="1A1A1A"/>
          <w:sz w:val="20"/>
          <w:szCs w:val="20"/>
        </w:rPr>
        <w:t xml:space="preserve">As used in this Act:</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b/>
          <w:bCs/>
          <w:i w:val="false"/>
          <w:iCs w:val="false"/>
          <w:color w:val="1A1A1A"/>
          <w:sz w:val="20"/>
          <w:szCs w:val="20"/>
        </w:rPr>
        <w:t xml:space="preserve">"Act"</w:t>
      </w:r>
      <w:r>
        <w:rPr>
          <w:rFonts w:ascii="Calibri" w:cs="Calibri" w:eastAsia="Calibri" w:hAnsi="Calibri"/>
          <w:b w:val="false"/>
          <w:bCs w:val="false"/>
          <w:i w:val="false"/>
          <w:iCs w:val="false"/>
          <w:color w:val="1A1A1A"/>
          <w:sz w:val="20"/>
          <w:szCs w:val="20"/>
        </w:rPr>
        <w:t xml:space="preserve"> means the Territorial Energy Authority Act of the United States Virgin Islands.</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b/>
          <w:bCs/>
          <w:i w:val="false"/>
          <w:iCs w:val="false"/>
          <w:color w:val="1A1A1A"/>
          <w:sz w:val="20"/>
          <w:szCs w:val="20"/>
        </w:rPr>
        <w:t xml:space="preserve">"Authority"</w:t>
      </w:r>
      <w:r>
        <w:rPr>
          <w:rFonts w:ascii="Calibri" w:cs="Calibri" w:eastAsia="Calibri" w:hAnsi="Calibri"/>
          <w:b w:val="false"/>
          <w:bCs w:val="false"/>
          <w:i w:val="false"/>
          <w:iCs w:val="false"/>
          <w:color w:val="1A1A1A"/>
          <w:sz w:val="20"/>
          <w:szCs w:val="20"/>
        </w:rPr>
        <w:t xml:space="preserve"> means the Territorial Energy Authority established under Article II of this Act.</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b/>
          <w:bCs/>
          <w:i w:val="false"/>
          <w:iCs w:val="false"/>
          <w:color w:val="1A1A1A"/>
          <w:sz w:val="20"/>
          <w:szCs w:val="20"/>
        </w:rPr>
        <w:t xml:space="preserve">"Board"</w:t>
      </w:r>
      <w:r>
        <w:rPr>
          <w:rFonts w:ascii="Calibri" w:cs="Calibri" w:eastAsia="Calibri" w:hAnsi="Calibri"/>
          <w:b w:val="false"/>
          <w:bCs w:val="false"/>
          <w:i w:val="false"/>
          <w:iCs w:val="false"/>
          <w:color w:val="1A1A1A"/>
          <w:sz w:val="20"/>
          <w:szCs w:val="20"/>
        </w:rPr>
        <w:t xml:space="preserve"> means the Board of Directors of the Territorial Energy Authority.</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b/>
          <w:bCs/>
          <w:i w:val="false"/>
          <w:iCs w:val="false"/>
          <w:color w:val="1A1A1A"/>
          <w:sz w:val="20"/>
          <w:szCs w:val="20"/>
        </w:rPr>
        <w:t xml:space="preserve">"Broadband Services"</w:t>
      </w:r>
      <w:r>
        <w:rPr>
          <w:rFonts w:ascii="Calibri" w:cs="Calibri" w:eastAsia="Calibri" w:hAnsi="Calibri"/>
          <w:b w:val="false"/>
          <w:bCs w:val="false"/>
          <w:i w:val="false"/>
          <w:iCs w:val="false"/>
          <w:color w:val="1A1A1A"/>
          <w:sz w:val="20"/>
          <w:szCs w:val="20"/>
        </w:rPr>
        <w:t xml:space="preserve"> means internet access service delivered at speeds sufficient to meet the then-current FCC definition of broadband, together with any ancillary telecommunications services offered by a CREC to its members.</w:t>
      </w:r>
    </w:p>
    <w:p>
      <w:pPr>
        <w:spacing w:after="160" w:before="0"/>
        <w:ind w:left="720" w:hanging="480"/>
        <w:jc w:val="both"/>
      </w:pPr>
      <w:r>
        <w:rPr>
          <w:rFonts w:ascii="Calibri" w:cs="Calibri" w:eastAsia="Calibri" w:hAnsi="Calibri"/>
          <w:color w:val="1A1A1A"/>
          <w:sz w:val="20"/>
          <w:szCs w:val="20"/>
        </w:rPr>
        <w:t xml:space="preserve">(e) </w:t>
      </w:r>
      <w:r>
        <w:rPr>
          <w:rFonts w:ascii="Calibri" w:cs="Calibri" w:eastAsia="Calibri" w:hAnsi="Calibri"/>
          <w:b/>
          <w:bCs/>
          <w:i w:val="false"/>
          <w:iCs w:val="false"/>
          <w:color w:val="1A1A1A"/>
          <w:sz w:val="20"/>
          <w:szCs w:val="20"/>
        </w:rPr>
        <w:t xml:space="preserve">"Community Rural Electric Cooperative"</w:t>
      </w:r>
      <w:r>
        <w:rPr>
          <w:rFonts w:ascii="Calibri" w:cs="Calibri" w:eastAsia="Calibri" w:hAnsi="Calibri"/>
          <w:b w:val="false"/>
          <w:bCs w:val="false"/>
          <w:i w:val="false"/>
          <w:iCs w:val="false"/>
          <w:color w:val="1A1A1A"/>
          <w:sz w:val="20"/>
          <w:szCs w:val="20"/>
        </w:rPr>
        <w:t xml:space="preserve"> or </w:t>
      </w:r>
      <w:r>
        <w:rPr>
          <w:rFonts w:ascii="Calibri" w:cs="Calibri" w:eastAsia="Calibri" w:hAnsi="Calibri"/>
          <w:b/>
          <w:bCs/>
          <w:i w:val="false"/>
          <w:iCs w:val="false"/>
          <w:color w:val="1A1A1A"/>
          <w:sz w:val="20"/>
          <w:szCs w:val="20"/>
        </w:rPr>
        <w:t xml:space="preserve">"CREC"</w:t>
      </w:r>
      <w:r>
        <w:rPr>
          <w:rFonts w:ascii="Calibri" w:cs="Calibri" w:eastAsia="Calibri" w:hAnsi="Calibri"/>
          <w:b w:val="false"/>
          <w:bCs w:val="false"/>
          <w:i w:val="false"/>
          <w:iCs w:val="false"/>
          <w:color w:val="1A1A1A"/>
          <w:sz w:val="20"/>
          <w:szCs w:val="20"/>
        </w:rPr>
        <w:t xml:space="preserve"> means a Community Rural Electric Cooperative formed and operating under Article V of this Act. The terms "Cooperative" and "CREC" are used interchangeably throughout this Act.</w:t>
      </w:r>
    </w:p>
    <w:p>
      <w:pPr>
        <w:spacing w:after="160" w:before="0"/>
        <w:ind w:left="720" w:hanging="480"/>
        <w:jc w:val="both"/>
      </w:pPr>
      <w:r>
        <w:rPr>
          <w:rFonts w:ascii="Calibri" w:cs="Calibri" w:eastAsia="Calibri" w:hAnsi="Calibri"/>
          <w:color w:val="1A1A1A"/>
          <w:sz w:val="20"/>
          <w:szCs w:val="20"/>
        </w:rPr>
        <w:t xml:space="preserve">(f) </w:t>
      </w:r>
      <w:r>
        <w:rPr>
          <w:rFonts w:ascii="Calibri" w:cs="Calibri" w:eastAsia="Calibri" w:hAnsi="Calibri"/>
          <w:b/>
          <w:bCs/>
          <w:i w:val="false"/>
          <w:iCs w:val="false"/>
          <w:color w:val="1A1A1A"/>
          <w:sz w:val="20"/>
          <w:szCs w:val="20"/>
        </w:rPr>
        <w:t xml:space="preserve">"Cost-of-Service Rate"</w:t>
      </w:r>
      <w:r>
        <w:rPr>
          <w:rFonts w:ascii="Calibri" w:cs="Calibri" w:eastAsia="Calibri" w:hAnsi="Calibri"/>
          <w:b w:val="false"/>
          <w:bCs w:val="false"/>
          <w:i w:val="false"/>
          <w:iCs w:val="false"/>
          <w:color w:val="1A1A1A"/>
          <w:sz w:val="20"/>
          <w:szCs w:val="20"/>
        </w:rPr>
        <w:t xml:space="preserve"> means a wholesale rate — applicable separately to electricity and to water — calculated to recover WAPA Genco's actual, audited, and prudently incurred costs of generation or production, including fuel, operations and maintenance, debt service on prudently incurred capital, and a reasonable regulated return, as determined by the Authority.</w:t>
      </w:r>
    </w:p>
    <w:p>
      <w:pPr>
        <w:spacing w:after="160" w:before="0"/>
        <w:ind w:left="720" w:hanging="480"/>
        <w:jc w:val="both"/>
      </w:pPr>
      <w:r>
        <w:rPr>
          <w:rFonts w:ascii="Calibri" w:cs="Calibri" w:eastAsia="Calibri" w:hAnsi="Calibri"/>
          <w:color w:val="1A1A1A"/>
          <w:sz w:val="20"/>
          <w:szCs w:val="20"/>
        </w:rPr>
        <w:t xml:space="preserve">(g) </w:t>
      </w:r>
      <w:r>
        <w:rPr>
          <w:rFonts w:ascii="Calibri" w:cs="Calibri" w:eastAsia="Calibri" w:hAnsi="Calibri"/>
          <w:b/>
          <w:bCs/>
          <w:i w:val="false"/>
          <w:iCs w:val="false"/>
          <w:color w:val="1A1A1A"/>
          <w:sz w:val="20"/>
          <w:szCs w:val="20"/>
        </w:rPr>
        <w:t xml:space="preserve">"Disco"</w:t>
      </w:r>
      <w:r>
        <w:rPr>
          <w:rFonts w:ascii="Calibri" w:cs="Calibri" w:eastAsia="Calibri" w:hAnsi="Calibri"/>
          <w:b w:val="false"/>
          <w:bCs w:val="false"/>
          <w:i w:val="false"/>
          <w:iCs w:val="false"/>
          <w:color w:val="1A1A1A"/>
          <w:sz w:val="20"/>
          <w:szCs w:val="20"/>
        </w:rPr>
        <w:t xml:space="preserve"> means the distribution assets, infrastructure, customer accounts (electric and water), billing records, meter infrastructure, and associated liabilities of WAPA's electrical distribution and water distribution functions, as identified in the asset inventory required under Section 12.</w:t>
      </w:r>
    </w:p>
    <w:p>
      <w:pPr>
        <w:spacing w:after="160" w:before="0"/>
        <w:ind w:left="720" w:hanging="480"/>
        <w:jc w:val="both"/>
      </w:pPr>
      <w:r>
        <w:rPr>
          <w:rFonts w:ascii="Calibri" w:cs="Calibri" w:eastAsia="Calibri" w:hAnsi="Calibri"/>
          <w:color w:val="1A1A1A"/>
          <w:sz w:val="20"/>
          <w:szCs w:val="20"/>
        </w:rPr>
        <w:t xml:space="preserve">(h) </w:t>
      </w:r>
      <w:r>
        <w:rPr>
          <w:rFonts w:ascii="Calibri" w:cs="Calibri" w:eastAsia="Calibri" w:hAnsi="Calibri"/>
          <w:b/>
          <w:bCs/>
          <w:i w:val="false"/>
          <w:iCs w:val="false"/>
          <w:color w:val="1A1A1A"/>
          <w:sz w:val="20"/>
          <w:szCs w:val="20"/>
        </w:rPr>
        <w:t xml:space="preserve">"WAPA Genco"</w:t>
      </w:r>
      <w:r>
        <w:rPr>
          <w:rFonts w:ascii="Calibri" w:cs="Calibri" w:eastAsia="Calibri" w:hAnsi="Calibri"/>
          <w:b w:val="false"/>
          <w:bCs w:val="false"/>
          <w:i w:val="false"/>
          <w:iCs w:val="false"/>
          <w:color w:val="1A1A1A"/>
          <w:sz w:val="20"/>
          <w:szCs w:val="20"/>
        </w:rPr>
        <w:t xml:space="preserve"> means the power generating and water production company constituting WAPA's electrical generation, transmission, water production, and water transmission function, as restructured under Article III. WAPA Genco retains ownership and operation of all physical electric generating plants, fuel storage facilities, water desalination plants, water storage tanks, water transmission mains, and the high-voltage electric transmission infrastructure.</w:t>
      </w:r>
    </w:p>
    <w:p>
      <w:pPr>
        <w:spacing w:after="160" w:before="0"/>
        <w:ind w:left="720" w:hanging="480"/>
        <w:jc w:val="both"/>
      </w:pPr>
      <w:r>
        <w:rPr>
          <w:rFonts w:ascii="Calibri" w:cs="Calibri" w:eastAsia="Calibri" w:hAnsi="Calibri"/>
          <w:color w:val="1A1A1A"/>
          <w:sz w:val="20"/>
          <w:szCs w:val="20"/>
        </w:rPr>
        <w:t xml:space="preserve">(i) </w:t>
      </w:r>
      <w:r>
        <w:rPr>
          <w:rFonts w:ascii="Calibri" w:cs="Calibri" w:eastAsia="Calibri" w:hAnsi="Calibri"/>
          <w:b/>
          <w:bCs/>
          <w:i w:val="false"/>
          <w:iCs w:val="false"/>
          <w:color w:val="1A1A1A"/>
          <w:sz w:val="20"/>
          <w:szCs w:val="20"/>
        </w:rPr>
        <w:t xml:space="preserve">"GVI"</w:t>
      </w:r>
      <w:r>
        <w:rPr>
          <w:rFonts w:ascii="Calibri" w:cs="Calibri" w:eastAsia="Calibri" w:hAnsi="Calibri"/>
          <w:b w:val="false"/>
          <w:bCs w:val="false"/>
          <w:i w:val="false"/>
          <w:iCs w:val="false"/>
          <w:color w:val="1A1A1A"/>
          <w:sz w:val="20"/>
          <w:szCs w:val="20"/>
        </w:rPr>
        <w:t xml:space="preserve"> means the Government of the United States Virgin Islands.</w:t>
      </w:r>
    </w:p>
    <w:p>
      <w:pPr>
        <w:spacing w:after="160" w:before="0"/>
        <w:ind w:left="720" w:hanging="480"/>
        <w:jc w:val="both"/>
      </w:pPr>
      <w:r>
        <w:rPr>
          <w:rFonts w:ascii="Calibri" w:cs="Calibri" w:eastAsia="Calibri" w:hAnsi="Calibri"/>
          <w:color w:val="1A1A1A"/>
          <w:sz w:val="20"/>
          <w:szCs w:val="20"/>
        </w:rPr>
        <w:t xml:space="preserve">(j) </w:t>
      </w:r>
      <w:r>
        <w:rPr>
          <w:rFonts w:ascii="Calibri" w:cs="Calibri" w:eastAsia="Calibri" w:hAnsi="Calibri"/>
          <w:b/>
          <w:bCs/>
          <w:i w:val="false"/>
          <w:iCs w:val="false"/>
          <w:color w:val="1A1A1A"/>
          <w:sz w:val="20"/>
          <w:szCs w:val="20"/>
        </w:rPr>
        <w:t xml:space="preserve">"Holding Company"</w:t>
      </w:r>
      <w:r>
        <w:rPr>
          <w:rFonts w:ascii="Calibri" w:cs="Calibri" w:eastAsia="Calibri" w:hAnsi="Calibri"/>
          <w:b w:val="false"/>
          <w:bCs w:val="false"/>
          <w:i w:val="false"/>
          <w:iCs w:val="false"/>
          <w:color w:val="1A1A1A"/>
          <w:sz w:val="20"/>
          <w:szCs w:val="20"/>
        </w:rPr>
        <w:t xml:space="preserve"> means the transitional entity established under Section 12 to hold Disco assets pending transfer to CRECs.</w:t>
      </w:r>
    </w:p>
    <w:p>
      <w:pPr>
        <w:spacing w:after="160" w:before="0"/>
        <w:ind w:left="720" w:hanging="480"/>
        <w:jc w:val="both"/>
      </w:pPr>
      <w:r>
        <w:rPr>
          <w:rFonts w:ascii="Calibri" w:cs="Calibri" w:eastAsia="Calibri" w:hAnsi="Calibri"/>
          <w:color w:val="1A1A1A"/>
          <w:sz w:val="20"/>
          <w:szCs w:val="20"/>
        </w:rPr>
        <w:t xml:space="preserve">(k) </w:t>
      </w:r>
      <w:r>
        <w:rPr>
          <w:rFonts w:ascii="Calibri" w:cs="Calibri" w:eastAsia="Calibri" w:hAnsi="Calibri"/>
          <w:b/>
          <w:bCs/>
          <w:i w:val="false"/>
          <w:iCs w:val="false"/>
          <w:color w:val="1A1A1A"/>
          <w:sz w:val="20"/>
          <w:szCs w:val="20"/>
        </w:rPr>
        <w:t xml:space="preserve">"Indefeasible Right of Use"</w:t>
      </w:r>
      <w:r>
        <w:rPr>
          <w:rFonts w:ascii="Calibri" w:cs="Calibri" w:eastAsia="Calibri" w:hAnsi="Calibri"/>
          <w:b w:val="false"/>
          <w:bCs w:val="false"/>
          <w:i w:val="false"/>
          <w:iCs w:val="false"/>
          <w:color w:val="1A1A1A"/>
          <w:sz w:val="20"/>
          <w:szCs w:val="20"/>
        </w:rPr>
        <w:t xml:space="preserve"> or </w:t>
      </w:r>
      <w:r>
        <w:rPr>
          <w:rFonts w:ascii="Calibri" w:cs="Calibri" w:eastAsia="Calibri" w:hAnsi="Calibri"/>
          <w:b/>
          <w:bCs/>
          <w:i w:val="false"/>
          <w:iCs w:val="false"/>
          <w:color w:val="1A1A1A"/>
          <w:sz w:val="20"/>
          <w:szCs w:val="20"/>
        </w:rPr>
        <w:t xml:space="preserve">"IRU"</w:t>
      </w:r>
      <w:r>
        <w:rPr>
          <w:rFonts w:ascii="Calibri" w:cs="Calibri" w:eastAsia="Calibri" w:hAnsi="Calibri"/>
          <w:b w:val="false"/>
          <w:bCs w:val="false"/>
          <w:i w:val="false"/>
          <w:iCs w:val="false"/>
          <w:color w:val="1A1A1A"/>
          <w:sz w:val="20"/>
          <w:szCs w:val="20"/>
        </w:rPr>
        <w:t xml:space="preserve"> means a long-term contractual right to use a defined capacity on a submarine fiber optic cable or terrestrial fiber network, granting the holder the functional equivalent of ownership of that capacity for the term of the agreement, without transfer of title to the underlying infrastructure.</w:t>
      </w:r>
    </w:p>
    <w:p>
      <w:pPr>
        <w:spacing w:after="160" w:before="0"/>
        <w:ind w:left="720" w:hanging="480"/>
        <w:jc w:val="both"/>
      </w:pPr>
      <w:r>
        <w:rPr>
          <w:rFonts w:ascii="Calibri" w:cs="Calibri" w:eastAsia="Calibri" w:hAnsi="Calibri"/>
          <w:color w:val="1A1A1A"/>
          <w:sz w:val="20"/>
          <w:szCs w:val="20"/>
        </w:rPr>
        <w:t xml:space="preserve">(l) </w:t>
      </w:r>
      <w:r>
        <w:rPr>
          <w:rFonts w:ascii="Calibri" w:cs="Calibri" w:eastAsia="Calibri" w:hAnsi="Calibri"/>
          <w:b/>
          <w:bCs/>
          <w:i w:val="false"/>
          <w:iCs w:val="false"/>
          <w:color w:val="1A1A1A"/>
          <w:sz w:val="20"/>
          <w:szCs w:val="20"/>
        </w:rPr>
        <w:t xml:space="preserve">"Last-Mile Infrastructure"</w:t>
      </w:r>
      <w:r>
        <w:rPr>
          <w:rFonts w:ascii="Calibri" w:cs="Calibri" w:eastAsia="Calibri" w:hAnsi="Calibri"/>
          <w:b w:val="false"/>
          <w:bCs w:val="false"/>
          <w:i w:val="false"/>
          <w:iCs w:val="false"/>
          <w:color w:val="1A1A1A"/>
          <w:sz w:val="20"/>
          <w:szCs w:val="20"/>
        </w:rPr>
        <w:t xml:space="preserve"> means the terrestrial fiber optic cable, wireless access points, conduit, and associated equipment that connect a Middle-Mile Network to individual residential and commercial end-user premises.</w:t>
      </w:r>
    </w:p>
    <w:p>
      <w:pPr>
        <w:spacing w:after="160" w:before="0"/>
        <w:ind w:left="720" w:hanging="480"/>
        <w:jc w:val="both"/>
      </w:pPr>
      <w:r>
        <w:rPr>
          <w:rFonts w:ascii="Calibri" w:cs="Calibri" w:eastAsia="Calibri" w:hAnsi="Calibri"/>
          <w:color w:val="1A1A1A"/>
          <w:sz w:val="20"/>
          <w:szCs w:val="20"/>
        </w:rPr>
        <w:t xml:space="preserve">(m) </w:t>
      </w:r>
      <w:r>
        <w:rPr>
          <w:rFonts w:ascii="Calibri" w:cs="Calibri" w:eastAsia="Calibri" w:hAnsi="Calibri"/>
          <w:b/>
          <w:bCs/>
          <w:i w:val="false"/>
          <w:iCs w:val="false"/>
          <w:color w:val="1A1A1A"/>
          <w:sz w:val="20"/>
          <w:szCs w:val="20"/>
        </w:rPr>
        <w:t xml:space="preserve">"Legacy Debt"</w:t>
      </w:r>
      <w:r>
        <w:rPr>
          <w:rFonts w:ascii="Calibri" w:cs="Calibri" w:eastAsia="Calibri" w:hAnsi="Calibri"/>
          <w:b w:val="false"/>
          <w:bCs w:val="false"/>
          <w:i w:val="false"/>
          <w:iCs w:val="false"/>
          <w:color w:val="1A1A1A"/>
          <w:sz w:val="20"/>
          <w:szCs w:val="20"/>
        </w:rPr>
        <w:t xml:space="preserve"> means all bonds, loans, and financial obligations of WAPA outstanding as of the effective date of this Act, including obligations related to the propane conversion investment.</w:t>
      </w:r>
    </w:p>
    <w:p>
      <w:pPr>
        <w:spacing w:after="160" w:before="0"/>
        <w:ind w:left="720" w:hanging="480"/>
        <w:jc w:val="both"/>
      </w:pPr>
      <w:r>
        <w:rPr>
          <w:rFonts w:ascii="Calibri" w:cs="Calibri" w:eastAsia="Calibri" w:hAnsi="Calibri"/>
          <w:color w:val="1A1A1A"/>
          <w:sz w:val="20"/>
          <w:szCs w:val="20"/>
        </w:rPr>
        <w:t xml:space="preserve">(n) </w:t>
      </w:r>
      <w:r>
        <w:rPr>
          <w:rFonts w:ascii="Calibri" w:cs="Calibri" w:eastAsia="Calibri" w:hAnsi="Calibri"/>
          <w:b/>
          <w:bCs/>
          <w:i w:val="false"/>
          <w:iCs w:val="false"/>
          <w:color w:val="1A1A1A"/>
          <w:sz w:val="20"/>
          <w:szCs w:val="20"/>
        </w:rPr>
        <w:t xml:space="preserve">"Microgrid"</w:t>
      </w:r>
      <w:r>
        <w:rPr>
          <w:rFonts w:ascii="Calibri" w:cs="Calibri" w:eastAsia="Calibri" w:hAnsi="Calibri"/>
          <w:b w:val="false"/>
          <w:bCs w:val="false"/>
          <w:i w:val="false"/>
          <w:iCs w:val="false"/>
          <w:color w:val="1A1A1A"/>
          <w:sz w:val="20"/>
          <w:szCs w:val="20"/>
        </w:rPr>
        <w:t xml:space="preserve"> means a localized electric grid that can operate independently or in conjunction with the Territory's main transmission grid, incorporating distributed generation, storage, and control systems.</w:t>
      </w:r>
    </w:p>
    <w:p>
      <w:pPr>
        <w:spacing w:after="160" w:before="0"/>
        <w:ind w:left="720" w:hanging="480"/>
        <w:jc w:val="both"/>
      </w:pPr>
      <w:r>
        <w:rPr>
          <w:rFonts w:ascii="Calibri" w:cs="Calibri" w:eastAsia="Calibri" w:hAnsi="Calibri"/>
          <w:color w:val="1A1A1A"/>
          <w:sz w:val="20"/>
          <w:szCs w:val="20"/>
        </w:rPr>
        <w:t xml:space="preserve">(o) </w:t>
      </w:r>
      <w:r>
        <w:rPr>
          <w:rFonts w:ascii="Calibri" w:cs="Calibri" w:eastAsia="Calibri" w:hAnsi="Calibri"/>
          <w:b/>
          <w:bCs/>
          <w:i w:val="false"/>
          <w:iCs w:val="false"/>
          <w:color w:val="1A1A1A"/>
          <w:sz w:val="20"/>
          <w:szCs w:val="20"/>
        </w:rPr>
        <w:t xml:space="preserve">"Middle-Mile Infrastructure"</w:t>
      </w:r>
      <w:r>
        <w:rPr>
          <w:rFonts w:ascii="Calibri" w:cs="Calibri" w:eastAsia="Calibri" w:hAnsi="Calibri"/>
          <w:b w:val="false"/>
          <w:bCs w:val="false"/>
          <w:i w:val="false"/>
          <w:iCs w:val="false"/>
          <w:color w:val="1A1A1A"/>
          <w:sz w:val="20"/>
          <w:szCs w:val="20"/>
        </w:rPr>
        <w:t xml:space="preserve"> means fiber optic cable, conduit, and associated equipment that connects submarine cable landing stations to Last-Mile Infrastructure distribution networks, including any terrestrial backbone fiber deployed under this Act.</w:t>
      </w:r>
    </w:p>
    <w:p>
      <w:pPr>
        <w:spacing w:after="160" w:before="0"/>
        <w:ind w:left="720" w:hanging="480"/>
        <w:jc w:val="both"/>
      </w:pPr>
      <w:r>
        <w:rPr>
          <w:rFonts w:ascii="Calibri" w:cs="Calibri" w:eastAsia="Calibri" w:hAnsi="Calibri"/>
          <w:color w:val="1A1A1A"/>
          <w:sz w:val="20"/>
          <w:szCs w:val="20"/>
        </w:rPr>
        <w:t xml:space="preserve">(p) </w:t>
      </w:r>
      <w:r>
        <w:rPr>
          <w:rFonts w:ascii="Calibri" w:cs="Calibri" w:eastAsia="Calibri" w:hAnsi="Calibri"/>
          <w:b/>
          <w:bCs/>
          <w:i w:val="false"/>
          <w:iCs w:val="false"/>
          <w:color w:val="1A1A1A"/>
          <w:sz w:val="20"/>
          <w:szCs w:val="20"/>
        </w:rPr>
        <w:t xml:space="preserve">"Open Access"</w:t>
      </w:r>
      <w:r>
        <w:rPr>
          <w:rFonts w:ascii="Calibri" w:cs="Calibri" w:eastAsia="Calibri" w:hAnsi="Calibri"/>
          <w:b w:val="false"/>
          <w:bCs w:val="false"/>
          <w:i w:val="false"/>
          <w:iCs w:val="false"/>
          <w:color w:val="1A1A1A"/>
          <w:sz w:val="20"/>
          <w:szCs w:val="20"/>
        </w:rPr>
        <w:t xml:space="preserve"> means the availability of infrastructure — including poles, conduit, Middle-Mile Infrastructure, and landing station interconnection points — to all eligible users on non-discriminatory terms and at rates approved by the Authority or the applicable federal regulator.</w:t>
      </w:r>
    </w:p>
    <w:p>
      <w:pPr>
        <w:spacing w:after="160" w:before="0"/>
        <w:ind w:left="720" w:hanging="480"/>
        <w:jc w:val="both"/>
      </w:pPr>
      <w:r>
        <w:rPr>
          <w:rFonts w:ascii="Calibri" w:cs="Calibri" w:eastAsia="Calibri" w:hAnsi="Calibri"/>
          <w:color w:val="1A1A1A"/>
          <w:sz w:val="20"/>
          <w:szCs w:val="20"/>
        </w:rPr>
        <w:t xml:space="preserve">(q) </w:t>
      </w:r>
      <w:r>
        <w:rPr>
          <w:rFonts w:ascii="Calibri" w:cs="Calibri" w:eastAsia="Calibri" w:hAnsi="Calibri"/>
          <w:b/>
          <w:bCs/>
          <w:i w:val="false"/>
          <w:iCs w:val="false"/>
          <w:color w:val="1A1A1A"/>
          <w:sz w:val="20"/>
          <w:szCs w:val="20"/>
        </w:rPr>
        <w:t xml:space="preserve">"Propane Conversion Investment"</w:t>
      </w:r>
      <w:r>
        <w:rPr>
          <w:rFonts w:ascii="Calibri" w:cs="Calibri" w:eastAsia="Calibri" w:hAnsi="Calibri"/>
          <w:b w:val="false"/>
          <w:bCs w:val="false"/>
          <w:i w:val="false"/>
          <w:iCs w:val="false"/>
          <w:color w:val="1A1A1A"/>
          <w:sz w:val="20"/>
          <w:szCs w:val="20"/>
        </w:rPr>
        <w:t xml:space="preserve"> means WAPA's capital investment in the conversion of electrical generating plants from diesel to propane fuel, including all associated contracts, equipment, financing, and related expenditures.</w:t>
      </w:r>
    </w:p>
    <w:p>
      <w:pPr>
        <w:spacing w:after="160" w:before="0"/>
        <w:ind w:left="720" w:hanging="480"/>
        <w:jc w:val="both"/>
      </w:pPr>
      <w:r>
        <w:rPr>
          <w:rFonts w:ascii="Calibri" w:cs="Calibri" w:eastAsia="Calibri" w:hAnsi="Calibri"/>
          <w:color w:val="1A1A1A"/>
          <w:sz w:val="20"/>
          <w:szCs w:val="20"/>
        </w:rPr>
        <w:t xml:space="preserve">(r) </w:t>
      </w:r>
      <w:r>
        <w:rPr>
          <w:rFonts w:ascii="Calibri" w:cs="Calibri" w:eastAsia="Calibri" w:hAnsi="Calibri"/>
          <w:b/>
          <w:bCs/>
          <w:i w:val="false"/>
          <w:iCs w:val="false"/>
          <w:color w:val="1A1A1A"/>
          <w:sz w:val="20"/>
          <w:szCs w:val="20"/>
        </w:rPr>
        <w:t xml:space="preserve">"Prudence Review"</w:t>
      </w:r>
      <w:r>
        <w:rPr>
          <w:rFonts w:ascii="Calibri" w:cs="Calibri" w:eastAsia="Calibri" w:hAnsi="Calibri"/>
          <w:b w:val="false"/>
          <w:bCs w:val="false"/>
          <w:i w:val="false"/>
          <w:iCs w:val="false"/>
          <w:color w:val="1A1A1A"/>
          <w:sz w:val="20"/>
          <w:szCs w:val="20"/>
        </w:rPr>
        <w:t xml:space="preserve"> means the independent review required under Section 10 to determine what portion of the Propane Conversion Investment was prudently incurred for purposes of inclusion in the Cost-of-Service Rate base.</w:t>
      </w:r>
    </w:p>
    <w:p>
      <w:pPr>
        <w:spacing w:after="160" w:before="0"/>
        <w:ind w:left="720" w:hanging="480"/>
        <w:jc w:val="both"/>
      </w:pPr>
      <w:r>
        <w:rPr>
          <w:rFonts w:ascii="Calibri" w:cs="Calibri" w:eastAsia="Calibri" w:hAnsi="Calibri"/>
          <w:color w:val="1A1A1A"/>
          <w:sz w:val="20"/>
          <w:szCs w:val="20"/>
        </w:rPr>
        <w:t xml:space="preserve">(s) </w:t>
      </w:r>
      <w:r>
        <w:rPr>
          <w:rFonts w:ascii="Calibri" w:cs="Calibri" w:eastAsia="Calibri" w:hAnsi="Calibri"/>
          <w:b/>
          <w:bCs/>
          <w:i w:val="false"/>
          <w:iCs w:val="false"/>
          <w:color w:val="1A1A1A"/>
          <w:sz w:val="20"/>
          <w:szCs w:val="20"/>
        </w:rPr>
        <w:t xml:space="preserve">"Submarine Cable System"</w:t>
      </w:r>
      <w:r>
        <w:rPr>
          <w:rFonts w:ascii="Calibri" w:cs="Calibri" w:eastAsia="Calibri" w:hAnsi="Calibri"/>
          <w:b w:val="false"/>
          <w:bCs w:val="false"/>
          <w:i w:val="false"/>
          <w:iCs w:val="false"/>
          <w:color w:val="1A1A1A"/>
          <w:sz w:val="20"/>
          <w:szCs w:val="20"/>
        </w:rPr>
        <w:t xml:space="preserve"> means any submarine fiber optic cable that lands in or passes within the exclusive economic zone of the Territory, together with its associated landing station facilities, backhaul infrastructure, and interconnection points.</w:t>
      </w:r>
    </w:p>
    <w:p>
      <w:pPr>
        <w:spacing w:after="160" w:before="0"/>
        <w:ind w:left="720" w:hanging="480"/>
        <w:jc w:val="both"/>
      </w:pPr>
      <w:r>
        <w:rPr>
          <w:rFonts w:ascii="Calibri" w:cs="Calibri" w:eastAsia="Calibri" w:hAnsi="Calibri"/>
          <w:color w:val="1A1A1A"/>
          <w:sz w:val="20"/>
          <w:szCs w:val="20"/>
        </w:rPr>
        <w:t xml:space="preserve">(t) </w:t>
      </w:r>
      <w:r>
        <w:rPr>
          <w:rFonts w:ascii="Calibri" w:cs="Calibri" w:eastAsia="Calibri" w:hAnsi="Calibri"/>
          <w:b/>
          <w:bCs/>
          <w:i w:val="false"/>
          <w:iCs w:val="false"/>
          <w:color w:val="1A1A1A"/>
          <w:sz w:val="20"/>
          <w:szCs w:val="20"/>
        </w:rPr>
        <w:t xml:space="preserve">"Transmission Grid"</w:t>
      </w:r>
      <w:r>
        <w:rPr>
          <w:rFonts w:ascii="Calibri" w:cs="Calibri" w:eastAsia="Calibri" w:hAnsi="Calibri"/>
          <w:b w:val="false"/>
          <w:bCs w:val="false"/>
          <w:i w:val="false"/>
          <w:iCs w:val="false"/>
          <w:color w:val="1A1A1A"/>
          <w:sz w:val="20"/>
          <w:szCs w:val="20"/>
        </w:rPr>
        <w:t xml:space="preserve"> means the high-voltage transmission infrastructure owned by WAPA used to convey electricity from generation facilities to distribution systems across the Territory.</w:t>
      </w:r>
    </w:p>
    <w:p>
      <w:pPr>
        <w:spacing w:after="160" w:before="0"/>
        <w:ind w:left="720" w:hanging="480"/>
        <w:jc w:val="both"/>
      </w:pPr>
      <w:r>
        <w:rPr>
          <w:rFonts w:ascii="Calibri" w:cs="Calibri" w:eastAsia="Calibri" w:hAnsi="Calibri"/>
          <w:color w:val="1A1A1A"/>
          <w:sz w:val="20"/>
          <w:szCs w:val="20"/>
        </w:rPr>
        <w:t xml:space="preserve">(u) </w:t>
      </w:r>
      <w:r>
        <w:rPr>
          <w:rFonts w:ascii="Calibri" w:cs="Calibri" w:eastAsia="Calibri" w:hAnsi="Calibri"/>
          <w:b/>
          <w:bCs/>
          <w:i w:val="false"/>
          <w:iCs w:val="false"/>
          <w:color w:val="1A1A1A"/>
          <w:sz w:val="20"/>
          <w:szCs w:val="20"/>
        </w:rPr>
        <w:t xml:space="preserve">"WAPA"</w:t>
      </w:r>
      <w:r>
        <w:rPr>
          <w:rFonts w:ascii="Calibri" w:cs="Calibri" w:eastAsia="Calibri" w:hAnsi="Calibri"/>
          <w:b w:val="false"/>
          <w:bCs w:val="false"/>
          <w:i w:val="false"/>
          <w:iCs w:val="false"/>
          <w:color w:val="1A1A1A"/>
          <w:sz w:val="20"/>
          <w:szCs w:val="20"/>
        </w:rPr>
        <w:t xml:space="preserve"> means the Virgin Islands Water and Power Authority.</w:t>
      </w:r>
    </w:p>
    <w:p>
      <w:pPr>
        <w:spacing w:after="160" w:before="0"/>
        <w:ind w:left="720" w:hanging="480"/>
        <w:jc w:val="both"/>
      </w:pPr>
      <w:r>
        <w:rPr>
          <w:rFonts w:ascii="Calibri" w:cs="Calibri" w:eastAsia="Calibri" w:hAnsi="Calibri"/>
          <w:color w:val="1A1A1A"/>
          <w:sz w:val="20"/>
          <w:szCs w:val="20"/>
        </w:rPr>
        <w:t xml:space="preserve">(v) </w:t>
      </w:r>
      <w:r>
        <w:rPr>
          <w:rFonts w:ascii="Calibri" w:cs="Calibri" w:eastAsia="Calibri" w:hAnsi="Calibri"/>
          <w:b/>
          <w:bCs/>
          <w:i w:val="false"/>
          <w:iCs w:val="false"/>
          <w:color w:val="1A1A1A"/>
          <w:sz w:val="20"/>
          <w:szCs w:val="20"/>
        </w:rPr>
        <w:t xml:space="preserve">"Water Customer Services"</w:t>
      </w:r>
      <w:r>
        <w:rPr>
          <w:rFonts w:ascii="Calibri" w:cs="Calibri" w:eastAsia="Calibri" w:hAnsi="Calibri"/>
          <w:b w:val="false"/>
          <w:bCs w:val="false"/>
          <w:i w:val="false"/>
          <w:iCs w:val="false"/>
          <w:color w:val="1A1A1A"/>
          <w:sz w:val="20"/>
          <w:szCs w:val="20"/>
        </w:rPr>
        <w:t xml:space="preserve"> means meter reading, billing, customer service, new service connections, disconnections, and dispute resolution for potable water accounts within a CREC service territory, as devolved from WAPA through Disco to each CREC under this Act.</w:t>
      </w:r>
    </w:p>
    <w:p>
      <w:pPr>
        <w:spacing w:after="160" w:before="0"/>
        <w:ind w:left="720" w:hanging="480"/>
        <w:jc w:val="both"/>
      </w:pPr>
      <w:r>
        <w:rPr>
          <w:rFonts w:ascii="Calibri" w:cs="Calibri" w:eastAsia="Calibri" w:hAnsi="Calibri"/>
          <w:color w:val="1A1A1A"/>
          <w:sz w:val="20"/>
          <w:szCs w:val="20"/>
        </w:rPr>
        <w:t xml:space="preserve">(w) </w:t>
      </w:r>
      <w:r>
        <w:rPr>
          <w:rFonts w:ascii="Calibri" w:cs="Calibri" w:eastAsia="Calibri" w:hAnsi="Calibri"/>
          <w:b/>
          <w:bCs/>
          <w:i w:val="false"/>
          <w:iCs w:val="false"/>
          <w:color w:val="1A1A1A"/>
          <w:sz w:val="20"/>
          <w:szCs w:val="20"/>
        </w:rPr>
        <w:t xml:space="preserve">"Water Wholesale Rate"</w:t>
      </w:r>
      <w:r>
        <w:rPr>
          <w:rFonts w:ascii="Calibri" w:cs="Calibri" w:eastAsia="Calibri" w:hAnsi="Calibri"/>
          <w:b w:val="false"/>
          <w:bCs w:val="false"/>
          <w:i w:val="false"/>
          <w:iCs w:val="false"/>
          <w:color w:val="1A1A1A"/>
          <w:sz w:val="20"/>
          <w:szCs w:val="20"/>
        </w:rPr>
        <w:t xml:space="preserve"> means the Cost-of-Service Rate applicable to potable water sold by WAPA Genco to CRECs, calculated to recover WAPA Genco's actual, audited, and prudently incurred costs of water production, storage, and transmission, as determined by the Authority.</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II</w:t>
      </w:r>
    </w:p>
    <w:p>
      <w:pPr>
        <w:spacing w:after="160" w:before="0"/>
        <w:jc w:val="center"/>
      </w:pPr>
      <w:r>
        <w:rPr>
          <w:rFonts w:ascii="Calibri" w:cs="Calibri" w:eastAsia="Calibri" w:hAnsi="Calibri"/>
          <w:b/>
          <w:bCs/>
          <w:caps/>
          <w:color w:val="1F3864"/>
          <w:sz w:val="26"/>
          <w:szCs w:val="26"/>
        </w:rPr>
        <w:t xml:space="preserve">TERRITORIAL ENERGY AUTHORITY</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4. Establishment.</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There is hereby established the Territorial Energy Authority of the United States Virgin Islands as an independent public authority of the Government of the Virgin Islands.</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Authority shall be the sole regulatory body with jurisdiction over electrical generation, transmission, and distribution in the Territory, and over wholesale water sales by WAPA Genco to CRECs and Water Customer Services delivered by CRECs, superseding the authority of the Public Services Commission with respect to electrical utility and water wholesale regulation upon the effective date of this Act. The Authority shall also have jurisdiction over CREC broadband services and pole attachment terms as provided in this Act. The Public Services Commission shall retain jurisdiction over all other utilities not affected by this Act.</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The Authority shall not be subject to direction or control by any executive branch agency, department, or official of GVI with respect to its regulatory functions.</w:t>
      </w:r>
    </w:p>
    <w:p>
      <w:pPr>
        <w:pBdr>
          <w:bottom w:val="single" w:color="C9A84C" w:sz="6" w:space="4"/>
        </w:pBdr>
        <w:spacing w:after="40" w:before="320"/>
      </w:pPr>
      <w:r>
        <w:rPr>
          <w:rFonts w:ascii="Calibri" w:cs="Calibri" w:eastAsia="Calibri" w:hAnsi="Calibri"/>
          <w:b/>
          <w:bCs/>
          <w:color w:val="1F4E79"/>
          <w:sz w:val="20"/>
          <w:szCs w:val="20"/>
        </w:rPr>
        <w:t xml:space="preserve">§ 5. Board of Directors.</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The Authority shall be governed by a Board of Directors consisting of seven (7) members appointed by the Governor with the advice and consent of the Legislature as follows:</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Two (2) members with professional expertise in electric utility regulation or energy economics;</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Two (2) members with professional expertise in cooperative governance, community development finance, or nonprofit management;</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One (1) member representing residential ratepayer interests, nominated by a process established by the Authority;</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One (1) member representing commercial and industrial ratepayer interests; and</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One (1) member with expertise in environmental sustainability, renewable energy, or telecommunications infrastructure.</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Board members shall serve staggered four-year terms. No Board member shall have a financial interest in WAPA, any CREC, any Submarine Cable System operator, or any entity regulated by the Authority during their term or for two (2) years following their service.</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Board members may be removed by the Governor only for cause, after notice and an opportunity to be heard, and with the concurrence of four-fifths of the Legislature.</w:t>
      </w:r>
    </w:p>
    <w:p>
      <w:pPr>
        <w:pBdr>
          <w:bottom w:val="single" w:color="C9A84C" w:sz="6" w:space="4"/>
        </w:pBdr>
        <w:spacing w:after="40" w:before="320"/>
      </w:pPr>
      <w:r>
        <w:rPr>
          <w:rFonts w:ascii="Calibri" w:cs="Calibri" w:eastAsia="Calibri" w:hAnsi="Calibri"/>
          <w:b/>
          <w:bCs/>
          <w:color w:val="1F4E79"/>
          <w:sz w:val="20"/>
          <w:szCs w:val="20"/>
        </w:rPr>
        <w:t xml:space="preserve">§ 6. Powers and Duties of the Authority.</w:t>
      </w:r>
    </w:p>
    <w:p>
      <w:pPr>
        <w:spacing w:after="160" w:before="0"/>
        <w:jc w:val="both"/>
      </w:pPr>
      <w:r>
        <w:rPr>
          <w:rFonts w:ascii="Calibri" w:cs="Calibri" w:eastAsia="Calibri" w:hAnsi="Calibri"/>
          <w:color w:val="1A1A1A"/>
          <w:sz w:val="20"/>
          <w:szCs w:val="20"/>
        </w:rPr>
        <w:t xml:space="preserve">The Authority shall have the power and duty to:</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Set and enforce the Cost-of-Service Rate for WAPA Genco wholesale electricity sales to CRECs;</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Set and enforce the Water Wholesale Rate for WAPA Genco wholesale water sales to CRECs;</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Commission, receive, and act upon the Prudence Review required under Section 10;</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Establish and enforce open access terms for use of the Transmission Grid;</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Set the grid rental fee payable by CRECs for use of the Transmission Grid;</w:t>
      </w:r>
    </w:p>
    <w:p>
      <w:pPr>
        <w:spacing w:after="160" w:before="0"/>
        <w:ind w:left="1200" w:hanging="480"/>
        <w:jc w:val="both"/>
      </w:pPr>
      <w:r>
        <w:rPr>
          <w:rFonts w:ascii="Calibri" w:cs="Calibri" w:eastAsia="Calibri" w:hAnsi="Calibri"/>
          <w:color w:val="1A1A1A"/>
          <w:sz w:val="20"/>
          <w:szCs w:val="20"/>
        </w:rPr>
        <w:t xml:space="preserve">(6) </w:t>
      </w:r>
      <w:r>
        <w:rPr>
          <w:rFonts w:ascii="Calibri" w:cs="Calibri" w:eastAsia="Calibri" w:hAnsi="Calibri"/>
          <w:color w:val="1A1A1A"/>
          <w:sz w:val="20"/>
          <w:szCs w:val="20"/>
        </w:rPr>
        <w:t xml:space="preserve">Charter, regulate, and oversee Community Rural Electric Cooperatives (CRECs) formed under this Act;</w:t>
      </w:r>
    </w:p>
    <w:p>
      <w:pPr>
        <w:spacing w:after="160" w:before="0"/>
        <w:ind w:left="1200" w:hanging="480"/>
        <w:jc w:val="both"/>
      </w:pPr>
      <w:r>
        <w:rPr>
          <w:rFonts w:ascii="Calibri" w:cs="Calibri" w:eastAsia="Calibri" w:hAnsi="Calibri"/>
          <w:color w:val="1A1A1A"/>
          <w:sz w:val="20"/>
          <w:szCs w:val="20"/>
        </w:rPr>
        <w:t xml:space="preserve">(7) </w:t>
      </w:r>
      <w:r>
        <w:rPr>
          <w:rFonts w:ascii="Calibri" w:cs="Calibri" w:eastAsia="Calibri" w:hAnsi="Calibri"/>
          <w:color w:val="1A1A1A"/>
          <w:sz w:val="20"/>
          <w:szCs w:val="20"/>
        </w:rPr>
        <w:t xml:space="preserve">Oversee the Holding Company during the transition period;</w:t>
      </w:r>
    </w:p>
    <w:p>
      <w:pPr>
        <w:spacing w:after="160" w:before="0"/>
        <w:ind w:left="1200" w:hanging="480"/>
        <w:jc w:val="both"/>
      </w:pPr>
      <w:r>
        <w:rPr>
          <w:rFonts w:ascii="Calibri" w:cs="Calibri" w:eastAsia="Calibri" w:hAnsi="Calibri"/>
          <w:color w:val="1A1A1A"/>
          <w:sz w:val="20"/>
          <w:szCs w:val="20"/>
        </w:rPr>
        <w:t xml:space="preserve">(8) </w:t>
      </w:r>
      <w:r>
        <w:rPr>
          <w:rFonts w:ascii="Calibri" w:cs="Calibri" w:eastAsia="Calibri" w:hAnsi="Calibri"/>
          <w:color w:val="1A1A1A"/>
          <w:sz w:val="20"/>
          <w:szCs w:val="20"/>
        </w:rPr>
        <w:t xml:space="preserve">Enforce competitive procurement requirements for WAPA Genco capital investments;</w:t>
      </w:r>
    </w:p>
    <w:p>
      <w:pPr>
        <w:spacing w:after="160" w:before="0"/>
        <w:ind w:left="1200" w:hanging="480"/>
        <w:jc w:val="both"/>
      </w:pPr>
      <w:r>
        <w:rPr>
          <w:rFonts w:ascii="Calibri" w:cs="Calibri" w:eastAsia="Calibri" w:hAnsi="Calibri"/>
          <w:color w:val="1A1A1A"/>
          <w:sz w:val="20"/>
          <w:szCs w:val="20"/>
        </w:rPr>
        <w:t xml:space="preserve">(9) </w:t>
      </w:r>
      <w:r>
        <w:rPr>
          <w:rFonts w:ascii="Calibri" w:cs="Calibri" w:eastAsia="Calibri" w:hAnsi="Calibri"/>
          <w:color w:val="1A1A1A"/>
          <w:sz w:val="20"/>
          <w:szCs w:val="20"/>
        </w:rPr>
        <w:t xml:space="preserve">Investigate ratepayer and member complaints against WAPA Genco or any CREC regarding electric service, water service, or Water Customer Services;</w:t>
      </w:r>
    </w:p>
    <w:p>
      <w:pPr>
        <w:spacing w:after="160" w:before="0"/>
        <w:ind w:left="1200" w:hanging="480"/>
        <w:jc w:val="both"/>
      </w:pPr>
      <w:r>
        <w:rPr>
          <w:rFonts w:ascii="Calibri" w:cs="Calibri" w:eastAsia="Calibri" w:hAnsi="Calibri"/>
          <w:color w:val="1A1A1A"/>
          <w:sz w:val="20"/>
          <w:szCs w:val="20"/>
        </w:rPr>
        <w:t xml:space="preserve">(10) </w:t>
      </w:r>
      <w:r>
        <w:rPr>
          <w:rFonts w:ascii="Calibri" w:cs="Calibri" w:eastAsia="Calibri" w:hAnsi="Calibri"/>
          <w:color w:val="1A1A1A"/>
          <w:sz w:val="20"/>
          <w:szCs w:val="20"/>
        </w:rPr>
        <w:t xml:space="preserve">Conduct and publish annual audits of WAPA Genco's electric generation cost components and water production cost components;</w:t>
      </w:r>
    </w:p>
    <w:p>
      <w:pPr>
        <w:spacing w:after="160" w:before="0"/>
        <w:ind w:left="1200" w:hanging="480"/>
        <w:jc w:val="both"/>
      </w:pPr>
      <w:r>
        <w:rPr>
          <w:rFonts w:ascii="Calibri" w:cs="Calibri" w:eastAsia="Calibri" w:hAnsi="Calibri"/>
          <w:color w:val="1A1A1A"/>
          <w:sz w:val="20"/>
          <w:szCs w:val="20"/>
        </w:rPr>
        <w:t xml:space="preserve">(11) </w:t>
      </w:r>
      <w:r>
        <w:rPr>
          <w:rFonts w:ascii="Calibri" w:cs="Calibri" w:eastAsia="Calibri" w:hAnsi="Calibri"/>
          <w:color w:val="1A1A1A"/>
          <w:sz w:val="20"/>
          <w:szCs w:val="20"/>
        </w:rPr>
        <w:t xml:space="preserve">Establish and enforce Water Customer Services standards, including meter reading accuracy, billing cycle requirements, dispute resolution timelines, and service connection procedures applicable to all CRECs;</w:t>
      </w:r>
    </w:p>
    <w:p>
      <w:pPr>
        <w:spacing w:after="160" w:before="0"/>
        <w:ind w:left="1200" w:hanging="480"/>
        <w:jc w:val="both"/>
      </w:pPr>
      <w:r>
        <w:rPr>
          <w:rFonts w:ascii="Calibri" w:cs="Calibri" w:eastAsia="Calibri" w:hAnsi="Calibri"/>
          <w:color w:val="1A1A1A"/>
          <w:sz w:val="20"/>
          <w:szCs w:val="20"/>
        </w:rPr>
        <w:t xml:space="preserve">(12) </w:t>
      </w:r>
      <w:r>
        <w:rPr>
          <w:rFonts w:ascii="Calibri" w:cs="Calibri" w:eastAsia="Calibri" w:hAnsi="Calibri"/>
          <w:color w:val="1A1A1A"/>
          <w:sz w:val="20"/>
          <w:szCs w:val="20"/>
        </w:rPr>
        <w:t xml:space="preserve">Establish and enforce pole attachment terms and rates for CREC broadband deployment on WAPA and successor infrastructure;</w:t>
      </w:r>
    </w:p>
    <w:p>
      <w:pPr>
        <w:spacing w:after="160" w:before="0"/>
        <w:ind w:left="1200" w:hanging="480"/>
        <w:jc w:val="both"/>
      </w:pPr>
      <w:r>
        <w:rPr>
          <w:rFonts w:ascii="Calibri" w:cs="Calibri" w:eastAsia="Calibri" w:hAnsi="Calibri"/>
          <w:color w:val="1A1A1A"/>
          <w:sz w:val="20"/>
          <w:szCs w:val="20"/>
        </w:rPr>
        <w:t xml:space="preserve">(13) </w:t>
      </w:r>
      <w:r>
        <w:rPr>
          <w:rFonts w:ascii="Calibri" w:cs="Calibri" w:eastAsia="Calibri" w:hAnsi="Calibri"/>
          <w:color w:val="1A1A1A"/>
          <w:sz w:val="20"/>
          <w:szCs w:val="20"/>
        </w:rPr>
        <w:t xml:space="preserve">Review and approve IRU agreements and Middle-Mile Infrastructure arrangements entered into by CRECs or a CREC consortium under Section 17A;</w:t>
      </w:r>
    </w:p>
    <w:p>
      <w:pPr>
        <w:spacing w:after="160" w:before="0"/>
        <w:ind w:left="1200" w:hanging="480"/>
        <w:jc w:val="both"/>
      </w:pPr>
      <w:r>
        <w:rPr>
          <w:rFonts w:ascii="Calibri" w:cs="Calibri" w:eastAsia="Calibri" w:hAnsi="Calibri"/>
          <w:color w:val="1A1A1A"/>
          <w:sz w:val="20"/>
          <w:szCs w:val="20"/>
        </w:rPr>
        <w:t xml:space="preserve">(14) </w:t>
      </w:r>
      <w:r>
        <w:rPr>
          <w:rFonts w:ascii="Calibri" w:cs="Calibri" w:eastAsia="Calibri" w:hAnsi="Calibri"/>
          <w:color w:val="1A1A1A"/>
          <w:sz w:val="20"/>
          <w:szCs w:val="20"/>
        </w:rPr>
        <w:t xml:space="preserve">Establish Open Access requirements for Middle-Mile Infrastructure funded in whole or in part by federal broadband grants;</w:t>
      </w:r>
    </w:p>
    <w:p>
      <w:pPr>
        <w:spacing w:after="160" w:before="0"/>
        <w:ind w:left="1200" w:hanging="480"/>
        <w:jc w:val="both"/>
      </w:pPr>
      <w:r>
        <w:rPr>
          <w:rFonts w:ascii="Calibri" w:cs="Calibri" w:eastAsia="Calibri" w:hAnsi="Calibri"/>
          <w:color w:val="1A1A1A"/>
          <w:sz w:val="20"/>
          <w:szCs w:val="20"/>
        </w:rPr>
        <w:t xml:space="preserve">(15) </w:t>
      </w:r>
      <w:r>
        <w:rPr>
          <w:rFonts w:ascii="Calibri" w:cs="Calibri" w:eastAsia="Calibri" w:hAnsi="Calibri"/>
          <w:color w:val="1A1A1A"/>
          <w:sz w:val="20"/>
          <w:szCs w:val="20"/>
        </w:rPr>
        <w:t xml:space="preserve">Coordinate with federal broadband agencies — including USDA, FCC, and NTIA — on behalf of CRECs to maximize federal broadband funding for the Territory;</w:t>
      </w:r>
    </w:p>
    <w:p>
      <w:pPr>
        <w:spacing w:after="160" w:before="0"/>
        <w:ind w:left="1200" w:hanging="480"/>
        <w:jc w:val="both"/>
      </w:pPr>
      <w:r>
        <w:rPr>
          <w:rFonts w:ascii="Calibri" w:cs="Calibri" w:eastAsia="Calibri" w:hAnsi="Calibri"/>
          <w:color w:val="1A1A1A"/>
          <w:sz w:val="20"/>
          <w:szCs w:val="20"/>
        </w:rPr>
        <w:t xml:space="preserve">(16) </w:t>
      </w:r>
      <w:r>
        <w:rPr>
          <w:rFonts w:ascii="Calibri" w:cs="Calibri" w:eastAsia="Calibri" w:hAnsi="Calibri"/>
          <w:color w:val="1A1A1A"/>
          <w:sz w:val="20"/>
          <w:szCs w:val="20"/>
        </w:rPr>
        <w:t xml:space="preserve">Report annually to the Legislature on the status of the restructuring transition, including renewable energy penetration, broadband deployment progress, Water Customer Services performance, federal funding received, and water wholesale rate adjustments; and</w:t>
      </w:r>
    </w:p>
    <w:p>
      <w:pPr>
        <w:spacing w:after="160" w:before="0"/>
        <w:ind w:left="1200" w:hanging="480"/>
        <w:jc w:val="both"/>
      </w:pPr>
      <w:r>
        <w:rPr>
          <w:rFonts w:ascii="Calibri" w:cs="Calibri" w:eastAsia="Calibri" w:hAnsi="Calibri"/>
          <w:color w:val="1A1A1A"/>
          <w:sz w:val="20"/>
          <w:szCs w:val="20"/>
        </w:rPr>
        <w:t xml:space="preserve">(17) </w:t>
      </w:r>
      <w:r>
        <w:rPr>
          <w:rFonts w:ascii="Calibri" w:cs="Calibri" w:eastAsia="Calibri" w:hAnsi="Calibri"/>
          <w:color w:val="1A1A1A"/>
          <w:sz w:val="20"/>
          <w:szCs w:val="20"/>
        </w:rPr>
        <w:t xml:space="preserve">Adopt rules and regulations necessary to carry out the purposes of this Act.</w:t>
      </w:r>
    </w:p>
    <w:p>
      <w:pPr>
        <w:pBdr>
          <w:bottom w:val="single" w:color="C9A84C" w:sz="6" w:space="4"/>
        </w:pBdr>
        <w:spacing w:after="40" w:before="320"/>
      </w:pPr>
      <w:r>
        <w:rPr>
          <w:rFonts w:ascii="Calibri" w:cs="Calibri" w:eastAsia="Calibri" w:hAnsi="Calibri"/>
          <w:b/>
          <w:bCs/>
          <w:color w:val="1F4E79"/>
          <w:sz w:val="20"/>
          <w:szCs w:val="20"/>
        </w:rPr>
        <w:t xml:space="preserve">§ 7. Funding.</w:t>
      </w:r>
    </w:p>
    <w:p>
      <w:pPr>
        <w:spacing w:after="160" w:before="0"/>
        <w:jc w:val="both"/>
      </w:pPr>
      <w:r>
        <w:rPr>
          <w:rFonts w:ascii="Calibri" w:cs="Calibri" w:eastAsia="Calibri" w:hAnsi="Calibri"/>
          <w:color w:val="1A1A1A"/>
          <w:sz w:val="20"/>
          <w:szCs w:val="20"/>
        </w:rPr>
        <w:t xml:space="preserve">The Authority shall be funded by annual assessments on WAPA Genco and on each CREC, allocated in proportion to their respective revenues from all services, including electricity, water, and broadband, as determined by the Board. The Authority shall not receive appropriations from GVI's general fund after the first fiscal year of operation, except upon a finding of financial emergency approved by two-thirds of the Legislature.</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III</w:t>
      </w:r>
    </w:p>
    <w:p>
      <w:pPr>
        <w:spacing w:after="160" w:before="0"/>
        <w:jc w:val="center"/>
      </w:pPr>
      <w:r>
        <w:rPr>
          <w:rFonts w:ascii="Calibri" w:cs="Calibri" w:eastAsia="Calibri" w:hAnsi="Calibri"/>
          <w:b/>
          <w:bCs/>
          <w:caps/>
          <w:color w:val="1F3864"/>
          <w:sz w:val="26"/>
          <w:szCs w:val="26"/>
        </w:rPr>
        <w:t xml:space="preserve">WAPA GENCO: GENERATION, WATER PRODUCTION, AND TRANSMISSION</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8. Establishment of WAPA Genco.</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Upon the effective date of this Act, WAPA's electrical generation, transmission, water production, and water transmission functions shall be reorganized as a separate operating division designated as WAPA Genco. WAPA Genco shall remain owned by WAPA and, through WAPA, by GVI.</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WAPA Genco shall operate the Territory's electrical generating plants, fuel procurement and storage facilities, high-voltage transmission infrastructure, water desalination plants, water storage facilities, and water transmission mains. WAPA Genco shall at all times maintain ownership and physical operation of all such plants and infrastructure, which shall not be transferred to any CREC or private entity under this Act.</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WAPA Genco shall sell electric power competitively to CRECs at the Cost-of-Service Rate established by the Authority. WAPA Genco shall produce potable water and sell it wholesale to CRECs at the Water Wholesale Rate established by the Authority. CRECs shall distribute water to member-customers and shall perform all Water Customer Services within their service territories through Disco's distribution infrastructure.</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WAPA Genco shall maintain separate books of account for: (i) electric generation and transmission; and (ii) water production and transmission. Each set of financial statements shall be subject to annual independent audit and published in full within ninety (90) days of each fiscal year end.</w:t>
      </w:r>
    </w:p>
    <w:p>
      <w:pPr>
        <w:pBdr>
          <w:bottom w:val="single" w:color="C9A84C" w:sz="6" w:space="4"/>
        </w:pBdr>
        <w:spacing w:after="40" w:before="320"/>
      </w:pPr>
      <w:r>
        <w:rPr>
          <w:rFonts w:ascii="Calibri" w:cs="Calibri" w:eastAsia="Calibri" w:hAnsi="Calibri"/>
          <w:b/>
          <w:bCs/>
          <w:color w:val="1F4E79"/>
          <w:sz w:val="20"/>
          <w:szCs w:val="20"/>
        </w:rPr>
        <w:t xml:space="preserve">§ 9. WAPA Genco Wholesale Rate Structure.</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b/>
          <w:bCs/>
          <w:i w:val="false"/>
          <w:iCs w:val="false"/>
          <w:color w:val="1A1A1A"/>
          <w:sz w:val="20"/>
          <w:szCs w:val="20"/>
        </w:rPr>
        <w:t xml:space="preserve">Electric Cost-of-Service Base Rate. </w:t>
      </w:r>
      <w:r>
        <w:rPr>
          <w:rFonts w:ascii="Calibri" w:cs="Calibri" w:eastAsia="Calibri" w:hAnsi="Calibri"/>
          <w:b w:val="false"/>
          <w:bCs w:val="false"/>
          <w:i w:val="false"/>
          <w:iCs w:val="false"/>
          <w:color w:val="1A1A1A"/>
          <w:sz w:val="20"/>
          <w:szCs w:val="20"/>
        </w:rPr>
        <w:t xml:space="preserve">WAPA Genco shall sell wholesale electricity to CRECs at the Cost-of-Service Rate as determined by the Authority following annual review of WAPA Genco's audited electric generation cost components. The Cost-of-Service Rate shall include only prudently incurred costs as defined in this Act.</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b/>
          <w:bCs/>
          <w:i w:val="false"/>
          <w:iCs w:val="false"/>
          <w:color w:val="1A1A1A"/>
          <w:sz w:val="20"/>
          <w:szCs w:val="20"/>
        </w:rPr>
        <w:t xml:space="preserve">Water Wholesale Rate. </w:t>
      </w:r>
      <w:r>
        <w:rPr>
          <w:rFonts w:ascii="Calibri" w:cs="Calibri" w:eastAsia="Calibri" w:hAnsi="Calibri"/>
          <w:b w:val="false"/>
          <w:bCs w:val="false"/>
          <w:i w:val="false"/>
          <w:iCs w:val="false"/>
          <w:color w:val="1A1A1A"/>
          <w:sz w:val="20"/>
          <w:szCs w:val="20"/>
        </w:rPr>
        <w:t xml:space="preserve">WAPA Genco shall sell potable water to CRECs at the Water Wholesale Rate as determined by the Authority following annual review of WAPA Genco's audited water production and transmission cost components. The Water Wholesale Rate shall be set separately from the electric Cost-of-Service Rate and shall include only prudently incurred costs of water desalination, treatment, storage, and transmission to CREC service points. CRECs shall add their own distribution, metering, billing, and customer service costs and establish member water rates subject to Authority approval.</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b/>
          <w:bCs/>
          <w:i w:val="false"/>
          <w:iCs w:val="false"/>
          <w:color w:val="1A1A1A"/>
          <w:sz w:val="20"/>
          <w:szCs w:val="20"/>
        </w:rPr>
        <w:t xml:space="preserve">Cost Component Transparency. </w:t>
      </w:r>
      <w:r>
        <w:rPr>
          <w:rFonts w:ascii="Calibri" w:cs="Calibri" w:eastAsia="Calibri" w:hAnsi="Calibri"/>
          <w:b w:val="false"/>
          <w:bCs w:val="false"/>
          <w:i w:val="false"/>
          <w:iCs w:val="false"/>
          <w:color w:val="1A1A1A"/>
          <w:sz w:val="20"/>
          <w:szCs w:val="20"/>
        </w:rPr>
        <w:t xml:space="preserve">WAPA Genco shall file with the Authority annually a complete cost component report disclosing, separately for electric and water functions: actual fuel procurement costs by fuel type; operations and maintenance expenditures; debt service by financing instrument; and capital expenditures. This report shall be publicly available.</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b/>
          <w:bCs/>
          <w:i w:val="false"/>
          <w:iCs w:val="false"/>
          <w:color w:val="1A1A1A"/>
          <w:sz w:val="20"/>
          <w:szCs w:val="20"/>
        </w:rPr>
        <w:t xml:space="preserve">Declining Electric Rate Schedule. </w:t>
      </w:r>
      <w:r>
        <w:rPr>
          <w:rFonts w:ascii="Calibri" w:cs="Calibri" w:eastAsia="Calibri" w:hAnsi="Calibri"/>
          <w:b w:val="false"/>
          <w:bCs w:val="false"/>
          <w:i w:val="false"/>
          <w:iCs w:val="false"/>
          <w:color w:val="1A1A1A"/>
          <w:sz w:val="20"/>
          <w:szCs w:val="20"/>
        </w:rPr>
        <w:t xml:space="preserve">The electric Cost-of-Service Rate shall be adjusted downward according to the following schedule, verified by an independent technical auditor appointed by the Authority:</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For each ten percent (10%) reduction in WAPA Genco's fossil fuel generation as a percentage of total electrical generation, the base wholesale rate shall be reduced by five percent (5%);</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Rate reductions are permanent and may not be reversed due to temporary increases in fossil fuel generation resulting from equipment failure, force majeure, or similar events; and</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Fossil fuel dependency percentages shall be calculated on a rolling twelve-month basis and certified by the independent technical auditor.</w:t>
      </w:r>
    </w:p>
    <w:p>
      <w:pPr>
        <w:spacing w:after="160" w:before="0"/>
        <w:ind w:left="720" w:hanging="480"/>
        <w:jc w:val="both"/>
      </w:pPr>
      <w:r>
        <w:rPr>
          <w:rFonts w:ascii="Calibri" w:cs="Calibri" w:eastAsia="Calibri" w:hAnsi="Calibri"/>
          <w:color w:val="1A1A1A"/>
          <w:sz w:val="20"/>
          <w:szCs w:val="20"/>
        </w:rPr>
        <w:t xml:space="preserve">(e) </w:t>
      </w:r>
      <w:r>
        <w:rPr>
          <w:rFonts w:ascii="Calibri" w:cs="Calibri" w:eastAsia="Calibri" w:hAnsi="Calibri"/>
          <w:b/>
          <w:bCs/>
          <w:i w:val="false"/>
          <w:iCs w:val="false"/>
          <w:color w:val="1A1A1A"/>
          <w:sz w:val="20"/>
          <w:szCs w:val="20"/>
        </w:rPr>
        <w:t xml:space="preserve">Net Metering Credit. </w:t>
      </w:r>
      <w:r>
        <w:rPr>
          <w:rFonts w:ascii="Calibri" w:cs="Calibri" w:eastAsia="Calibri" w:hAnsi="Calibri"/>
          <w:b w:val="false"/>
          <w:bCs w:val="false"/>
          <w:i w:val="false"/>
          <w:iCs w:val="false"/>
          <w:color w:val="1A1A1A"/>
          <w:sz w:val="20"/>
          <w:szCs w:val="20"/>
        </w:rPr>
        <w:t xml:space="preserve">A CREC that generates electricity from renewable sources and delivers surplus power to the Transmission Grid shall receive a net metering credit against its grid rental fee, at a rate determined by the Authority to reflect the avoided cost to WAPA Genco of that surplus generation.</w:t>
      </w:r>
    </w:p>
    <w:p>
      <w:pPr>
        <w:spacing w:after="160" w:before="0"/>
        <w:ind w:left="720" w:hanging="480"/>
        <w:jc w:val="both"/>
      </w:pPr>
      <w:r>
        <w:rPr>
          <w:rFonts w:ascii="Calibri" w:cs="Calibri" w:eastAsia="Calibri" w:hAnsi="Calibri"/>
          <w:color w:val="1A1A1A"/>
          <w:sz w:val="20"/>
          <w:szCs w:val="20"/>
        </w:rPr>
        <w:t xml:space="preserve">(f) </w:t>
      </w:r>
      <w:r>
        <w:rPr>
          <w:rFonts w:ascii="Calibri" w:cs="Calibri" w:eastAsia="Calibri" w:hAnsi="Calibri"/>
          <w:b/>
          <w:bCs/>
          <w:i w:val="false"/>
          <w:iCs w:val="false"/>
          <w:color w:val="1A1A1A"/>
          <w:sz w:val="20"/>
          <w:szCs w:val="20"/>
        </w:rPr>
        <w:t xml:space="preserve">Commercial Customer Benchmark. </w:t>
      </w:r>
      <w:r>
        <w:rPr>
          <w:rFonts w:ascii="Calibri" w:cs="Calibri" w:eastAsia="Calibri" w:hAnsi="Calibri"/>
          <w:b w:val="false"/>
          <w:bCs w:val="false"/>
          <w:i w:val="false"/>
          <w:iCs w:val="false"/>
          <w:color w:val="1A1A1A"/>
          <w:sz w:val="20"/>
          <w:szCs w:val="20"/>
        </w:rPr>
        <w:t xml:space="preserve">The rate charged by WAPA Genco to large industrial and commercial customers served directly shall be filed with and approved by the Authority. If the wholesale rate charged to CRECs exceeds the equivalent rate charged to direct commercial customers on a per-unit energy basis, any CREC shall have standing to challenge the wholesale rate as discriminatory before the Authority.</w:t>
      </w:r>
    </w:p>
    <w:p>
      <w:pPr>
        <w:spacing w:after="160" w:before="0"/>
        <w:ind w:left="720" w:hanging="480"/>
        <w:jc w:val="both"/>
      </w:pPr>
      <w:r>
        <w:rPr>
          <w:rFonts w:ascii="Calibri" w:cs="Calibri" w:eastAsia="Calibri" w:hAnsi="Calibri"/>
          <w:color w:val="1A1A1A"/>
          <w:sz w:val="20"/>
          <w:szCs w:val="20"/>
        </w:rPr>
        <w:t xml:space="preserve">(g) </w:t>
      </w:r>
      <w:r>
        <w:rPr>
          <w:rFonts w:ascii="Calibri" w:cs="Calibri" w:eastAsia="Calibri" w:hAnsi="Calibri"/>
          <w:b/>
          <w:bCs/>
          <w:i w:val="false"/>
          <w:iCs w:val="false"/>
          <w:color w:val="1A1A1A"/>
          <w:sz w:val="20"/>
          <w:szCs w:val="20"/>
        </w:rPr>
        <w:t xml:space="preserve">Competitive Procurement. </w:t>
      </w:r>
      <w:r>
        <w:rPr>
          <w:rFonts w:ascii="Calibri" w:cs="Calibri" w:eastAsia="Calibri" w:hAnsi="Calibri"/>
          <w:b w:val="false"/>
          <w:bCs w:val="false"/>
          <w:i w:val="false"/>
          <w:iCs w:val="false"/>
          <w:color w:val="1A1A1A"/>
          <w:sz w:val="20"/>
          <w:szCs w:val="20"/>
        </w:rPr>
        <w:t xml:space="preserve">Any WAPA Genco capital investment exceeding five million dollars ($5,000,000) — whether for electric generation, water production, or shared infrastructure — shall be subject to competitive procurement and independent review by the Authority prior to commitment. Contracts awarded without compliance with this subsection shall not be eligible for inclusion in the Cost-of-Service Rate or Water Wholesale Rate base.</w:t>
      </w:r>
    </w:p>
    <w:p>
      <w:pPr>
        <w:pBdr>
          <w:bottom w:val="single" w:color="C9A84C" w:sz="6" w:space="4"/>
        </w:pBdr>
        <w:spacing w:after="40" w:before="320"/>
      </w:pPr>
      <w:r>
        <w:rPr>
          <w:rFonts w:ascii="Calibri" w:cs="Calibri" w:eastAsia="Calibri" w:hAnsi="Calibri"/>
          <w:b/>
          <w:bCs/>
          <w:color w:val="1F4E79"/>
          <w:sz w:val="20"/>
          <w:szCs w:val="20"/>
        </w:rPr>
        <w:t xml:space="preserve">§ 10. Propane Conversion Prudence Review.</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Within one hundred eighty (180) days of the effective date of this Act, the Authority shall commission an independent Prudence Review of the Propane Conversion Investment. The reviewer shall be a qualified independent utility rate consultant with no prior relationship to WAPA, GVI, or any contractor involved in the Propane Conversion Investment.</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Prudence Review shall examine and report on:</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Whether the decision to proceed was consistent with the standard of care of a prudent utility manager at the time the decision was made;</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Whether procurement complied with applicable law and followed competitive processes;</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The actual cost compared to independent estimates for comparable projects;</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Whether the investment has delivered the cost savings and reliability improvements represented at the time of approval; and</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The current fair market value and remaining useful life of the propane generation infrastructure.</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Based on the Prudence Review findings, the Authority shall determine the portion of the Propane Conversion Investment eligible for inclusion in the Cost-of-Service Rate base. Costs found to be imprudently incurred shall not be recovered from CREC ratepayers. Disallowed costs shall be reported to the Legislature with recommendations for accountability measures.</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No WAPA Genco Cost-of-Service Rate that includes debt service on the Propane Conversion Investment shall take effect until the Prudence Review is complete and the Authority has issued its determination under subsection (c).</w:t>
      </w:r>
    </w:p>
    <w:p>
      <w:pPr>
        <w:pBdr>
          <w:bottom w:val="single" w:color="C9A84C" w:sz="6" w:space="4"/>
        </w:pBdr>
        <w:spacing w:after="40" w:before="320"/>
      </w:pPr>
      <w:r>
        <w:rPr>
          <w:rFonts w:ascii="Calibri" w:cs="Calibri" w:eastAsia="Calibri" w:hAnsi="Calibri"/>
          <w:b/>
          <w:bCs/>
          <w:color w:val="1F4E79"/>
          <w:sz w:val="20"/>
          <w:szCs w:val="20"/>
        </w:rPr>
        <w:t xml:space="preserve">§ 11. Open Access Transmission and Pole Attachments.</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WAPA Genco shall provide open, non-discriminatory access to the Transmission Grid to all CRECs and any independent power producer licensed by the Authority, on terms and at rates approved by the Authority.</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grid rental fee payable by CRECs for use of the Transmission Grid shall reflect the actual cost of grid maintenance, operation, and capital recovery only, and shall not include any allocation of WAPA Genco generation costs.</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WAPA Genco shall not unreasonably delay, condition, or deny interconnection to the Transmission Grid for any CREC microgrid or distributed generation facility. Disputes regarding interconnection shall be resolved by the Authority within sixty (60) days of filing.</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b/>
          <w:bCs/>
          <w:i w:val="false"/>
          <w:iCs w:val="false"/>
          <w:color w:val="1A1A1A"/>
          <w:sz w:val="20"/>
          <w:szCs w:val="20"/>
        </w:rPr>
        <w:t xml:space="preserve">Pole Attachment Rights. </w:t>
      </w:r>
      <w:r>
        <w:rPr>
          <w:rFonts w:ascii="Calibri" w:cs="Calibri" w:eastAsia="Calibri" w:hAnsi="Calibri"/>
          <w:b w:val="false"/>
          <w:bCs w:val="false"/>
          <w:i w:val="false"/>
          <w:iCs w:val="false"/>
          <w:color w:val="1A1A1A"/>
          <w:sz w:val="20"/>
          <w:szCs w:val="20"/>
        </w:rPr>
        <w:t xml:space="preserve">Upon transfer of Disco assets to the Holding Company or to a CREC, all WAPA distribution poles, conduit, and associated infrastructure transferred as part of that transaction shall be available for CREC broadband deployment on the following terms:</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Each CREC shall have the right to attach broadband fiber, conduit, and associated equipment to poles within its service territory at rates set by the Authority consistent with the federal Pole Attachment Act, 47 U.S.C. § 224, to the extent applicable, and with rates designed to promote rather than impede deployment;</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Pole attachment rates shall not be set at levels that make last-mile fiber deployment by CRECs economically infeasible;</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Disputes regarding pole attachment terms, make-ready requirements, or access denials shall be resolved by the Authority within forty-five (45) days of filing; and</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Third-party telecommunications providers may also seek pole attachment rights on terms approved by the Authority, on an Open Access basis, to promote competition in broadband service throughout the Territory.</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IV</w:t>
      </w:r>
    </w:p>
    <w:p>
      <w:pPr>
        <w:spacing w:after="160" w:before="0"/>
        <w:jc w:val="center"/>
      </w:pPr>
      <w:r>
        <w:rPr>
          <w:rFonts w:ascii="Calibri" w:cs="Calibri" w:eastAsia="Calibri" w:hAnsi="Calibri"/>
          <w:b/>
          <w:bCs/>
          <w:caps/>
          <w:color w:val="1F3864"/>
          <w:sz w:val="26"/>
          <w:szCs w:val="26"/>
        </w:rPr>
        <w:t xml:space="preserve">DISCO: DISTRIBUTION TRANSITION</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12. Asset Inventory and Holding Company.</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Within ninety (90) days of the effective date of this Act, WAPA shall complete a comprehensive inventory of all Disco assets, including electric distribution infrastructure, water distribution infrastructure from WAPA Genco's transmission mains to member service points, substations, electric meters, water meters, vehicles, equipment, conduit, pole attachments, electric customer accounts, water customer accounts, billing records, customer service records, and associated liabilities. The inventory shall identify all pole and conduit assets suitable for broadband co-deployment. The inventory shall be independently verified and filed with the Authority.</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Upon completion and verification of the asset inventory, WAPA shall transfer the Disco assets — including both electric and water distribution infrastructure and all customer account records — to a Holding Company established by GVI, subject to the terms of this Act and the approval of the Authority.</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The Holding Company shall be governed by a board appointed by the Authority and shall operate Disco assets in trust for transfer to CRECs. The Holding Company shall maintain Disco assets in good operating condition and shall not incur new long-term obligations without Authority approval.</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Existing WAPA bond covenants and debt obligations shall be reviewed by the Authority prior to the Disco asset transfer. The Authority shall develop a plan to address any triggered provisions in consultation with GVI and bondholders.</w:t>
      </w:r>
    </w:p>
    <w:p>
      <w:pPr>
        <w:pBdr>
          <w:bottom w:val="single" w:color="C9A84C" w:sz="6" w:space="4"/>
        </w:pBdr>
        <w:spacing w:after="40" w:before="320"/>
      </w:pPr>
      <w:r>
        <w:rPr>
          <w:rFonts w:ascii="Calibri" w:cs="Calibri" w:eastAsia="Calibri" w:hAnsi="Calibri"/>
          <w:b/>
          <w:bCs/>
          <w:color w:val="1F4E79"/>
          <w:sz w:val="20"/>
          <w:szCs w:val="20"/>
        </w:rPr>
        <w:t xml:space="preserve">§ 12A. Water Customer Services Devolution Through Disco.</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As part of the Disco asset transfer, responsibility for all Water Customer Services within each CREC service territory shall be devolved from WAPA to each CREC, delivered through Disco's water distribution infrastructure. Water Customer Services devolved to CRECs shall include:</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Water meter reading — each CREC shall read all customer water meters within its service territory on a billing cycle established by the CREC and approved by the Authority;</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Water billing — each CREC shall issue bills to member-customers for water service, which may be consolidated with electric service billing into a unified member bill; water charges collected by the CREC shall be remitted to WAPA Genco at the Water Wholesale Rate, net of the CREC's approved water distribution, metering, and customer service costs;</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Water customer service — each CREC shall operate a local customer service function handling all water service inquiries, billing disputes, payment arrangements, and service quality complaints for accounts within its territory;</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New water service connections — each CREC shall process applications for new water service connections within its territory and shall coordinate with Disco and WAPA Genco for physical connection to the distribution system; and</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Water service disconnections and restorations — each CREC shall administer disconnection for non-payment and service restoration in accordance with standards established by the Authority, consistent with member protections required under Section 15.</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Disco shall remain responsible for physical maintenance and capital repair of water distribution infrastructure from WAPA Genco's transmission mains to CREC service territory boundaries. CRECs shall be responsible for last-mile water distribution infrastructure within their service territories, as defined in the asset transfer agreement approved by the Authority.</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The Authority shall promulgate Water Customer Services standards applicable to all CRECs within one hundred twenty (120) days of the effective date of this Act, establishing minimum requirements for meter reading accuracy, billing transparency, dispute resolution timelines, low-income protections, and service quality reporting.</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Each CREC shall report Water Customer Services performance data to the Authority quarterly, including meter read rates, billing accuracy rates, dispute resolution outcomes, and service connection and disconnection statistics. The Authority shall publish this data for each CREC annually.</w:t>
      </w:r>
    </w:p>
    <w:p>
      <w:pPr>
        <w:pBdr>
          <w:bottom w:val="single" w:color="C9A84C" w:sz="6" w:space="4"/>
        </w:pBdr>
        <w:spacing w:after="40" w:before="320"/>
      </w:pPr>
      <w:r>
        <w:rPr>
          <w:rFonts w:ascii="Calibri" w:cs="Calibri" w:eastAsia="Calibri" w:hAnsi="Calibri"/>
          <w:b/>
          <w:bCs/>
          <w:color w:val="1F4E79"/>
          <w:sz w:val="20"/>
          <w:szCs w:val="20"/>
        </w:rPr>
        <w:t xml:space="preserve">§ 13. Legacy Debt.</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Subject to the completion of the Prudence Review under Section 10, GVI may assume WAPA's Legacy Debt in exchange for the transfer of Disco assets to the Holding Company and ultimately to CRECs. Any such assumption shall be authorized by the Legislature.</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Legacy Debt assumed by GVI may be refinanced through the USVI Public Finance Authority using revenue bonds backed by WAPA Genco revenues — from both electric wholesale and water wholesale sales — and CREC grid rental fees, subject to legislative authorization.</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No Legacy Debt attributable to imprudently incurred costs as determined under the Prudence Review shall be assumed by GVI without specific legislative authorization and a finding that such assumption is in the public interest.</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V</w:t>
      </w:r>
    </w:p>
    <w:p>
      <w:pPr>
        <w:spacing w:after="160" w:before="0"/>
        <w:jc w:val="center"/>
      </w:pPr>
      <w:r>
        <w:rPr>
          <w:rFonts w:ascii="Calibri" w:cs="Calibri" w:eastAsia="Calibri" w:hAnsi="Calibri"/>
          <w:b/>
          <w:bCs/>
          <w:caps/>
          <w:color w:val="1F3864"/>
          <w:sz w:val="26"/>
          <w:szCs w:val="26"/>
        </w:rPr>
        <w:t xml:space="preserve">COMMUNITY RURAL ELECTRIC COOPERATIVES (CRECs)</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14. Authorization and Formation.</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Community Rural Electric Cooperatives (CRECs) are hereby authorized to be formed under the laws of the Territory as nonprofit cooperative corporations, consistent with the Rural Electrification Act of 1936, as amended, and the Public Utility Regulatory Policies Act of 1978.</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Authority shall establish by rule, within one hundred twenty (120) days of the effective date of this Act, the minimum requirements for CREC formation, including minimum service territory size, minimum membership, and minimum capitalization.</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The following service territories are established as the initial framework, subject to adjustment by the Authority based on financial viability criteria:</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One CREC for each historic town in the Territory designated by the Authority;</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One CREC on each island to serve suburban areas; and</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One CREC on each island to serve rural areas and large industrial and commercial customers.</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The Authority may consolidate proposed service territories where independent financial viability cannot be demonstrated, and may authorize subdivision upon demonstration of sufficient financial strength.</w:t>
      </w:r>
    </w:p>
    <w:p>
      <w:pPr>
        <w:spacing w:after="160" w:before="0"/>
        <w:ind w:left="720" w:hanging="480"/>
        <w:jc w:val="both"/>
      </w:pPr>
      <w:r>
        <w:rPr>
          <w:rFonts w:ascii="Calibri" w:cs="Calibri" w:eastAsia="Calibri" w:hAnsi="Calibri"/>
          <w:color w:val="1A1A1A"/>
          <w:sz w:val="20"/>
          <w:szCs w:val="20"/>
        </w:rPr>
        <w:t xml:space="preserve">(e) </w:t>
      </w:r>
      <w:r>
        <w:rPr>
          <w:rFonts w:ascii="Calibri" w:cs="Calibri" w:eastAsia="Calibri" w:hAnsi="Calibri"/>
          <w:color w:val="1A1A1A"/>
          <w:sz w:val="20"/>
          <w:szCs w:val="20"/>
        </w:rPr>
        <w:t xml:space="preserve">CRECs shall be formed no later than eighteen (18) months after the effective date of this Act, in order to establish legal standing for federal grant applications, IRU negotiations, and financing.</w:t>
      </w:r>
    </w:p>
    <w:p>
      <w:pPr>
        <w:pBdr>
          <w:bottom w:val="single" w:color="C9A84C" w:sz="6" w:space="4"/>
        </w:pBdr>
        <w:spacing w:after="40" w:before="320"/>
      </w:pPr>
      <w:r>
        <w:rPr>
          <w:rFonts w:ascii="Calibri" w:cs="Calibri" w:eastAsia="Calibri" w:hAnsi="Calibri"/>
          <w:b/>
          <w:bCs/>
          <w:color w:val="1F4E79"/>
          <w:sz w:val="20"/>
          <w:szCs w:val="20"/>
        </w:rPr>
        <w:t xml:space="preserve">§ 15. CREC Governance.</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Each CREC shall be governed by a Board of Directors elected by and from among its member-customers. Board elections shall be conducted by secret ballot, with each member entitled to one (1) vote regardless of consumption level.</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No current or former employee of WAPA, GVI official, or elected official shall serve on a CREC Board during the transition period without a two-year cooling-off period.</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Each CREC shall adopt bylaws consistent with model bylaws promulgated by the Authority, addressing member rights, board elections, capital credit allocation, disconnection policies, dispute resolution for both electric and water services, and financial reporting.</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Each CREC shall publish annual financial statements independently audited by a certified public accountant, available to all members without charge. Financial statements shall separately present electric service revenues and costs, water service revenues and costs, and broadband service revenues and costs.</w:t>
      </w:r>
    </w:p>
    <w:p>
      <w:pPr>
        <w:pBdr>
          <w:bottom w:val="single" w:color="C9A84C" w:sz="6" w:space="4"/>
        </w:pBdr>
        <w:spacing w:after="40" w:before="320"/>
      </w:pPr>
      <w:r>
        <w:rPr>
          <w:rFonts w:ascii="Calibri" w:cs="Calibri" w:eastAsia="Calibri" w:hAnsi="Calibri"/>
          <w:b/>
          <w:bCs/>
          <w:color w:val="1F4E79"/>
          <w:sz w:val="20"/>
          <w:szCs w:val="20"/>
        </w:rPr>
        <w:t xml:space="preserve">§ 16. CREC Powers.</w:t>
      </w:r>
    </w:p>
    <w:p>
      <w:pPr>
        <w:spacing w:after="160" w:before="0"/>
        <w:jc w:val="both"/>
      </w:pPr>
      <w:r>
        <w:rPr>
          <w:rFonts w:ascii="Calibri" w:cs="Calibri" w:eastAsia="Calibri" w:hAnsi="Calibri"/>
          <w:color w:val="1A1A1A"/>
          <w:sz w:val="20"/>
          <w:szCs w:val="20"/>
        </w:rPr>
        <w:t xml:space="preserve">Each Community Rural Electric Cooperative (CREC) formed under this Act shall have the power to:</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Generate, purchase, transmit, distribute, and sell electricity to its members and eligible customers within its service territory;</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Own, develop, finance, and operate microgrids, solar generation facilities, battery storage systems, wind generation, and other distributed energy resources;</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Enter into power purchase agreements with any independent power producer or FERC-qualified facility;</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Aggregate member demand for wholesale electricity purchasing from WAPA Genco or alternative suppliers;</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Participate in demand response and grid services programs;</w:t>
      </w:r>
    </w:p>
    <w:p>
      <w:pPr>
        <w:spacing w:after="160" w:before="0"/>
        <w:ind w:left="1200" w:hanging="480"/>
        <w:jc w:val="both"/>
      </w:pPr>
      <w:r>
        <w:rPr>
          <w:rFonts w:ascii="Calibri" w:cs="Calibri" w:eastAsia="Calibri" w:hAnsi="Calibri"/>
          <w:color w:val="1A1A1A"/>
          <w:sz w:val="20"/>
          <w:szCs w:val="20"/>
        </w:rPr>
        <w:t xml:space="preserve">(6) </w:t>
      </w:r>
      <w:r>
        <w:rPr>
          <w:rFonts w:ascii="Calibri" w:cs="Calibri" w:eastAsia="Calibri" w:hAnsi="Calibri"/>
          <w:color w:val="1A1A1A"/>
          <w:sz w:val="20"/>
          <w:szCs w:val="20"/>
        </w:rPr>
        <w:t xml:space="preserve">Develop and operate electric vehicle charging infrastructure;</w:t>
      </w:r>
    </w:p>
    <w:p>
      <w:pPr>
        <w:spacing w:after="160" w:before="0"/>
        <w:ind w:left="1200" w:hanging="480"/>
        <w:jc w:val="both"/>
      </w:pPr>
      <w:r>
        <w:rPr>
          <w:rFonts w:ascii="Calibri" w:cs="Calibri" w:eastAsia="Calibri" w:hAnsi="Calibri"/>
          <w:color w:val="1A1A1A"/>
          <w:sz w:val="20"/>
          <w:szCs w:val="20"/>
        </w:rPr>
        <w:t xml:space="preserve">(7) </w:t>
      </w:r>
      <w:r>
        <w:rPr>
          <w:rFonts w:ascii="Calibri" w:cs="Calibri" w:eastAsia="Calibri" w:hAnsi="Calibri"/>
          <w:color w:val="1A1A1A"/>
          <w:sz w:val="20"/>
          <w:szCs w:val="20"/>
        </w:rPr>
        <w:t xml:space="preserve">Issue tax-exempt bonds and other debt instruments consistent with nonprofit cooperative status;</w:t>
      </w:r>
    </w:p>
    <w:p>
      <w:pPr>
        <w:spacing w:after="160" w:before="0"/>
        <w:ind w:left="1200" w:hanging="480"/>
        <w:jc w:val="both"/>
      </w:pPr>
      <w:r>
        <w:rPr>
          <w:rFonts w:ascii="Calibri" w:cs="Calibri" w:eastAsia="Calibri" w:hAnsi="Calibri"/>
          <w:color w:val="1A1A1A"/>
          <w:sz w:val="20"/>
          <w:szCs w:val="20"/>
        </w:rPr>
        <w:t xml:space="preserve">(8) </w:t>
      </w:r>
      <w:r>
        <w:rPr>
          <w:rFonts w:ascii="Calibri" w:cs="Calibri" w:eastAsia="Calibri" w:hAnsi="Calibri"/>
          <w:color w:val="1A1A1A"/>
          <w:sz w:val="20"/>
          <w:szCs w:val="20"/>
        </w:rPr>
        <w:t xml:space="preserve">Apply for and receive federal grants, loans, and tax credits directly, including from FEMA, DOE, HUD, USDA, FCC, and NTIA;</w:t>
      </w:r>
    </w:p>
    <w:p>
      <w:pPr>
        <w:spacing w:after="160" w:before="0"/>
        <w:ind w:left="1200" w:hanging="480"/>
        <w:jc w:val="both"/>
      </w:pPr>
      <w:r>
        <w:rPr>
          <w:rFonts w:ascii="Calibri" w:cs="Calibri" w:eastAsia="Calibri" w:hAnsi="Calibri"/>
          <w:color w:val="1A1A1A"/>
          <w:sz w:val="20"/>
          <w:szCs w:val="20"/>
        </w:rPr>
        <w:t xml:space="preserve">(9) </w:t>
      </w:r>
      <w:r>
        <w:rPr>
          <w:rFonts w:ascii="Calibri" w:cs="Calibri" w:eastAsia="Calibri" w:hAnsi="Calibri"/>
          <w:color w:val="1A1A1A"/>
          <w:sz w:val="20"/>
          <w:szCs w:val="20"/>
        </w:rPr>
        <w:t xml:space="preserve">Establish reserve funds, capital credit programs, and member equity accounts covering electric, water, and broadband services;</w:t>
      </w:r>
    </w:p>
    <w:p>
      <w:pPr>
        <w:spacing w:after="160" w:before="0"/>
        <w:ind w:left="1200" w:hanging="480"/>
        <w:jc w:val="both"/>
      </w:pPr>
      <w:r>
        <w:rPr>
          <w:rFonts w:ascii="Calibri" w:cs="Calibri" w:eastAsia="Calibri" w:hAnsi="Calibri"/>
          <w:color w:val="1A1A1A"/>
          <w:sz w:val="20"/>
          <w:szCs w:val="20"/>
        </w:rPr>
        <w:t xml:space="preserve">(10) </w:t>
      </w:r>
      <w:r>
        <w:rPr>
          <w:rFonts w:ascii="Calibri" w:cs="Calibri" w:eastAsia="Calibri" w:hAnsi="Calibri"/>
          <w:color w:val="1A1A1A"/>
          <w:sz w:val="20"/>
          <w:szCs w:val="20"/>
        </w:rPr>
        <w:t xml:space="preserve">Purchase potable water wholesale from WAPA Genco through Disco's distribution infrastructure and distribute it to member-customers within the CREC's service territory;</w:t>
      </w:r>
    </w:p>
    <w:p>
      <w:pPr>
        <w:spacing w:after="160" w:before="0"/>
        <w:ind w:left="1200" w:hanging="480"/>
        <w:jc w:val="both"/>
      </w:pPr>
      <w:r>
        <w:rPr>
          <w:rFonts w:ascii="Calibri" w:cs="Calibri" w:eastAsia="Calibri" w:hAnsi="Calibri"/>
          <w:color w:val="1A1A1A"/>
          <w:sz w:val="20"/>
          <w:szCs w:val="20"/>
        </w:rPr>
        <w:t xml:space="preserve">(11) </w:t>
      </w:r>
      <w:r>
        <w:rPr>
          <w:rFonts w:ascii="Calibri" w:cs="Calibri" w:eastAsia="Calibri" w:hAnsi="Calibri"/>
          <w:color w:val="1A1A1A"/>
          <w:sz w:val="20"/>
          <w:szCs w:val="20"/>
        </w:rPr>
        <w:t xml:space="preserve">Perform all Water Customer Services within the CREC's service territory, including water meter reading, billing, customer service, new service connections, and disconnections, as further specified in Section 12A;</w:t>
      </w:r>
    </w:p>
    <w:p>
      <w:pPr>
        <w:spacing w:after="160" w:before="0"/>
        <w:ind w:left="1200" w:hanging="480"/>
        <w:jc w:val="both"/>
      </w:pPr>
      <w:r>
        <w:rPr>
          <w:rFonts w:ascii="Calibri" w:cs="Calibri" w:eastAsia="Calibri" w:hAnsi="Calibri"/>
          <w:color w:val="1A1A1A"/>
          <w:sz w:val="20"/>
          <w:szCs w:val="20"/>
        </w:rPr>
        <w:t xml:space="preserve">(12) </w:t>
      </w:r>
      <w:r>
        <w:rPr>
          <w:rFonts w:ascii="Calibri" w:cs="Calibri" w:eastAsia="Calibri" w:hAnsi="Calibri"/>
          <w:color w:val="1A1A1A"/>
          <w:sz w:val="20"/>
          <w:szCs w:val="20"/>
        </w:rPr>
        <w:t xml:space="preserve">Issue a unified electric and water bill to member-customers and collect water charges on behalf of WAPA Genco at rates reflecting the Water Wholesale Rate plus approved CREC water distribution and customer service costs;</w:t>
      </w:r>
    </w:p>
    <w:p>
      <w:pPr>
        <w:spacing w:after="160" w:before="0"/>
        <w:ind w:left="1200" w:hanging="480"/>
        <w:jc w:val="both"/>
      </w:pPr>
      <w:r>
        <w:rPr>
          <w:rFonts w:ascii="Calibri" w:cs="Calibri" w:eastAsia="Calibri" w:hAnsi="Calibri"/>
          <w:color w:val="1A1A1A"/>
          <w:sz w:val="20"/>
          <w:szCs w:val="20"/>
        </w:rPr>
        <w:t xml:space="preserve">(13) </w:t>
      </w:r>
      <w:r>
        <w:rPr>
          <w:rFonts w:ascii="Calibri" w:cs="Calibri" w:eastAsia="Calibri" w:hAnsi="Calibri"/>
          <w:color w:val="1A1A1A"/>
          <w:sz w:val="20"/>
          <w:szCs w:val="20"/>
        </w:rPr>
        <w:t xml:space="preserve">Build, own, and operate Last-Mile Infrastructure for the delivery of Broadband Services to members, including fiber optic cable, fixed wireless access points, conduit, and associated equipment deployed on CREC poles and along CREC rights-of-way;</w:t>
      </w:r>
    </w:p>
    <w:p>
      <w:pPr>
        <w:spacing w:after="160" w:before="0"/>
        <w:ind w:left="1200" w:hanging="480"/>
        <w:jc w:val="both"/>
      </w:pPr>
      <w:r>
        <w:rPr>
          <w:rFonts w:ascii="Calibri" w:cs="Calibri" w:eastAsia="Calibri" w:hAnsi="Calibri"/>
          <w:color w:val="1A1A1A"/>
          <w:sz w:val="20"/>
          <w:szCs w:val="20"/>
        </w:rPr>
        <w:t xml:space="preserve">(14) </w:t>
      </w:r>
      <w:r>
        <w:rPr>
          <w:rFonts w:ascii="Calibri" w:cs="Calibri" w:eastAsia="Calibri" w:hAnsi="Calibri"/>
          <w:color w:val="1A1A1A"/>
          <w:sz w:val="20"/>
          <w:szCs w:val="20"/>
        </w:rPr>
        <w:t xml:space="preserve">Negotiate, execute, and hold Indefeasible Rights of Use on Submarine Cable Systems and terrestrial backbone fiber, individually or in consortium with other CRECs, to secure backbone broadband capacity for the delivery of Broadband Services to members;</w:t>
      </w:r>
    </w:p>
    <w:p>
      <w:pPr>
        <w:spacing w:after="160" w:before="0"/>
        <w:ind w:left="1200" w:hanging="480"/>
        <w:jc w:val="both"/>
      </w:pPr>
      <w:r>
        <w:rPr>
          <w:rFonts w:ascii="Calibri" w:cs="Calibri" w:eastAsia="Calibri" w:hAnsi="Calibri"/>
          <w:color w:val="1A1A1A"/>
          <w:sz w:val="20"/>
          <w:szCs w:val="20"/>
        </w:rPr>
        <w:t xml:space="preserve">(15) </w:t>
      </w:r>
      <w:r>
        <w:rPr>
          <w:rFonts w:ascii="Calibri" w:cs="Calibri" w:eastAsia="Calibri" w:hAnsi="Calibri"/>
          <w:color w:val="1A1A1A"/>
          <w:sz w:val="20"/>
          <w:szCs w:val="20"/>
        </w:rPr>
        <w:t xml:space="preserve">Develop, own, and operate Middle-Mile Infrastructure connecting Submarine Cable System landing stations to CREC Last-Mile Infrastructure networks, and make such Middle-Mile Infrastructure available on Open Access terms to other carriers where required by federal broadband funding conditions;</w:t>
      </w:r>
    </w:p>
    <w:p>
      <w:pPr>
        <w:spacing w:after="160" w:before="0"/>
        <w:ind w:left="1200" w:hanging="480"/>
        <w:jc w:val="both"/>
      </w:pPr>
      <w:r>
        <w:rPr>
          <w:rFonts w:ascii="Calibri" w:cs="Calibri" w:eastAsia="Calibri" w:hAnsi="Calibri"/>
          <w:color w:val="1A1A1A"/>
          <w:sz w:val="20"/>
          <w:szCs w:val="20"/>
        </w:rPr>
        <w:t xml:space="preserve">(16) </w:t>
      </w:r>
      <w:r>
        <w:rPr>
          <w:rFonts w:ascii="Calibri" w:cs="Calibri" w:eastAsia="Calibri" w:hAnsi="Calibri"/>
          <w:color w:val="1A1A1A"/>
          <w:sz w:val="20"/>
          <w:szCs w:val="20"/>
        </w:rPr>
        <w:t xml:space="preserve">Apply for and receive USDA ReConnect grants, FCC broadband deployment funding, NTIA broadband programs, and any other federal broadband financing for Last-Mile Infrastructure and Middle-Mile Infrastructure deployment;</w:t>
      </w:r>
    </w:p>
    <w:p>
      <w:pPr>
        <w:spacing w:after="160" w:before="0"/>
        <w:ind w:left="1200" w:hanging="480"/>
        <w:jc w:val="both"/>
      </w:pPr>
      <w:r>
        <w:rPr>
          <w:rFonts w:ascii="Calibri" w:cs="Calibri" w:eastAsia="Calibri" w:hAnsi="Calibri"/>
          <w:color w:val="1A1A1A"/>
          <w:sz w:val="20"/>
          <w:szCs w:val="20"/>
        </w:rPr>
        <w:t xml:space="preserve">(17) </w:t>
      </w:r>
      <w:r>
        <w:rPr>
          <w:rFonts w:ascii="Calibri" w:cs="Calibri" w:eastAsia="Calibri" w:hAnsi="Calibri"/>
          <w:color w:val="1A1A1A"/>
          <w:sz w:val="20"/>
          <w:szCs w:val="20"/>
        </w:rPr>
        <w:t xml:space="preserve">Offer Broadband Services to members as a cooperative benefit, on non-discriminatory terms, at rates set by the CREC's Board consistent with the cooperative's cost structure and member service obligations;</w:t>
      </w:r>
    </w:p>
    <w:p>
      <w:pPr>
        <w:spacing w:after="160" w:before="0"/>
        <w:ind w:left="1200" w:hanging="480"/>
        <w:jc w:val="both"/>
      </w:pPr>
      <w:r>
        <w:rPr>
          <w:rFonts w:ascii="Calibri" w:cs="Calibri" w:eastAsia="Calibri" w:hAnsi="Calibri"/>
          <w:color w:val="1A1A1A"/>
          <w:sz w:val="20"/>
          <w:szCs w:val="20"/>
        </w:rPr>
        <w:t xml:space="preserve">(18) </w:t>
      </w:r>
      <w:r>
        <w:rPr>
          <w:rFonts w:ascii="Calibri" w:cs="Calibri" w:eastAsia="Calibri" w:hAnsi="Calibri"/>
          <w:color w:val="1A1A1A"/>
          <w:sz w:val="20"/>
          <w:szCs w:val="20"/>
        </w:rPr>
        <w:t xml:space="preserve">Offer energy efficiency programs, weatherization assistance, and appliance rebate programs;</w:t>
      </w:r>
    </w:p>
    <w:p>
      <w:pPr>
        <w:spacing w:after="160" w:before="0"/>
        <w:ind w:left="1200" w:hanging="480"/>
        <w:jc w:val="both"/>
      </w:pPr>
      <w:r>
        <w:rPr>
          <w:rFonts w:ascii="Calibri" w:cs="Calibri" w:eastAsia="Calibri" w:hAnsi="Calibri"/>
          <w:color w:val="1A1A1A"/>
          <w:sz w:val="20"/>
          <w:szCs w:val="20"/>
        </w:rPr>
        <w:t xml:space="preserve">(19) </w:t>
      </w:r>
      <w:r>
        <w:rPr>
          <w:rFonts w:ascii="Calibri" w:cs="Calibri" w:eastAsia="Calibri" w:hAnsi="Calibri"/>
          <w:color w:val="1A1A1A"/>
          <w:sz w:val="20"/>
          <w:szCs w:val="20"/>
        </w:rPr>
        <w:t xml:space="preserve">Establish low-income payment assistance programs for electricity, water, and Broadband Services;</w:t>
      </w:r>
    </w:p>
    <w:p>
      <w:pPr>
        <w:spacing w:after="160" w:before="0"/>
        <w:ind w:left="1200" w:hanging="480"/>
        <w:jc w:val="both"/>
      </w:pPr>
      <w:r>
        <w:rPr>
          <w:rFonts w:ascii="Calibri" w:cs="Calibri" w:eastAsia="Calibri" w:hAnsi="Calibri"/>
          <w:color w:val="1A1A1A"/>
          <w:sz w:val="20"/>
          <w:szCs w:val="20"/>
        </w:rPr>
        <w:t xml:space="preserve">(20) </w:t>
      </w:r>
      <w:r>
        <w:rPr>
          <w:rFonts w:ascii="Calibri" w:cs="Calibri" w:eastAsia="Calibri" w:hAnsi="Calibri"/>
          <w:color w:val="1A1A1A"/>
          <w:sz w:val="20"/>
          <w:szCs w:val="20"/>
        </w:rPr>
        <w:t xml:space="preserve">Provide community solar programs allowing members without suitable rooftops to benefit from shared solar installations; and</w:t>
      </w:r>
    </w:p>
    <w:p>
      <w:pPr>
        <w:spacing w:after="160" w:before="0"/>
        <w:ind w:left="1200" w:hanging="480"/>
        <w:jc w:val="both"/>
      </w:pPr>
      <w:r>
        <w:rPr>
          <w:rFonts w:ascii="Calibri" w:cs="Calibri" w:eastAsia="Calibri" w:hAnsi="Calibri"/>
          <w:color w:val="1A1A1A"/>
          <w:sz w:val="20"/>
          <w:szCs w:val="20"/>
        </w:rPr>
        <w:t xml:space="preserve">(21) </w:t>
      </w:r>
      <w:r>
        <w:rPr>
          <w:rFonts w:ascii="Calibri" w:cs="Calibri" w:eastAsia="Calibri" w:hAnsi="Calibri"/>
          <w:color w:val="1A1A1A"/>
          <w:sz w:val="20"/>
          <w:szCs w:val="20"/>
        </w:rPr>
        <w:t xml:space="preserve">Take any other action consistent with cooperative nonprofit law and authorized by the Authority.</w:t>
      </w:r>
    </w:p>
    <w:p>
      <w:pPr>
        <w:pBdr>
          <w:bottom w:val="single" w:color="C9A84C" w:sz="6" w:space="4"/>
        </w:pBdr>
        <w:spacing w:after="40" w:before="320"/>
      </w:pPr>
      <w:r>
        <w:rPr>
          <w:rFonts w:ascii="Calibri" w:cs="Calibri" w:eastAsia="Calibri" w:hAnsi="Calibri"/>
          <w:b/>
          <w:bCs/>
          <w:color w:val="1F4E79"/>
          <w:sz w:val="20"/>
          <w:szCs w:val="20"/>
        </w:rPr>
        <w:t xml:space="preserve">§ 17. Membership and Member Rights.</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Every customer whose electric service account or water service account is transferred from Disco to a CREC shall automatically become a member-owner of that CREC at the moment of account transfer, without payment of a membership fee exceeding twenty-five dollars ($25.00).</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Members shall have the right to vote in Board elections, attend and speak at annual meetings, inspect financial records, receive capital credit allocations covering electricity, water, and broadband services, and receive service on non-discriminatory terms.</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No CREC shall discriminate in the provision of electricity, water, or Broadband Services on the basis of income, race, ethnicity, national origin, disability, or any other characteristic protected under federal or territorial law.</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Each CREC shall establish, in its bylaws, procedures for member challenge of water billing disputes, including a right to an independent meter test at no cost to the member once per twelve-month period, and a right to a billing adjustment for any error exceeding five percent (5%) of the disputed bill.</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V-A</w:t>
      </w:r>
    </w:p>
    <w:p>
      <w:pPr>
        <w:spacing w:after="160" w:before="0"/>
        <w:jc w:val="center"/>
      </w:pPr>
      <w:r>
        <w:rPr>
          <w:rFonts w:ascii="Calibri" w:cs="Calibri" w:eastAsia="Calibri" w:hAnsi="Calibri"/>
          <w:b/>
          <w:bCs/>
          <w:caps/>
          <w:color w:val="1F3864"/>
          <w:sz w:val="26"/>
          <w:szCs w:val="26"/>
        </w:rPr>
        <w:t xml:space="preserve">SUBMARINE FIBER ACCESS AND BROADBAND INFRASTRUCTURE</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17A. Submarine Cable Access and IRU Agreements.</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b/>
          <w:bCs/>
          <w:i w:val="false"/>
          <w:iCs w:val="false"/>
          <w:color w:val="1A1A1A"/>
          <w:sz w:val="20"/>
          <w:szCs w:val="20"/>
        </w:rPr>
        <w:t xml:space="preserve">Legislative Finding. </w:t>
      </w:r>
      <w:r>
        <w:rPr>
          <w:rFonts w:ascii="Calibri" w:cs="Calibri" w:eastAsia="Calibri" w:hAnsi="Calibri"/>
          <w:b w:val="false"/>
          <w:bCs w:val="false"/>
          <w:i w:val="false"/>
          <w:iCs w:val="false"/>
          <w:color w:val="1A1A1A"/>
          <w:sz w:val="20"/>
          <w:szCs w:val="20"/>
        </w:rPr>
        <w:t xml:space="preserve">The Legislature finds that the Territory is served by and in proximity to major submarine fiber optic cable systems with substantial latent capacity, and that establishing affordable, reliable access to that capacity through IRU agreements is essential to the economic development mission of the CRECs established under this Act.</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b/>
          <w:bCs/>
          <w:i w:val="false"/>
          <w:iCs w:val="false"/>
          <w:color w:val="1A1A1A"/>
          <w:sz w:val="20"/>
          <w:szCs w:val="20"/>
        </w:rPr>
        <w:t xml:space="preserve">IRU Negotiation Authority. </w:t>
      </w:r>
      <w:r>
        <w:rPr>
          <w:rFonts w:ascii="Calibri" w:cs="Calibri" w:eastAsia="Calibri" w:hAnsi="Calibri"/>
          <w:b w:val="false"/>
          <w:bCs w:val="false"/>
          <w:i w:val="false"/>
          <w:iCs w:val="false"/>
          <w:color w:val="1A1A1A"/>
          <w:sz w:val="20"/>
          <w:szCs w:val="20"/>
        </w:rPr>
        <w:t xml:space="preserve">Each CREC and any consortium of CRECs formed under this Act shall have full authority to:</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Negotiate and execute IRU agreements with operators of Submarine Cable Systems landing in or passing through the Territory, on terms approved by the Authority;</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Negotiate and execute IRU agreements with operators of terrestrial backbone fiber networks within the Territory;</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Form a CREC Broadband Consortium for the purpose of collectively negotiating IRU agreements, pooling backbone capacity, and jointly developing Middle-Mile Infrastructure; and</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Assign, sublease, or share IRU capacity among CRECs within a Consortium on terms approved by the Authority.</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b/>
          <w:bCs/>
          <w:i w:val="false"/>
          <w:iCs w:val="false"/>
          <w:color w:val="1A1A1A"/>
          <w:sz w:val="20"/>
          <w:szCs w:val="20"/>
        </w:rPr>
        <w:t xml:space="preserve">Collective Bargaining Leverage. </w:t>
      </w:r>
      <w:r>
        <w:rPr>
          <w:rFonts w:ascii="Calibri" w:cs="Calibri" w:eastAsia="Calibri" w:hAnsi="Calibri"/>
          <w:b w:val="false"/>
          <w:bCs w:val="false"/>
          <w:i w:val="false"/>
          <w:iCs w:val="false"/>
          <w:color w:val="1A1A1A"/>
          <w:sz w:val="20"/>
          <w:szCs w:val="20"/>
        </w:rPr>
        <w:t xml:space="preserve">The Authority shall facilitate the formation of a CREC Broadband Consortium for the purpose of presenting a unified demand for IRU capacity to Submarine Cable System operators. The combined residential and commercial broadband demand of all USVI CRECs shall be presented collectively in IRU negotiations to maximize bargaining leverage and minimize per-unit capacity costs.</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b/>
          <w:bCs/>
          <w:i w:val="false"/>
          <w:iCs w:val="false"/>
          <w:color w:val="1A1A1A"/>
          <w:sz w:val="20"/>
          <w:szCs w:val="20"/>
        </w:rPr>
        <w:t xml:space="preserve">GVI Support for IRU Negotiations. </w:t>
      </w:r>
      <w:r>
        <w:rPr>
          <w:rFonts w:ascii="Calibri" w:cs="Calibri" w:eastAsia="Calibri" w:hAnsi="Calibri"/>
          <w:b w:val="false"/>
          <w:bCs w:val="false"/>
          <w:i w:val="false"/>
          <w:iCs w:val="false"/>
          <w:color w:val="1A1A1A"/>
          <w:sz w:val="20"/>
          <w:szCs w:val="20"/>
        </w:rPr>
        <w:t xml:space="preserve">GVI shall, upon request of the Authority or a CREC Broadband Consortium, provide diplomatic and regulatory support for IRU negotiations with Submarine Cable System operators, including correspondence to the FCC and the U.S. Department of State where federal advocacy would facilitate access to cable capacity on reasonable commercial terms.</w:t>
      </w:r>
    </w:p>
    <w:p>
      <w:pPr>
        <w:spacing w:after="160" w:before="0"/>
        <w:ind w:left="720" w:hanging="480"/>
        <w:jc w:val="both"/>
      </w:pPr>
      <w:r>
        <w:rPr>
          <w:rFonts w:ascii="Calibri" w:cs="Calibri" w:eastAsia="Calibri" w:hAnsi="Calibri"/>
          <w:color w:val="1A1A1A"/>
          <w:sz w:val="20"/>
          <w:szCs w:val="20"/>
        </w:rPr>
        <w:t xml:space="preserve">(e) </w:t>
      </w:r>
      <w:r>
        <w:rPr>
          <w:rFonts w:ascii="Calibri" w:cs="Calibri" w:eastAsia="Calibri" w:hAnsi="Calibri"/>
          <w:b/>
          <w:bCs/>
          <w:i w:val="false"/>
          <w:iCs w:val="false"/>
          <w:color w:val="1A1A1A"/>
          <w:sz w:val="20"/>
          <w:szCs w:val="20"/>
        </w:rPr>
        <w:t xml:space="preserve">Open Access Requirement for Federally Funded IRU Capacity. </w:t>
      </w:r>
      <w:r>
        <w:rPr>
          <w:rFonts w:ascii="Calibri" w:cs="Calibri" w:eastAsia="Calibri" w:hAnsi="Calibri"/>
          <w:b w:val="false"/>
          <w:bCs w:val="false"/>
          <w:i w:val="false"/>
          <w:iCs w:val="false"/>
          <w:color w:val="1A1A1A"/>
          <w:sz w:val="20"/>
          <w:szCs w:val="20"/>
        </w:rPr>
        <w:t xml:space="preserve">Any IRU capacity acquired with the assistance of federal grant funding shall be made available to other licensed broadband providers on Open Access terms at wholesale rates approved by the Authority, consistent with federal grant conditions and federal open access requirements.</w:t>
      </w:r>
    </w:p>
    <w:p>
      <w:pPr>
        <w:pBdr>
          <w:bottom w:val="single" w:color="C9A84C" w:sz="6" w:space="4"/>
        </w:pBdr>
        <w:spacing w:after="40" w:before="320"/>
      </w:pPr>
      <w:r>
        <w:rPr>
          <w:rFonts w:ascii="Calibri" w:cs="Calibri" w:eastAsia="Calibri" w:hAnsi="Calibri"/>
          <w:b/>
          <w:bCs/>
          <w:color w:val="1F4E79"/>
          <w:sz w:val="20"/>
          <w:szCs w:val="20"/>
        </w:rPr>
        <w:t xml:space="preserve">§ 17B. Middle-Mile Infrastructure.</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b/>
          <w:bCs/>
          <w:i w:val="false"/>
          <w:iCs w:val="false"/>
          <w:color w:val="1A1A1A"/>
          <w:sz w:val="20"/>
          <w:szCs w:val="20"/>
        </w:rPr>
        <w:t xml:space="preserve">Authority to Develop. </w:t>
      </w:r>
      <w:r>
        <w:rPr>
          <w:rFonts w:ascii="Calibri" w:cs="Calibri" w:eastAsia="Calibri" w:hAnsi="Calibri"/>
          <w:b w:val="false"/>
          <w:bCs w:val="false"/>
          <w:i w:val="false"/>
          <w:iCs w:val="false"/>
          <w:color w:val="1A1A1A"/>
          <w:sz w:val="20"/>
          <w:szCs w:val="20"/>
        </w:rPr>
        <w:t xml:space="preserve">CRECs and the CREC Broadband Consortium are authorized to plan, finance, construct, own, and operate Middle-Mile Infrastructure connecting Submarine Cable System landing stations to CREC Last-Mile Infrastructure distribution networks.</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b/>
          <w:bCs/>
          <w:i w:val="false"/>
          <w:iCs w:val="false"/>
          <w:color w:val="1A1A1A"/>
          <w:sz w:val="20"/>
          <w:szCs w:val="20"/>
        </w:rPr>
        <w:t xml:space="preserve">Federal Funding. </w:t>
      </w:r>
      <w:r>
        <w:rPr>
          <w:rFonts w:ascii="Calibri" w:cs="Calibri" w:eastAsia="Calibri" w:hAnsi="Calibri"/>
          <w:b w:val="false"/>
          <w:bCs w:val="false"/>
          <w:i w:val="false"/>
          <w:iCs w:val="false"/>
          <w:color w:val="1A1A1A"/>
          <w:sz w:val="20"/>
          <w:szCs w:val="20"/>
        </w:rPr>
        <w:t xml:space="preserve">The Authority shall coordinate applications by CRECs and the CREC Broadband Consortium for all available federal funding for Middle-Mile Infrastructure, including:</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USDA ReConnect Program grants and loans;</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NTIA Broadband Equity, Access, and Deployment (BEAD) Program funding;</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FCC broadband funding programs; and</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Any other federal program providing grants, loans, or loan guarantees for broadband middle-mile or backbone infrastructure.</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b/>
          <w:bCs/>
          <w:i w:val="false"/>
          <w:iCs w:val="false"/>
          <w:color w:val="1A1A1A"/>
          <w:sz w:val="20"/>
          <w:szCs w:val="20"/>
        </w:rPr>
        <w:t xml:space="preserve">Open Access Obligation. </w:t>
      </w:r>
      <w:r>
        <w:rPr>
          <w:rFonts w:ascii="Calibri" w:cs="Calibri" w:eastAsia="Calibri" w:hAnsi="Calibri"/>
          <w:b w:val="false"/>
          <w:bCs w:val="false"/>
          <w:i w:val="false"/>
          <w:iCs w:val="false"/>
          <w:color w:val="1A1A1A"/>
          <w:sz w:val="20"/>
          <w:szCs w:val="20"/>
        </w:rPr>
        <w:t xml:space="preserve">Middle-Mile Infrastructure developed under this Section shall be made available on Open Access terms to all licensed broadband providers serving the Territory, at wholesale rates set by the Authority to cover cost of service without undue restriction on competitive retail broadband markets. Open Access requirements shall be a condition of any CREC or Consortium financing that includes federal funds.</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b/>
          <w:bCs/>
          <w:i w:val="false"/>
          <w:iCs w:val="false"/>
          <w:color w:val="1A1A1A"/>
          <w:sz w:val="20"/>
          <w:szCs w:val="20"/>
        </w:rPr>
        <w:t xml:space="preserve">Landing Station Interconnection. </w:t>
      </w:r>
      <w:r>
        <w:rPr>
          <w:rFonts w:ascii="Calibri" w:cs="Calibri" w:eastAsia="Calibri" w:hAnsi="Calibri"/>
          <w:b w:val="false"/>
          <w:bCs w:val="false"/>
          <w:i w:val="false"/>
          <w:iCs w:val="false"/>
          <w:color w:val="1A1A1A"/>
          <w:sz w:val="20"/>
          <w:szCs w:val="20"/>
        </w:rPr>
        <w:t xml:space="preserve">The Authority shall advocate with the FCC and relevant federal agencies for non-discriminatory interconnection access at Submarine Cable System landing stations in the Territory, at reasonable commercial rates, for CRECs and the CREC Broadband Consortium. Where landing station operators deny or unreasonably condition interconnection access, the Authority shall report such denial to the Legislature and pursue all available federal remedies.</w:t>
      </w:r>
    </w:p>
    <w:p>
      <w:pPr>
        <w:pBdr>
          <w:bottom w:val="single" w:color="C9A84C" w:sz="6" w:space="4"/>
        </w:pBdr>
        <w:spacing w:after="40" w:before="320"/>
      </w:pPr>
      <w:r>
        <w:rPr>
          <w:rFonts w:ascii="Calibri" w:cs="Calibri" w:eastAsia="Calibri" w:hAnsi="Calibri"/>
          <w:b/>
          <w:bCs/>
          <w:color w:val="1F4E79"/>
          <w:sz w:val="20"/>
          <w:szCs w:val="20"/>
        </w:rPr>
        <w:t xml:space="preserve">§ 17C. Last-Mile Broadband Deployment.</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b/>
          <w:bCs/>
          <w:i w:val="false"/>
          <w:iCs w:val="false"/>
          <w:color w:val="1A1A1A"/>
          <w:sz w:val="20"/>
          <w:szCs w:val="20"/>
        </w:rPr>
        <w:t xml:space="preserve">Deployment Standard. </w:t>
      </w:r>
      <w:r>
        <w:rPr>
          <w:rFonts w:ascii="Calibri" w:cs="Calibri" w:eastAsia="Calibri" w:hAnsi="Calibri"/>
          <w:b w:val="false"/>
          <w:bCs w:val="false"/>
          <w:i w:val="false"/>
          <w:iCs w:val="false"/>
          <w:color w:val="1A1A1A"/>
          <w:sz w:val="20"/>
          <w:szCs w:val="20"/>
        </w:rPr>
        <w:t xml:space="preserve">Each CREC shall develop and file with the Authority, within twenty-four (24) months of receiving its charter, a Last-Mile Broadband Deployment Plan covering its entire service territory. The plan shall include a timeline for achieving broadband availability to not less than ninety-five percent (95%) of premises within the service territory within seven (7) years of charter.</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b/>
          <w:bCs/>
          <w:i w:val="false"/>
          <w:iCs w:val="false"/>
          <w:color w:val="1A1A1A"/>
          <w:sz w:val="20"/>
          <w:szCs w:val="20"/>
        </w:rPr>
        <w:t xml:space="preserve">Priority Deployment. </w:t>
      </w:r>
      <w:r>
        <w:rPr>
          <w:rFonts w:ascii="Calibri" w:cs="Calibri" w:eastAsia="Calibri" w:hAnsi="Calibri"/>
          <w:b w:val="false"/>
          <w:bCs w:val="false"/>
          <w:i w:val="false"/>
          <w:iCs w:val="false"/>
          <w:color w:val="1A1A1A"/>
          <w:sz w:val="20"/>
          <w:szCs w:val="20"/>
        </w:rPr>
        <w:t xml:space="preserve">In developing Last-Mile Broadband Deployment Plans, CRECs shall prioritize:</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Unserved premises with no existing broadband access;</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Underserved premises receiving service below the then-current FCC definition of broadband; and</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Low-income member households, consistent with federal broadband equity requirements.</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b/>
          <w:bCs/>
          <w:i w:val="false"/>
          <w:iCs w:val="false"/>
          <w:color w:val="1A1A1A"/>
          <w:sz w:val="20"/>
          <w:szCs w:val="20"/>
        </w:rPr>
        <w:t xml:space="preserve">Pole Attachment Integration. </w:t>
      </w:r>
      <w:r>
        <w:rPr>
          <w:rFonts w:ascii="Calibri" w:cs="Calibri" w:eastAsia="Calibri" w:hAnsi="Calibri"/>
          <w:b w:val="false"/>
          <w:bCs w:val="false"/>
          <w:i w:val="false"/>
          <w:iCs w:val="false"/>
          <w:color w:val="1A1A1A"/>
          <w:sz w:val="20"/>
          <w:szCs w:val="20"/>
        </w:rPr>
        <w:t xml:space="preserve">Last-Mile Broadband Deployment Plans shall incorporate deployment on existing CREC poles and along existing rights-of-way to the maximum extent feasible, minimizing new construction costs and disruption. Where new conduit or pole infrastructure is required, it shall be designed for joint use by electricity and broadband infrastructure.</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b/>
          <w:bCs/>
          <w:i w:val="false"/>
          <w:iCs w:val="false"/>
          <w:color w:val="1A1A1A"/>
          <w:sz w:val="20"/>
          <w:szCs w:val="20"/>
        </w:rPr>
        <w:t xml:space="preserve">Low-Income Broadband Assistance. </w:t>
      </w:r>
      <w:r>
        <w:rPr>
          <w:rFonts w:ascii="Calibri" w:cs="Calibri" w:eastAsia="Calibri" w:hAnsi="Calibri"/>
          <w:b w:val="false"/>
          <w:bCs w:val="false"/>
          <w:i w:val="false"/>
          <w:iCs w:val="false"/>
          <w:color w:val="1A1A1A"/>
          <w:sz w:val="20"/>
          <w:szCs w:val="20"/>
        </w:rPr>
        <w:t xml:space="preserve">Each CREC shall establish a low-income broadband assistance program, funded through rate design, federal programs including the FCC Affordable Connectivity Program or successor, or grant revenues, providing reduced-rate or subsidized Broadband Services to qualifying low-income member households.</w:t>
      </w:r>
    </w:p>
    <w:p>
      <w:pPr>
        <w:spacing w:after="160" w:before="0"/>
        <w:ind w:left="720" w:hanging="480"/>
        <w:jc w:val="both"/>
      </w:pPr>
      <w:r>
        <w:rPr>
          <w:rFonts w:ascii="Calibri" w:cs="Calibri" w:eastAsia="Calibri" w:hAnsi="Calibri"/>
          <w:color w:val="1A1A1A"/>
          <w:sz w:val="20"/>
          <w:szCs w:val="20"/>
        </w:rPr>
        <w:t xml:space="preserve">(e) </w:t>
      </w:r>
      <w:r>
        <w:rPr>
          <w:rFonts w:ascii="Calibri" w:cs="Calibri" w:eastAsia="Calibri" w:hAnsi="Calibri"/>
          <w:b/>
          <w:bCs/>
          <w:i w:val="false"/>
          <w:iCs w:val="false"/>
          <w:color w:val="1A1A1A"/>
          <w:sz w:val="20"/>
          <w:szCs w:val="20"/>
        </w:rPr>
        <w:t xml:space="preserve">Incumbent Provider Non-Preemption. </w:t>
      </w:r>
      <w:r>
        <w:rPr>
          <w:rFonts w:ascii="Calibri" w:cs="Calibri" w:eastAsia="Calibri" w:hAnsi="Calibri"/>
          <w:b w:val="false"/>
          <w:bCs w:val="false"/>
          <w:i w:val="false"/>
          <w:iCs w:val="false"/>
          <w:color w:val="1A1A1A"/>
          <w:sz w:val="20"/>
          <w:szCs w:val="20"/>
        </w:rPr>
        <w:t xml:space="preserve">Nothing in this Article shall be construed to eliminate or restrict the authority of existing licensed telecommunications providers to continue providing broadband service in CREC service territories. The entry of CRECs as broadband providers is intended to expand service and promote competition, not to displace existing providers.</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VI</w:t>
      </w:r>
    </w:p>
    <w:p>
      <w:pPr>
        <w:spacing w:after="160" w:before="0"/>
        <w:jc w:val="center"/>
      </w:pPr>
      <w:r>
        <w:rPr>
          <w:rFonts w:ascii="Calibri" w:cs="Calibri" w:eastAsia="Calibri" w:hAnsi="Calibri"/>
          <w:b/>
          <w:bCs/>
          <w:caps/>
          <w:color w:val="1F3864"/>
          <w:sz w:val="26"/>
          <w:szCs w:val="26"/>
        </w:rPr>
        <w:t xml:space="preserve">CUSTOMER DEBT RESOLUTION</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18. Account Purchase Authority.</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Each CREC is authorized to negotiate with the Holding Company for the purchase of customer accounts — including both electric and water accounts — within its designated service territory, including any outstanding arrearage balances.</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purchase price for customer accounts with disputed or delinquent arrearage balances shall be negotiated at a discount from face value, reflecting:</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The realistic collectability of outstanding balances given WAPA's billing history;</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The proportion of balances attributable to billing errors, estimated bills, or meter failures documented in WAPA's records; and</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The fair market value of the customer relationship as an ongoing revenue stream for both electric and water services.</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The Authority shall establish guidelines for account purchase pricing and shall approve account purchase agreements prior to execution.</w:t>
      </w:r>
    </w:p>
    <w:p>
      <w:pPr>
        <w:pBdr>
          <w:bottom w:val="single" w:color="C9A84C" w:sz="6" w:space="4"/>
        </w:pBdr>
        <w:spacing w:after="40" w:before="320"/>
      </w:pPr>
      <w:r>
        <w:rPr>
          <w:rFonts w:ascii="Calibri" w:cs="Calibri" w:eastAsia="Calibri" w:hAnsi="Calibri"/>
          <w:b/>
          <w:bCs/>
          <w:color w:val="1F4E79"/>
          <w:sz w:val="20"/>
          <w:szCs w:val="20"/>
        </w:rPr>
        <w:t xml:space="preserve">§ 19. Customer Debt Amnesty.</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Upon purchase of customer accounts by a CREC and extinguishment of outstanding balances through grant funding as provided in this Section, each customer account — whether electric or water — shall be transferred with a zero balance. This constitutes a one-time fresh start associated with the structural reform of electrical and water service in the Territory and shall not be repeated.</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CRECs are authorized and encouraged to seek grant funding from federal and philanthropic sources, including FEMA Hazard Mitigation funds, HUD Community Development Block Grant Disaster Recovery funds, USDA Rural Development programs, DOE energy equity programs, and philanthropic foundations, to fund the extinguishment of customer arrearage balances.</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Account transfers shall be timed to coincide with grant award or firm funding commitment. No account shall be transferred with a zero balance prior to confirmation of sufficient funding to cover the extinguishment of its arrearage balance.</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Each CREC shall establish, in its bylaws, low-income payment assistance programs for both electricity and water service, funded through rate design, grant revenues, or a combination thereof, operational upon the commencement of CREC service.</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VII</w:t>
      </w:r>
    </w:p>
    <w:p>
      <w:pPr>
        <w:spacing w:after="160" w:before="0"/>
        <w:jc w:val="center"/>
      </w:pPr>
      <w:r>
        <w:rPr>
          <w:rFonts w:ascii="Calibri" w:cs="Calibri" w:eastAsia="Calibri" w:hAnsi="Calibri"/>
          <w:b/>
          <w:bCs/>
          <w:caps/>
          <w:color w:val="1F3864"/>
          <w:sz w:val="26"/>
          <w:szCs w:val="26"/>
        </w:rPr>
        <w:t xml:space="preserve">TRANSITION FINANCING</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20. GVI Financing Authority.</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GVI, acting through the USVI Public Finance Authority, is authorized to issue revenue bonds to finance the assumption of Legacy Debt, the capitalization of the Holding Company, and other transition costs authorized by this Act, subject to legislative authorization for each issuance.</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Revenue bonds issued under this Section may be secured by WAPA Genco electric revenues, WAPA Genco water wholesale revenues, CREC grid rental fees, CREC broadband revenues, or other revenue streams approved by the Legislature.</w:t>
      </w:r>
    </w:p>
    <w:p>
      <w:pPr>
        <w:pBdr>
          <w:bottom w:val="single" w:color="C9A84C" w:sz="6" w:space="4"/>
        </w:pBdr>
        <w:spacing w:after="40" w:before="320"/>
      </w:pPr>
      <w:r>
        <w:rPr>
          <w:rFonts w:ascii="Calibri" w:cs="Calibri" w:eastAsia="Calibri" w:hAnsi="Calibri"/>
          <w:b/>
          <w:bCs/>
          <w:color w:val="1F4E79"/>
          <w:sz w:val="20"/>
          <w:szCs w:val="20"/>
        </w:rPr>
        <w:t xml:space="preserve">§ 21. Federal Financing.</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GVI and the Authority are authorized and directed to pursue all available federal financing for the transition, including:</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USDA Rural Utilities Service loans and grants for CREC formation and electric and water infrastructure;</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USDA ReConnect Program grants and loans for Last-Mile and Middle-Mile broadband infrastructure;</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NTIA BEAD Program and other NTIA broadband funding;</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FCC broadband deployment funding programs;</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FEMA Hazard Mitigation and Building Resilient Infrastructure and Communities (BRIC) grants for grid hardening and microgrid development;</w:t>
      </w:r>
    </w:p>
    <w:p>
      <w:pPr>
        <w:spacing w:after="160" w:before="0"/>
        <w:ind w:left="1200" w:hanging="480"/>
        <w:jc w:val="both"/>
      </w:pPr>
      <w:r>
        <w:rPr>
          <w:rFonts w:ascii="Calibri" w:cs="Calibri" w:eastAsia="Calibri" w:hAnsi="Calibri"/>
          <w:color w:val="1A1A1A"/>
          <w:sz w:val="20"/>
          <w:szCs w:val="20"/>
        </w:rPr>
        <w:t xml:space="preserve">(6) </w:t>
      </w:r>
      <w:r>
        <w:rPr>
          <w:rFonts w:ascii="Calibri" w:cs="Calibri" w:eastAsia="Calibri" w:hAnsi="Calibri"/>
          <w:color w:val="1A1A1A"/>
          <w:sz w:val="20"/>
          <w:szCs w:val="20"/>
        </w:rPr>
        <w:t xml:space="preserve">DOE Loan Programs Office Title XVII loan guarantees for clean energy projects;</w:t>
      </w:r>
    </w:p>
    <w:p>
      <w:pPr>
        <w:spacing w:after="160" w:before="0"/>
        <w:ind w:left="1200" w:hanging="480"/>
        <w:jc w:val="both"/>
      </w:pPr>
      <w:r>
        <w:rPr>
          <w:rFonts w:ascii="Calibri" w:cs="Calibri" w:eastAsia="Calibri" w:hAnsi="Calibri"/>
          <w:color w:val="1A1A1A"/>
          <w:sz w:val="20"/>
          <w:szCs w:val="20"/>
        </w:rPr>
        <w:t xml:space="preserve">(7) </w:t>
      </w:r>
      <w:r>
        <w:rPr>
          <w:rFonts w:ascii="Calibri" w:cs="Calibri" w:eastAsia="Calibri" w:hAnsi="Calibri"/>
          <w:color w:val="1A1A1A"/>
          <w:sz w:val="20"/>
          <w:szCs w:val="20"/>
        </w:rPr>
        <w:t xml:space="preserve">DOE Grid Resilience grants under the Infrastructure Investment and Jobs Act;</w:t>
      </w:r>
    </w:p>
    <w:p>
      <w:pPr>
        <w:spacing w:after="160" w:before="0"/>
        <w:ind w:left="1200" w:hanging="480"/>
        <w:jc w:val="both"/>
      </w:pPr>
      <w:r>
        <w:rPr>
          <w:rFonts w:ascii="Calibri" w:cs="Calibri" w:eastAsia="Calibri" w:hAnsi="Calibri"/>
          <w:color w:val="1A1A1A"/>
          <w:sz w:val="20"/>
          <w:szCs w:val="20"/>
        </w:rPr>
        <w:t xml:space="preserve">(8) </w:t>
      </w:r>
      <w:r>
        <w:rPr>
          <w:rFonts w:ascii="Calibri" w:cs="Calibri" w:eastAsia="Calibri" w:hAnsi="Calibri"/>
          <w:color w:val="1A1A1A"/>
          <w:sz w:val="20"/>
          <w:szCs w:val="20"/>
        </w:rPr>
        <w:t xml:space="preserve">HUD Community Development Block Grant Disaster Recovery funds for customer debt resolution;</w:t>
      </w:r>
    </w:p>
    <w:p>
      <w:pPr>
        <w:spacing w:after="160" w:before="0"/>
        <w:ind w:left="1200" w:hanging="480"/>
        <w:jc w:val="both"/>
      </w:pPr>
      <w:r>
        <w:rPr>
          <w:rFonts w:ascii="Calibri" w:cs="Calibri" w:eastAsia="Calibri" w:hAnsi="Calibri"/>
          <w:color w:val="1A1A1A"/>
          <w:sz w:val="20"/>
          <w:szCs w:val="20"/>
        </w:rPr>
        <w:t xml:space="preserve">(9) </w:t>
      </w:r>
      <w:r>
        <w:rPr>
          <w:rFonts w:ascii="Calibri" w:cs="Calibri" w:eastAsia="Calibri" w:hAnsi="Calibri"/>
          <w:color w:val="1A1A1A"/>
          <w:sz w:val="20"/>
          <w:szCs w:val="20"/>
        </w:rPr>
        <w:t xml:space="preserve">Inflation Reduction Act direct pay tax credits for CREC solar, storage, and clean energy investments; and</w:t>
      </w:r>
    </w:p>
    <w:p>
      <w:pPr>
        <w:spacing w:after="160" w:before="0"/>
        <w:ind w:left="1200" w:hanging="480"/>
        <w:jc w:val="both"/>
      </w:pPr>
      <w:r>
        <w:rPr>
          <w:rFonts w:ascii="Calibri" w:cs="Calibri" w:eastAsia="Calibri" w:hAnsi="Calibri"/>
          <w:color w:val="1A1A1A"/>
          <w:sz w:val="20"/>
          <w:szCs w:val="20"/>
        </w:rPr>
        <w:t xml:space="preserve">(10) </w:t>
      </w:r>
      <w:r>
        <w:rPr>
          <w:rFonts w:ascii="Calibri" w:cs="Calibri" w:eastAsia="Calibri" w:hAnsi="Calibri"/>
          <w:color w:val="1A1A1A"/>
          <w:sz w:val="20"/>
          <w:szCs w:val="20"/>
        </w:rPr>
        <w:t xml:space="preserve">New Markets Tax Credits and other community development finance instruments for CREC capitalization.</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Authority shall establish a Federal Funding Office staffed with grant writers, federal finance specialists, and broadband funding specialists, funded by assessments on WAPA Genco and CRECs, to coordinate and maximize federal funding access for the transition across energy, water, broadband, and economic development programs.</w:t>
      </w:r>
    </w:p>
    <w:p>
      <w:pPr>
        <w:pBdr>
          <w:bottom w:val="single" w:color="C9A84C" w:sz="6" w:space="4"/>
        </w:pBdr>
        <w:spacing w:after="40" w:before="320"/>
      </w:pPr>
      <w:r>
        <w:rPr>
          <w:rFonts w:ascii="Calibri" w:cs="Calibri" w:eastAsia="Calibri" w:hAnsi="Calibri"/>
          <w:b/>
          <w:bCs/>
          <w:color w:val="1F4E79"/>
          <w:sz w:val="20"/>
          <w:szCs w:val="20"/>
        </w:rPr>
        <w:t xml:space="preserve">§ 22. CREC Financing.</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CRECs are authorized to issue tax-exempt bonds, revenue bonds, and other debt instruments consistent with nonprofit cooperative status and applicable federal law, for electricity, water distribution, and broadband infrastructure purposes.</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CRECs are authorized to issue green bonds for renewable energy, grid resilience, water efficiency, and broadband infrastructure projects and to represent to investors the environmental and community impact of such projects consistent with applicable green bond standards.</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CRECs may collect initial membership fees and allocate patronage dividends from electricity, water, and broadband revenues as retained member equity in accordance with their bylaws.</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A CREC Broadband Consortium formed under Section 17A may issue debt, apply for federal grants, and enter contracts as a separate legal entity authorized by the Authority for the purposes set forth in Article V-A.</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VIII</w:t>
      </w:r>
    </w:p>
    <w:p>
      <w:pPr>
        <w:spacing w:after="160" w:before="0"/>
        <w:jc w:val="center"/>
      </w:pPr>
      <w:r>
        <w:rPr>
          <w:rFonts w:ascii="Calibri" w:cs="Calibri" w:eastAsia="Calibri" w:hAnsi="Calibri"/>
          <w:b/>
          <w:bCs/>
          <w:caps/>
          <w:color w:val="1F3864"/>
          <w:sz w:val="26"/>
          <w:szCs w:val="26"/>
        </w:rPr>
        <w:t xml:space="preserve">EMPLOYEE TRANSITION PROTECTIONS</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23. Employee Rights.</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No WAPA employee whose position is eliminated or substantially altered as a result of the restructuring authorized by this Act shall be terminated without at least ninety (90) days advance written notice.</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WAPA, the Holding Company, WAPA Genco, and each CREC shall give preference in hiring to qualified current and former WAPA employees for positions within their respective organizations during the transition period.</w:t>
      </w:r>
    </w:p>
    <w:p>
      <w:pPr>
        <w:spacing w:after="160" w:before="0"/>
        <w:ind w:left="720" w:hanging="480"/>
        <w:jc w:val="both"/>
      </w:pPr>
      <w:r>
        <w:rPr>
          <w:rFonts w:ascii="Calibri" w:cs="Calibri" w:eastAsia="Calibri" w:hAnsi="Calibri"/>
          <w:color w:val="1A1A1A"/>
          <w:sz w:val="20"/>
          <w:szCs w:val="20"/>
        </w:rPr>
        <w:t xml:space="preserve">(c) </w:t>
      </w:r>
      <w:r>
        <w:rPr>
          <w:rFonts w:ascii="Calibri" w:cs="Calibri" w:eastAsia="Calibri" w:hAnsi="Calibri"/>
          <w:color w:val="1A1A1A"/>
          <w:sz w:val="20"/>
          <w:szCs w:val="20"/>
        </w:rPr>
        <w:t xml:space="preserve">GVI shall fund a retraining and workforce transition program for WAPA employees whose positions are eliminated, in partnership with the University of the Virgin Islands and other workforce development entities, including training in clean energy trades, broadband network operations, water systems operations, cooperative management, and Water Customer Services administration.</w:t>
      </w:r>
    </w:p>
    <w:p>
      <w:pPr>
        <w:spacing w:after="160" w:before="0"/>
        <w:ind w:left="720" w:hanging="480"/>
        <w:jc w:val="both"/>
      </w:pPr>
      <w:r>
        <w:rPr>
          <w:rFonts w:ascii="Calibri" w:cs="Calibri" w:eastAsia="Calibri" w:hAnsi="Calibri"/>
          <w:color w:val="1A1A1A"/>
          <w:sz w:val="20"/>
          <w:szCs w:val="20"/>
        </w:rPr>
        <w:t xml:space="preserve">(d) </w:t>
      </w:r>
      <w:r>
        <w:rPr>
          <w:rFonts w:ascii="Calibri" w:cs="Calibri" w:eastAsia="Calibri" w:hAnsi="Calibri"/>
          <w:color w:val="1A1A1A"/>
          <w:sz w:val="20"/>
          <w:szCs w:val="20"/>
        </w:rPr>
        <w:t xml:space="preserve">Accrued pension and retirement benefits of WAPA employees shall be protected and shall not be diminished by reason of the restructuring authorized by this Act. GVI shall assume full responsibility for funding accrued pension obligations to WAPA employees as part of the Legacy Debt assumption authorized under Section 13.</w:t>
      </w:r>
    </w:p>
    <w:p>
      <w:pPr>
        <w:pBdr>
          <w:bottom w:val="single" w:color="1F3864" w:sz="8" w:space="2"/>
        </w:pBdr>
        <w:spacing w:after="0" w:before="360"/>
      </w:pPr>
      <w:r>
        <w:rPr>
          <w:rFonts w:ascii="Calibri" w:cs="Calibri" w:eastAsia="Calibri" w:hAnsi="Calibri"/>
          <w:sz w:val="4"/>
          <w:szCs w:val="4"/>
        </w:rPr>
        <w:t xml:space="preserve"/>
      </w:r>
    </w:p>
    <w:p>
      <w:pPr>
        <w:spacing w:after="20" w:before="160"/>
        <w:jc w:val="center"/>
      </w:pPr>
      <w:r>
        <w:rPr>
          <w:rFonts w:ascii="Calibri" w:cs="Calibri" w:eastAsia="Calibri" w:hAnsi="Calibri"/>
          <w:b/>
          <w:bCs/>
          <w:caps/>
          <w:color w:val="1F3864"/>
          <w:sz w:val="22"/>
          <w:szCs w:val="22"/>
        </w:rPr>
        <w:t xml:space="preserve">ARTICLE IX</w:t>
      </w:r>
    </w:p>
    <w:p>
      <w:pPr>
        <w:spacing w:after="160" w:before="0"/>
        <w:jc w:val="center"/>
      </w:pPr>
      <w:r>
        <w:rPr>
          <w:rFonts w:ascii="Calibri" w:cs="Calibri" w:eastAsia="Calibri" w:hAnsi="Calibri"/>
          <w:b/>
          <w:bCs/>
          <w:caps/>
          <w:color w:val="1F3864"/>
          <w:sz w:val="26"/>
          <w:szCs w:val="26"/>
        </w:rPr>
        <w:t xml:space="preserve">MISCELLANEOUS PROVISIONS</w:t>
      </w:r>
    </w:p>
    <w:p>
      <w:pPr>
        <w:pBdr>
          <w:bottom w:val="single" w:color="C9A84C" w:sz="12" w:space="2"/>
        </w:pBdr>
        <w:spacing w:after="280" w:before="0"/>
      </w:pPr>
      <w:r>
        <w:rPr>
          <w:rFonts w:ascii="Calibri" w:cs="Calibri" w:eastAsia="Calibri" w:hAnsi="Calibri"/>
          <w:sz w:val="4"/>
          <w:szCs w:val="4"/>
        </w:rPr>
        <w:t xml:space="preserve"/>
      </w:r>
    </w:p>
    <w:p>
      <w:pPr>
        <w:pBdr>
          <w:bottom w:val="single" w:color="C9A84C" w:sz="6" w:space="4"/>
        </w:pBdr>
        <w:spacing w:after="40" w:before="320"/>
      </w:pPr>
      <w:r>
        <w:rPr>
          <w:rFonts w:ascii="Calibri" w:cs="Calibri" w:eastAsia="Calibri" w:hAnsi="Calibri"/>
          <w:b/>
          <w:bCs/>
          <w:color w:val="1F4E79"/>
          <w:sz w:val="20"/>
          <w:szCs w:val="20"/>
        </w:rPr>
        <w:t xml:space="preserve">§ 24. Transition Timeline.</w:t>
      </w:r>
    </w:p>
    <w:p>
      <w:pPr>
        <w:spacing w:after="160" w:before="0"/>
        <w:ind w:left="720" w:hanging="480"/>
        <w:jc w:val="both"/>
      </w:pPr>
      <w:r>
        <w:rPr>
          <w:rFonts w:ascii="Calibri" w:cs="Calibri" w:eastAsia="Calibri" w:hAnsi="Calibri"/>
          <w:color w:val="1A1A1A"/>
          <w:sz w:val="20"/>
          <w:szCs w:val="20"/>
        </w:rPr>
        <w:t xml:space="preserve">(a) </w:t>
      </w:r>
      <w:r>
        <w:rPr>
          <w:rFonts w:ascii="Calibri" w:cs="Calibri" w:eastAsia="Calibri" w:hAnsi="Calibri"/>
          <w:color w:val="1A1A1A"/>
          <w:sz w:val="20"/>
          <w:szCs w:val="20"/>
        </w:rPr>
        <w:t xml:space="preserve">The following mandatory milestones shall govern the transition:</w:t>
      </w:r>
    </w:p>
    <w:p>
      <w:pPr>
        <w:spacing w:after="160" w:before="0"/>
        <w:ind w:left="1200" w:hanging="480"/>
        <w:jc w:val="both"/>
      </w:pPr>
      <w:r>
        <w:rPr>
          <w:rFonts w:ascii="Calibri" w:cs="Calibri" w:eastAsia="Calibri" w:hAnsi="Calibri"/>
          <w:color w:val="1A1A1A"/>
          <w:sz w:val="20"/>
          <w:szCs w:val="20"/>
        </w:rPr>
        <w:t xml:space="preserve">(1) </w:t>
      </w:r>
      <w:r>
        <w:rPr>
          <w:rFonts w:ascii="Calibri" w:cs="Calibri" w:eastAsia="Calibri" w:hAnsi="Calibri"/>
          <w:color w:val="1A1A1A"/>
          <w:sz w:val="20"/>
          <w:szCs w:val="20"/>
        </w:rPr>
        <w:t xml:space="preserve">Day 1 — Effective Date: Authority Board nominations submitted by Governor;</w:t>
      </w:r>
    </w:p>
    <w:p>
      <w:pPr>
        <w:spacing w:after="160" w:before="0"/>
        <w:ind w:left="1200" w:hanging="480"/>
        <w:jc w:val="both"/>
      </w:pPr>
      <w:r>
        <w:rPr>
          <w:rFonts w:ascii="Calibri" w:cs="Calibri" w:eastAsia="Calibri" w:hAnsi="Calibri"/>
          <w:color w:val="1A1A1A"/>
          <w:sz w:val="20"/>
          <w:szCs w:val="20"/>
        </w:rPr>
        <w:t xml:space="preserve">(2) </w:t>
      </w:r>
      <w:r>
        <w:rPr>
          <w:rFonts w:ascii="Calibri" w:cs="Calibri" w:eastAsia="Calibri" w:hAnsi="Calibri"/>
          <w:color w:val="1A1A1A"/>
          <w:sz w:val="20"/>
          <w:szCs w:val="20"/>
        </w:rPr>
        <w:t xml:space="preserve">90 Days: Disco asset inventory completed — including electric distribution assets, water distribution assets, electric meters, water meters, all customer account records (electric and water), and pole and conduit broadband suitability assessment — and filed with the Authority;</w:t>
      </w:r>
    </w:p>
    <w:p>
      <w:pPr>
        <w:spacing w:after="160" w:before="0"/>
        <w:ind w:left="1200" w:hanging="480"/>
        <w:jc w:val="both"/>
      </w:pPr>
      <w:r>
        <w:rPr>
          <w:rFonts w:ascii="Calibri" w:cs="Calibri" w:eastAsia="Calibri" w:hAnsi="Calibri"/>
          <w:color w:val="1A1A1A"/>
          <w:sz w:val="20"/>
          <w:szCs w:val="20"/>
        </w:rPr>
        <w:t xml:space="preserve">(3) </w:t>
      </w:r>
      <w:r>
        <w:rPr>
          <w:rFonts w:ascii="Calibri" w:cs="Calibri" w:eastAsia="Calibri" w:hAnsi="Calibri"/>
          <w:color w:val="1A1A1A"/>
          <w:sz w:val="20"/>
          <w:szCs w:val="20"/>
        </w:rPr>
        <w:t xml:space="preserve">120 Days: Authority Board confirmed and operational; Authority rules for CREC formation, broadband authority, and Water Customer Services standards promulgated;</w:t>
      </w:r>
    </w:p>
    <w:p>
      <w:pPr>
        <w:spacing w:after="160" w:before="0"/>
        <w:ind w:left="1200" w:hanging="480"/>
        <w:jc w:val="both"/>
      </w:pPr>
      <w:r>
        <w:rPr>
          <w:rFonts w:ascii="Calibri" w:cs="Calibri" w:eastAsia="Calibri" w:hAnsi="Calibri"/>
          <w:color w:val="1A1A1A"/>
          <w:sz w:val="20"/>
          <w:szCs w:val="20"/>
        </w:rPr>
        <w:t xml:space="preserve">(4) </w:t>
      </w:r>
      <w:r>
        <w:rPr>
          <w:rFonts w:ascii="Calibri" w:cs="Calibri" w:eastAsia="Calibri" w:hAnsi="Calibri"/>
          <w:color w:val="1A1A1A"/>
          <w:sz w:val="20"/>
          <w:szCs w:val="20"/>
        </w:rPr>
        <w:t xml:space="preserve">180 Days: Prudence Review commissioned; Holding Company established; WAPA Genco electric and water cost component reports filed; Authority initiates CREC Broadband Consortium formation process;</w:t>
      </w:r>
    </w:p>
    <w:p>
      <w:pPr>
        <w:spacing w:after="160" w:before="0"/>
        <w:ind w:left="1200" w:hanging="480"/>
        <w:jc w:val="both"/>
      </w:pPr>
      <w:r>
        <w:rPr>
          <w:rFonts w:ascii="Calibri" w:cs="Calibri" w:eastAsia="Calibri" w:hAnsi="Calibri"/>
          <w:color w:val="1A1A1A"/>
          <w:sz w:val="20"/>
          <w:szCs w:val="20"/>
        </w:rPr>
        <w:t xml:space="preserve">(5) </w:t>
      </w:r>
      <w:r>
        <w:rPr>
          <w:rFonts w:ascii="Calibri" w:cs="Calibri" w:eastAsia="Calibri" w:hAnsi="Calibri"/>
          <w:color w:val="1A1A1A"/>
          <w:sz w:val="20"/>
          <w:szCs w:val="20"/>
        </w:rPr>
        <w:t xml:space="preserve">18 Months: All CRECs formed and legally incorporated; federal energy and broadband funding applications filed; CREC Broadband Consortium formed and IRU negotiations commenced; Water Customer Services transition plans filed by each CREC with the Authority;</w:t>
      </w:r>
    </w:p>
    <w:p>
      <w:pPr>
        <w:spacing w:after="160" w:before="0"/>
        <w:ind w:left="1200" w:hanging="480"/>
        <w:jc w:val="both"/>
      </w:pPr>
      <w:r>
        <w:rPr>
          <w:rFonts w:ascii="Calibri" w:cs="Calibri" w:eastAsia="Calibri" w:hAnsi="Calibri"/>
          <w:color w:val="1A1A1A"/>
          <w:sz w:val="20"/>
          <w:szCs w:val="20"/>
        </w:rPr>
        <w:t xml:space="preserve">(6) </w:t>
      </w:r>
      <w:r>
        <w:rPr>
          <w:rFonts w:ascii="Calibri" w:cs="Calibri" w:eastAsia="Calibri" w:hAnsi="Calibri"/>
          <w:color w:val="1A1A1A"/>
          <w:sz w:val="20"/>
          <w:szCs w:val="20"/>
        </w:rPr>
        <w:t xml:space="preserve">24 Months: Prudence Review completed; electric Cost-of-Service Rate and Water Wholesale Rate determined; Disco electric and water asset transfer to Holding Company completed; Last-Mile Broadband Deployment Plans filed by each CREC;</w:t>
      </w:r>
    </w:p>
    <w:p>
      <w:pPr>
        <w:spacing w:after="160" w:before="0"/>
        <w:ind w:left="1200" w:hanging="480"/>
        <w:jc w:val="both"/>
      </w:pPr>
      <w:r>
        <w:rPr>
          <w:rFonts w:ascii="Calibri" w:cs="Calibri" w:eastAsia="Calibri" w:hAnsi="Calibri"/>
          <w:color w:val="1A1A1A"/>
          <w:sz w:val="20"/>
          <w:szCs w:val="20"/>
        </w:rPr>
        <w:t xml:space="preserve">(7) </w:t>
      </w:r>
      <w:r>
        <w:rPr>
          <w:rFonts w:ascii="Calibri" w:cs="Calibri" w:eastAsia="Calibri" w:hAnsi="Calibri"/>
          <w:color w:val="1A1A1A"/>
          <w:sz w:val="20"/>
          <w:szCs w:val="20"/>
        </w:rPr>
        <w:t xml:space="preserve">36 Months: First CREC electric and water account transfers completed with zero-balance amnesty; Water Customer Services fully operational in at least one CREC service territory; first IRU agreements executed; Middle-Mile Infrastructure funding applications filed or awarded;</w:t>
      </w:r>
    </w:p>
    <w:p>
      <w:pPr>
        <w:spacing w:after="160" w:before="0"/>
        <w:ind w:left="1200" w:hanging="480"/>
        <w:jc w:val="both"/>
      </w:pPr>
      <w:r>
        <w:rPr>
          <w:rFonts w:ascii="Calibri" w:cs="Calibri" w:eastAsia="Calibri" w:hAnsi="Calibri"/>
          <w:color w:val="1A1A1A"/>
          <w:sz w:val="20"/>
          <w:szCs w:val="20"/>
        </w:rPr>
        <w:t xml:space="preserve">(8) </w:t>
      </w:r>
      <w:r>
        <w:rPr>
          <w:rFonts w:ascii="Calibri" w:cs="Calibri" w:eastAsia="Calibri" w:hAnsi="Calibri"/>
          <w:color w:val="1A1A1A"/>
          <w:sz w:val="20"/>
          <w:szCs w:val="20"/>
        </w:rPr>
        <w:t xml:space="preserve">48 Months: Initial Last-Mile broadband deployment operational in at least one CREC service territory; Water Customer Services fully operational in all CREC service territories; and</w:t>
      </w:r>
    </w:p>
    <w:p>
      <w:pPr>
        <w:spacing w:after="160" w:before="0"/>
        <w:ind w:left="1200" w:hanging="480"/>
        <w:jc w:val="both"/>
      </w:pPr>
      <w:r>
        <w:rPr>
          <w:rFonts w:ascii="Calibri" w:cs="Calibri" w:eastAsia="Calibri" w:hAnsi="Calibri"/>
          <w:color w:val="1A1A1A"/>
          <w:sz w:val="20"/>
          <w:szCs w:val="20"/>
        </w:rPr>
        <w:t xml:space="preserve">(9) </w:t>
      </w:r>
      <w:r>
        <w:rPr>
          <w:rFonts w:ascii="Calibri" w:cs="Calibri" w:eastAsia="Calibri" w:hAnsi="Calibri"/>
          <w:color w:val="1A1A1A"/>
          <w:sz w:val="20"/>
          <w:szCs w:val="20"/>
        </w:rPr>
        <w:t xml:space="preserve">60 Months: Full transition of all Disco electric and water assets and customer accounts to CRECs completed; broadband deployment to not less than fifty percent (50%) of premises in each CREC service territory underway.</w:t>
      </w:r>
    </w:p>
    <w:p>
      <w:pPr>
        <w:spacing w:after="160" w:before="0"/>
        <w:ind w:left="720" w:hanging="480"/>
        <w:jc w:val="both"/>
      </w:pPr>
      <w:r>
        <w:rPr>
          <w:rFonts w:ascii="Calibri" w:cs="Calibri" w:eastAsia="Calibri" w:hAnsi="Calibri"/>
          <w:color w:val="1A1A1A"/>
          <w:sz w:val="20"/>
          <w:szCs w:val="20"/>
        </w:rPr>
        <w:t xml:space="preserve">(b) </w:t>
      </w:r>
      <w:r>
        <w:rPr>
          <w:rFonts w:ascii="Calibri" w:cs="Calibri" w:eastAsia="Calibri" w:hAnsi="Calibri"/>
          <w:color w:val="1A1A1A"/>
          <w:sz w:val="20"/>
          <w:szCs w:val="20"/>
        </w:rPr>
        <w:t xml:space="preserve">The Authority may extend any milestone by up to one hundred eighty (180) days upon a written finding of good cause. Any extension exceeding one hundred eighty (180) days requires legislative approval.</w:t>
      </w:r>
    </w:p>
    <w:p>
      <w:pPr>
        <w:pBdr>
          <w:bottom w:val="single" w:color="C9A84C" w:sz="6" w:space="4"/>
        </w:pBdr>
        <w:spacing w:after="40" w:before="320"/>
      </w:pPr>
      <w:r>
        <w:rPr>
          <w:rFonts w:ascii="Calibri" w:cs="Calibri" w:eastAsia="Calibri" w:hAnsi="Calibri"/>
          <w:b/>
          <w:bCs/>
          <w:color w:val="1F4E79"/>
          <w:sz w:val="20"/>
          <w:szCs w:val="20"/>
        </w:rPr>
        <w:t xml:space="preserve">§ 25. Reporting.</w:t>
      </w:r>
    </w:p>
    <w:p>
      <w:pPr>
        <w:spacing w:after="160" w:before="0"/>
        <w:jc w:val="both"/>
      </w:pPr>
      <w:r>
        <w:rPr>
          <w:rFonts w:ascii="Calibri" w:cs="Calibri" w:eastAsia="Calibri" w:hAnsi="Calibri"/>
          <w:color w:val="1A1A1A"/>
          <w:sz w:val="20"/>
          <w:szCs w:val="20"/>
        </w:rPr>
        <w:t xml:space="preserve">The Authority shall submit annual reports to the Legislature and the Governor detailing: progress against the transition timeline; WAPA Genco's electric Cost-of-Service Rate components; WAPA Genco's Water Wholesale Rate components; CREC formation and operational status; Water Customer Services performance by CREC, including meter reading accuracy, billing error rates, and dispute resolution outcomes; broadband deployment progress by service territory; IRU agreements executed and Middle-Mile Infrastructure status; federal funding received and pending across energy, water, and broadband programs; ratepayer and member impact analysis for both electric and water services; and recommendations for legislative action.</w:t>
      </w:r>
    </w:p>
    <w:p>
      <w:pPr>
        <w:pBdr>
          <w:bottom w:val="single" w:color="C9A84C" w:sz="6" w:space="4"/>
        </w:pBdr>
        <w:spacing w:after="40" w:before="320"/>
      </w:pPr>
      <w:r>
        <w:rPr>
          <w:rFonts w:ascii="Calibri" w:cs="Calibri" w:eastAsia="Calibri" w:hAnsi="Calibri"/>
          <w:b/>
          <w:bCs/>
          <w:color w:val="1F4E79"/>
          <w:sz w:val="20"/>
          <w:szCs w:val="20"/>
        </w:rPr>
        <w:t xml:space="preserve">§ 26. Severability.</w:t>
      </w:r>
    </w:p>
    <w:p>
      <w:pPr>
        <w:spacing w:after="160" w:before="0"/>
        <w:jc w:val="both"/>
      </w:pPr>
      <w:r>
        <w:rPr>
          <w:rFonts w:ascii="Calibri" w:cs="Calibri" w:eastAsia="Calibri" w:hAnsi="Calibri"/>
          <w:color w:val="1A1A1A"/>
          <w:sz w:val="20"/>
          <w:szCs w:val="20"/>
        </w:rPr>
        <w:t xml:space="preserve">If any provision of this Act or the application thereof to any person or circumstance is held invalid, the remainder of this Act and the application of its provisions to other persons or circumstances shall not be affected.</w:t>
      </w:r>
    </w:p>
    <w:p>
      <w:pPr>
        <w:pBdr>
          <w:bottom w:val="single" w:color="C9A84C" w:sz="6" w:space="4"/>
        </w:pBdr>
        <w:spacing w:after="40" w:before="320"/>
      </w:pPr>
      <w:r>
        <w:rPr>
          <w:rFonts w:ascii="Calibri" w:cs="Calibri" w:eastAsia="Calibri" w:hAnsi="Calibri"/>
          <w:b/>
          <w:bCs/>
          <w:color w:val="1F4E79"/>
          <w:sz w:val="20"/>
          <w:szCs w:val="20"/>
        </w:rPr>
        <w:t xml:space="preserve">§ 27. Supersession.</w:t>
      </w:r>
    </w:p>
    <w:p>
      <w:pPr>
        <w:spacing w:after="160" w:before="0"/>
        <w:jc w:val="both"/>
      </w:pPr>
      <w:r>
        <w:rPr>
          <w:rFonts w:ascii="Calibri" w:cs="Calibri" w:eastAsia="Calibri" w:hAnsi="Calibri"/>
          <w:color w:val="1A1A1A"/>
          <w:sz w:val="20"/>
          <w:szCs w:val="20"/>
        </w:rPr>
        <w:t xml:space="preserve">This Act supersedes any provision of the Virgin Islands Code inconsistent with its terms to the extent of the inconsistency. The Authority shall identify all provisions of the Virgin Islands Code requiring amendment — including provisions governing WAPA's water customer service functions — and transmit recommended conforming amendments to the Legislature within one hundred eighty (180) days of the effective date.</w:t>
      </w:r>
    </w:p>
    <w:p>
      <w:pPr>
        <w:pBdr>
          <w:bottom w:val="single" w:color="C9A84C" w:sz="6" w:space="4"/>
        </w:pBdr>
        <w:spacing w:after="40" w:before="320"/>
      </w:pPr>
      <w:r>
        <w:rPr>
          <w:rFonts w:ascii="Calibri" w:cs="Calibri" w:eastAsia="Calibri" w:hAnsi="Calibri"/>
          <w:b/>
          <w:bCs/>
          <w:color w:val="1F4E79"/>
          <w:sz w:val="20"/>
          <w:szCs w:val="20"/>
        </w:rPr>
        <w:t xml:space="preserve">§ 28. Effective Date.</w:t>
      </w:r>
    </w:p>
    <w:p>
      <w:pPr>
        <w:spacing w:after="160" w:before="0"/>
        <w:jc w:val="both"/>
      </w:pPr>
      <w:r>
        <w:rPr>
          <w:rFonts w:ascii="Calibri" w:cs="Calibri" w:eastAsia="Calibri" w:hAnsi="Calibri"/>
          <w:color w:val="1A1A1A"/>
          <w:sz w:val="20"/>
          <w:szCs w:val="20"/>
        </w:rPr>
        <w:t xml:space="preserve">This Act shall take effect upon the signature of the Governor or as otherwise provided by law.</w:t>
      </w:r>
    </w:p>
    <w:p>
      <w:pPr>
        <w:spacing w:after="480" w:before="0"/>
      </w:pPr>
      <w:r>
        <w:t xml:space="preserve"/>
      </w:r>
    </w:p>
    <w:p>
      <w:pPr>
        <w:spacing w:after="160" w:before="0"/>
        <w:jc w:val="center"/>
      </w:pPr>
      <w:r>
        <w:rPr>
          <w:rFonts w:ascii="Calibri" w:cs="Calibri" w:eastAsia="Calibri" w:hAnsi="Calibri"/>
          <w:b/>
          <w:bCs/>
          <w:i w:val="false"/>
          <w:iCs w:val="false"/>
          <w:color w:val="1F4E79"/>
          <w:sz w:val="22"/>
          <w:szCs w:val="22"/>
        </w:rPr>
        <w:t xml:space="preserve">CERTIFICATION</w:t>
      </w:r>
    </w:p>
    <w:p>
      <w:pPr>
        <w:spacing w:after="400" w:before="0"/>
        <w:jc w:val="both"/>
      </w:pPr>
      <w:r>
        <w:rPr>
          <w:rFonts w:ascii="Calibri" w:cs="Calibri" w:eastAsia="Calibri" w:hAnsi="Calibri"/>
          <w:color w:val="1A1A1A"/>
          <w:sz w:val="20"/>
          <w:szCs w:val="20"/>
        </w:rPr>
        <w:t xml:space="preserve">I hereby certify that this bill was passed by the Legislature of the United States Virgin Islands at its _____ Session by a vote of _____ to _____ on __________________, 2026.</w:t>
      </w:r>
    </w:p>
    <w:p>
      <w:pPr>
        <w:spacing w:after="400" w:before="0"/>
      </w:pPr>
      <w:r>
        <w:t xml:space="preserve"/>
      </w:r>
    </w:p>
    <w:p>
      <w:pPr>
        <w:spacing w:after="60" w:before="0"/>
      </w:pPr>
      <w:r>
        <w:rPr>
          <w:rFonts w:ascii="Calibri" w:cs="Calibri" w:eastAsia="Calibri" w:hAnsi="Calibri"/>
          <w:sz w:val="20"/>
          <w:szCs w:val="20"/>
        </w:rPr>
        <w:t xml:space="preserve">__________________________________</w:t>
      </w:r>
      <w:r>
        <w:rPr>
          <w:rFonts w:ascii="Calibri" w:cs="Calibri" w:eastAsia="Calibri" w:hAnsi="Calibri"/>
          <w:sz w:val="20"/>
          <w:szCs w:val="20"/>
        </w:rPr>
        <w:t xml:space="preserve">          </w:t>
      </w:r>
      <w:r>
        <w:rPr>
          <w:rFonts w:ascii="Calibri" w:cs="Calibri" w:eastAsia="Calibri" w:hAnsi="Calibri"/>
          <w:sz w:val="20"/>
          <w:szCs w:val="20"/>
        </w:rPr>
        <w:t xml:space="preserve">___________________________________</w:t>
      </w:r>
    </w:p>
    <w:p>
      <w:pPr>
        <w:spacing w:after="60" w:before="0"/>
      </w:pPr>
      <w:r>
        <w:rPr>
          <w:rFonts w:ascii="Calibri" w:cs="Calibri" w:eastAsia="Calibri" w:hAnsi="Calibri"/>
          <w:color w:val="595959"/>
          <w:sz w:val="18"/>
          <w:szCs w:val="18"/>
        </w:rPr>
        <w:t xml:space="preserve">Presiding Officer, Legislature of the V.I.</w:t>
      </w:r>
      <w:r>
        <w:rPr>
          <w:rFonts w:ascii="Calibri" w:cs="Calibri" w:eastAsia="Calibri" w:hAnsi="Calibri"/>
          <w:sz w:val="18"/>
          <w:szCs w:val="18"/>
        </w:rPr>
        <w:t xml:space="preserve">          </w:t>
      </w:r>
      <w:r>
        <w:rPr>
          <w:rFonts w:ascii="Calibri" w:cs="Calibri" w:eastAsia="Calibri" w:hAnsi="Calibri"/>
          <w:color w:val="595959"/>
          <w:sz w:val="18"/>
          <w:szCs w:val="18"/>
        </w:rPr>
        <w:t xml:space="preserve">Date: ___________________</w:t>
      </w:r>
    </w:p>
    <w:p>
      <w:pPr>
        <w:spacing w:after="320" w:before="0"/>
      </w:pPr>
      <w:r>
        <w:t xml:space="preserve"/>
      </w:r>
    </w:p>
    <w:p>
      <w:pPr>
        <w:pBdr>
          <w:top w:val="single" w:color="AAAAAA" w:sz="4" w:space="6"/>
        </w:pBdr>
        <w:spacing w:after="0" w:before="0"/>
        <w:jc w:val="center"/>
      </w:pPr>
      <w:r>
        <w:rPr>
          <w:rFonts w:ascii="Calibri" w:cs="Calibri" w:eastAsia="Calibri" w:hAnsi="Calibri"/>
          <w:i/>
          <w:iCs/>
          <w:color w:val="595959"/>
          <w:sz w:val="16"/>
          <w:szCs w:val="16"/>
        </w:rPr>
        <w:t xml:space="preserve">Recommended final draft for citizen and candidate review prior to the 2026 USVI General Election. Prepared by the Christiansted Revitalization Planning Task Force, St. Croix, U.S. Virgin Islands. This draft requires review by the Office of the Legislature's legal counsel prior to formal introduction.</w:t>
      </w:r>
    </w:p>
    <w:sectPr>
      <w:headerReference w:type="default" r:id="rId7"/>
      <w:footerReference w:type="default" r:id="rId8"/>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Calibri" w:cs="Calibri" w:eastAsia="Calibri" w:hAnsi="Calibri"/>
        <w:color w:val="595959"/>
        <w:sz w:val="16"/>
        <w:szCs w:val="16"/>
      </w:rPr>
      <w:t xml:space="preserve">Territorial Energy Authority Act — Page </w:t>
    </w:r>
    <w:fldSimple w:instr="PAG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AAAAA" w:sz="4" w:space="4"/>
      </w:pBdr>
      <w:tabs>
        <w:tab w:val="right" w:pos="9720"/>
      </w:tabs>
      <w:spacing w:after="0" w:before="0"/>
    </w:pPr>
    <w:r>
      <w:rPr>
        <w:rFonts w:ascii="Calibri" w:cs="Calibri" w:eastAsia="Calibri" w:hAnsi="Calibri"/>
        <w:caps/>
        <w:color w:val="595959"/>
        <w:sz w:val="16"/>
        <w:szCs w:val="16"/>
      </w:rPr>
      <w:t xml:space="preserve">V.I. TERRITORIAL ENERGY AUTHORITY ACT</w:t>
    </w:r>
    <w:r>
      <w:rPr>
        <w:rFonts w:ascii="Calibri" w:cs="Calibri" w:eastAsia="Calibri" w:hAnsi="Calibri"/>
        <w:sz w:val="16"/>
        <w:szCs w:val="16"/>
      </w:rPr>
      <w:t xml:space="preserve">	</w:t>
    </w:r>
    <w:r>
      <w:rPr>
        <w:rFonts w:ascii="Calibri" w:cs="Calibri" w:eastAsia="Calibri" w:hAnsi="Calibri"/>
        <w:color w:val="595959"/>
        <w:sz w:val="16"/>
        <w:szCs w:val="16"/>
      </w:rPr>
      <w:t xml:space="preserve">Bottom Up Government Initiative · BUG.vi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2026-06-28T18:01:16.042Z</dcterms:created>
  <dcterms:modified xsi:type="dcterms:W3CDTF">2026-06-28T18:01:16.043Z</dcterms:modified>
</cp:coreProperties>
</file>

<file path=docProps/custom.xml><?xml version="1.0" encoding="utf-8"?>
<Properties xmlns="http://schemas.openxmlformats.org/officeDocument/2006/custom-properties" xmlns:vt="http://schemas.openxmlformats.org/officeDocument/2006/docPropsVTypes"/>
</file>