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spacing w:after="240" w:before="240" w:lineRule="auto"/>
        <w:jc w:val="center"/>
        <w:rPr/>
      </w:pPr>
      <w:bookmarkStart w:colFirst="0" w:colLast="0" w:name="_heading=h.z9tn1lol34l6" w:id="0"/>
      <w:bookmarkEnd w:id="0"/>
      <w:r w:rsidDel="00000000" w:rsidR="00000000" w:rsidRPr="00000000">
        <w:rPr>
          <w:b w:val="1"/>
          <w:rtl w:val="0"/>
        </w:rPr>
        <w:t xml:space="preserve">Clinical Connections</w:t>
      </w:r>
      <w:r w:rsidDel="00000000" w:rsidR="00000000" w:rsidRPr="00000000">
        <w:rPr/>
        <w:drawing>
          <wp:inline distB="114300" distT="114300" distL="114300" distR="114300">
            <wp:extent cx="2833973" cy="2833973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33973" cy="283397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 Monthly Newsletter for Physicians &amp; Case Managers. April 2025 - Recognizing When It's Time for Hospice</w:t>
      </w:r>
    </w:p>
    <w:p w:rsidR="00000000" w:rsidDel="00000000" w:rsidP="00000000" w:rsidRDefault="00000000" w:rsidRPr="00000000" w14:paraId="00000003">
      <w:pPr>
        <w:pStyle w:val="Heading1"/>
        <w:spacing w:after="240" w:before="240" w:lineRule="auto"/>
        <w:rPr>
          <w:b w:val="1"/>
        </w:rPr>
      </w:pPr>
      <w:bookmarkStart w:colFirst="0" w:colLast="0" w:name="_heading=h.28gqz7mdfo71" w:id="1"/>
      <w:bookmarkEnd w:id="1"/>
      <w:r w:rsidDel="00000000" w:rsidR="00000000" w:rsidRPr="00000000">
        <w:rPr>
          <w:b w:val="1"/>
          <w:rtl w:val="0"/>
        </w:rPr>
        <w:t xml:space="preserve">Clinical Spotlight: Recognizing When It's Time for Hospice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Timely hospice referral is one of the most impactful clinical decisions we can make for seriously ill patients.              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Yet referrals are often delayed - not due to lack of care, but uncertainty about timing.</w:t>
      </w:r>
    </w:p>
    <w:p w:rsidR="00000000" w:rsidDel="00000000" w:rsidP="00000000" w:rsidRDefault="00000000" w:rsidRPr="00000000" w14:paraId="00000006">
      <w:pPr>
        <w:pStyle w:val="Heading2"/>
        <w:spacing w:after="240" w:before="240" w:lineRule="auto"/>
        <w:rPr>
          <w:b w:val="1"/>
        </w:rPr>
      </w:pPr>
      <w:bookmarkStart w:colFirst="0" w:colLast="0" w:name="_heading=h.q7m2m8fg9rmq" w:id="2"/>
      <w:bookmarkEnd w:id="2"/>
      <w:r w:rsidDel="00000000" w:rsidR="00000000" w:rsidRPr="00000000">
        <w:rPr>
          <w:b w:val="1"/>
          <w:rtl w:val="0"/>
        </w:rPr>
        <w:t xml:space="preserve">Key indicators hospice may be appropriate: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- Progressive decline despite treatment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- Frequent hospitalizations or ER visits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- Unintentional weight loss or increasing frailty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- Increasing dependence in ADLs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- Patient or family expressing a desire for comfort over cure</w:t>
      </w:r>
    </w:p>
    <w:p w:rsidR="00000000" w:rsidDel="00000000" w:rsidP="00000000" w:rsidRDefault="00000000" w:rsidRPr="00000000" w14:paraId="0000000C">
      <w:pPr>
        <w:pStyle w:val="Subtitle"/>
        <w:spacing w:after="240" w:before="240" w:lineRule="auto"/>
        <w:rPr/>
      </w:pPr>
      <w:bookmarkStart w:colFirst="0" w:colLast="0" w:name="_heading=h.v4vtq7i11nbc" w:id="3"/>
      <w:bookmarkEnd w:id="3"/>
      <w:r w:rsidDel="00000000" w:rsidR="00000000" w:rsidRPr="00000000">
        <w:rPr>
          <w:rtl w:val="0"/>
        </w:rPr>
        <w:t xml:space="preserve">Earlier referrals allow for better symptom control, psychosocial support, and more time for meaningful closure.</w:t>
      </w:r>
    </w:p>
    <w:p w:rsidR="00000000" w:rsidDel="00000000" w:rsidP="00000000" w:rsidRDefault="00000000" w:rsidRPr="00000000" w14:paraId="0000000D">
      <w:pPr>
        <w:pStyle w:val="Heading3"/>
        <w:spacing w:after="240" w:before="240" w:lineRule="auto"/>
        <w:rPr>
          <w:b w:val="1"/>
        </w:rPr>
      </w:pPr>
      <w:bookmarkStart w:colFirst="0" w:colLast="0" w:name="_heading=h.de1m1rikoscj" w:id="4"/>
      <w:bookmarkEnd w:id="4"/>
      <w:r w:rsidDel="00000000" w:rsidR="00000000" w:rsidRPr="00000000">
        <w:rPr>
          <w:b w:val="1"/>
          <w:rtl w:val="0"/>
        </w:rPr>
        <w:t xml:space="preserve">Case Collaboration Highlight</w:t>
      </w:r>
    </w:p>
    <w:p w:rsidR="00000000" w:rsidDel="00000000" w:rsidP="00000000" w:rsidRDefault="00000000" w:rsidRPr="00000000" w14:paraId="0000000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Case: A 78-year-old male with end-stage CHF, hospitalized 3 times in 2 months for volume overload and fatigue.</w:t>
      </w:r>
    </w:p>
    <w:p w:rsidR="00000000" w:rsidDel="00000000" w:rsidP="00000000" w:rsidRDefault="00000000" w:rsidRPr="00000000" w14:paraId="0000000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Intervention: Case manager identified hospice eligibility. Patient referred and began receiving home visits from nursing,social work, and spiritual care.</w:t>
      </w:r>
    </w:p>
    <w:p w:rsidR="00000000" w:rsidDel="00000000" w:rsidP="00000000" w:rsidRDefault="00000000" w:rsidRPr="00000000" w14:paraId="00000010">
      <w:pPr>
        <w:spacing w:after="240" w:before="240" w:lineRule="auto"/>
        <w:rPr/>
        <w:sectPr>
          <w:headerReference r:id="rId8" w:type="default"/>
          <w:footerReference r:id="rId9" w:type="default"/>
          <w:pgSz w:h="15840" w:w="12240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tl w:val="0"/>
        </w:rPr>
        <w:t xml:space="preserve">Outcome: Avoided further hospitalization, achieved better symptom control, and his family reported feeling supported and less overwhelmed.</w:t>
      </w:r>
    </w:p>
    <w:p w:rsidR="00000000" w:rsidDel="00000000" w:rsidP="00000000" w:rsidRDefault="00000000" w:rsidRPr="00000000" w14:paraId="00000011">
      <w:pPr>
        <w:pStyle w:val="Heading4"/>
        <w:spacing w:after="240" w:before="240" w:lineRule="auto"/>
        <w:rPr>
          <w:b w:val="1"/>
        </w:rPr>
      </w:pPr>
      <w:bookmarkStart w:colFirst="0" w:colLast="0" w:name="_heading=h.pf81yu946iij" w:id="5"/>
      <w:bookmarkEnd w:id="5"/>
      <w:r w:rsidDel="00000000" w:rsidR="00000000" w:rsidRPr="00000000">
        <w:rPr>
          <w:b w:val="1"/>
          <w:rtl w:val="0"/>
        </w:rPr>
        <w:t xml:space="preserve">Tools &amp; Resources</w:t>
      </w:r>
    </w:p>
    <w:p w:rsidR="00000000" w:rsidDel="00000000" w:rsidP="00000000" w:rsidRDefault="00000000" w:rsidRPr="00000000" w14:paraId="0000001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- Hospice Eligibility Quick Guide-</w:t>
      </w:r>
    </w:p>
    <w:p w:rsidR="00000000" w:rsidDel="00000000" w:rsidP="00000000" w:rsidRDefault="00000000" w:rsidRPr="00000000" w14:paraId="00000013">
      <w:pPr>
        <w:spacing w:after="240" w:before="240" w:lineRule="auto"/>
        <w:rPr/>
      </w:pP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https://hsc.unm.edu/medicine/departments/emergency-medicine/_docs/clinical_resources/general-policies-and-guidelines/hospice-eligibility-criteria.pdf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- Palliative vs. Hospice Care Comparison Chart-            </w:t>
      </w:r>
    </w:p>
    <w:p w:rsidR="00000000" w:rsidDel="00000000" w:rsidP="00000000" w:rsidRDefault="00000000" w:rsidRPr="00000000" w14:paraId="00000015">
      <w:pPr>
        <w:spacing w:after="240" w:before="240" w:lineRule="auto"/>
        <w:rPr/>
      </w:pPr>
      <w:r w:rsidDel="00000000" w:rsidR="00000000" w:rsidRPr="00000000">
        <w:rPr/>
        <w:drawing>
          <wp:inline distB="114300" distT="114300" distL="114300" distR="114300">
            <wp:extent cx="2426237" cy="3030507"/>
            <wp:effectExtent b="0" l="0" r="0" t="0"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26237" cy="303050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- Don't wait for a DNR or "six-month certainty"</w:t>
      </w:r>
    </w:p>
    <w:p w:rsidR="00000000" w:rsidDel="00000000" w:rsidP="00000000" w:rsidRDefault="00000000" w:rsidRPr="00000000" w14:paraId="0000001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- Hospice supports a range of diagnoses: CHF, COPD, dementia/Alzheimer’s, liver failure, etc.</w:t>
      </w:r>
    </w:p>
    <w:p w:rsidR="00000000" w:rsidDel="00000000" w:rsidP="00000000" w:rsidRDefault="00000000" w:rsidRPr="00000000" w14:paraId="0000001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- Hospice teams assist with goals of care and family education</w:t>
      </w:r>
    </w:p>
    <w:p w:rsidR="00000000" w:rsidDel="00000000" w:rsidP="00000000" w:rsidRDefault="00000000" w:rsidRPr="00000000" w14:paraId="00000019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40" w:before="240" w:line="240" w:lineRule="auto"/>
        <w:jc w:val="center"/>
        <w:rPr/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1440" w:top="1440" w:left="1440" w:right="1440" w:header="720" w:footer="720"/>
      <w:cols w:equalWidth="0" w:num="2">
        <w:col w:space="1583.9999999999998" w:w="3888"/>
        <w:col w:space="0" w:w="3888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jc w:val="lef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2.png"/><Relationship Id="rId10" Type="http://schemas.openxmlformats.org/officeDocument/2006/relationships/hyperlink" Target="https://hsc.unm.edu/medicine/departments/emergency-medicine/_docs/clinical_resources/general-policies-and-guidelines/hospice-eligibility-criteria.pdf" TargetMode="Externa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vdQ1o3Jnngx1gEkgEbCUCLjbcw==">CgMxLjAyDmguejl0bjFsb2wzNGw2Mg5oLjI4Z3F6N21kZm83MTIOaC5xN20ybThmZzlybXEyDmgudjR2dHE3aTExbmJjMg5oLmRlMW0xcmlrb3NjajIOaC5wZjgxeXU5NDZpaWo4AHIhMTZxQnU4Q2F6NFpvN0JvblVMLXM0MmZNRlM1aWlYS2hz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